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1F3" w:rsidRDefault="00B06A2F" w:rsidP="00B06A2F">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鹏华基金</w:t>
      </w:r>
      <w:r>
        <w:rPr>
          <w:rFonts w:ascii="仿宋" w:eastAsia="仿宋" w:hAnsi="仿宋"/>
          <w:b/>
          <w:color w:val="000000" w:themeColor="text1"/>
          <w:sz w:val="32"/>
          <w:szCs w:val="32"/>
        </w:rPr>
        <w:t>管理有限</w:t>
      </w:r>
      <w:r>
        <w:rPr>
          <w:rFonts w:ascii="仿宋" w:eastAsia="仿宋" w:hAnsi="仿宋" w:hint="eastAsia"/>
          <w:b/>
          <w:color w:val="000000" w:themeColor="text1"/>
          <w:sz w:val="32"/>
          <w:szCs w:val="32"/>
        </w:rPr>
        <w:t>公司旗下部分</w:t>
      </w:r>
      <w:r>
        <w:rPr>
          <w:rFonts w:ascii="仿宋" w:eastAsia="仿宋" w:hAnsi="仿宋"/>
          <w:b/>
          <w:color w:val="000000" w:themeColor="text1"/>
          <w:sz w:val="32"/>
          <w:szCs w:val="32"/>
        </w:rPr>
        <w:t>基金</w:t>
      </w:r>
      <w:r>
        <w:rPr>
          <w:rFonts w:ascii="仿宋" w:eastAsia="仿宋" w:hAnsi="仿宋"/>
          <w:b/>
          <w:color w:val="000000" w:themeColor="text1"/>
          <w:sz w:val="32"/>
          <w:szCs w:val="32"/>
        </w:rPr>
        <w:t>202</w:t>
      </w:r>
      <w:r>
        <w:rPr>
          <w:rFonts w:ascii="仿宋" w:eastAsia="仿宋" w:hAnsi="仿宋" w:hint="eastAsia"/>
          <w:b/>
          <w:color w:val="000000" w:themeColor="text1"/>
          <w:sz w:val="32"/>
          <w:szCs w:val="32"/>
        </w:rPr>
        <w:t>5</w:t>
      </w:r>
      <w:r>
        <w:rPr>
          <w:rFonts w:ascii="仿宋" w:eastAsia="仿宋" w:hAnsi="仿宋" w:hint="eastAsia"/>
          <w:b/>
          <w:color w:val="000000" w:themeColor="text1"/>
          <w:sz w:val="32"/>
          <w:szCs w:val="32"/>
        </w:rPr>
        <w:t>年第</w:t>
      </w:r>
      <w:r>
        <w:rPr>
          <w:rFonts w:ascii="仿宋" w:eastAsia="仿宋" w:hAnsi="仿宋" w:hint="eastAsia"/>
          <w:b/>
          <w:color w:val="000000" w:themeColor="text1"/>
          <w:sz w:val="32"/>
          <w:szCs w:val="32"/>
        </w:rPr>
        <w:t>4</w:t>
      </w:r>
      <w:r>
        <w:rPr>
          <w:rFonts w:ascii="仿宋" w:eastAsia="仿宋" w:hAnsi="仿宋" w:hint="eastAsia"/>
          <w:b/>
          <w:color w:val="000000" w:themeColor="text1"/>
          <w:sz w:val="32"/>
          <w:szCs w:val="32"/>
        </w:rPr>
        <w:t>季度</w:t>
      </w:r>
      <w:r>
        <w:rPr>
          <w:rFonts w:ascii="仿宋" w:eastAsia="仿宋" w:hAnsi="仿宋" w:hint="eastAsia"/>
          <w:b/>
          <w:color w:val="000000" w:themeColor="text1"/>
          <w:sz w:val="32"/>
          <w:szCs w:val="32"/>
        </w:rPr>
        <w:t>报告提示性公告</w:t>
      </w:r>
    </w:p>
    <w:p w:rsidR="005651F3" w:rsidRDefault="005651F3" w:rsidP="00B06A2F">
      <w:pPr>
        <w:spacing w:line="540" w:lineRule="exact"/>
        <w:ind w:firstLineChars="50" w:firstLine="160"/>
        <w:jc w:val="center"/>
        <w:rPr>
          <w:rFonts w:ascii="仿宋" w:eastAsia="仿宋" w:hAnsi="仿宋"/>
          <w:b/>
          <w:color w:val="000000" w:themeColor="text1"/>
          <w:sz w:val="32"/>
          <w:szCs w:val="32"/>
        </w:rPr>
      </w:pP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本公司董事会及董事保证旗下</w:t>
      </w:r>
      <w:r>
        <w:rPr>
          <w:rFonts w:ascii="仿宋" w:eastAsia="仿宋" w:hAnsi="仿宋"/>
          <w:color w:val="000000" w:themeColor="text1"/>
          <w:sz w:val="32"/>
          <w:szCs w:val="32"/>
        </w:rPr>
        <w:t>证券投资</w:t>
      </w:r>
      <w:r>
        <w:rPr>
          <w:rFonts w:ascii="仿宋" w:eastAsia="仿宋" w:hAnsi="仿宋" w:hint="eastAsia"/>
          <w:color w:val="000000" w:themeColor="text1"/>
          <w:sz w:val="32"/>
          <w:szCs w:val="32"/>
        </w:rPr>
        <w:t>基金</w:t>
      </w:r>
      <w:r>
        <w:rPr>
          <w:rFonts w:ascii="仿宋" w:eastAsia="仿宋" w:hAnsi="仿宋"/>
          <w:color w:val="000000" w:themeColor="text1"/>
          <w:sz w:val="32"/>
          <w:szCs w:val="32"/>
        </w:rPr>
        <w:t>202</w:t>
      </w:r>
      <w:r>
        <w:rPr>
          <w:rFonts w:ascii="仿宋" w:eastAsia="仿宋" w:hAnsi="仿宋" w:hint="eastAsia"/>
          <w:color w:val="000000" w:themeColor="text1"/>
          <w:sz w:val="32"/>
          <w:szCs w:val="32"/>
        </w:rPr>
        <w:t>5</w:t>
      </w:r>
      <w:r>
        <w:rPr>
          <w:rFonts w:ascii="仿宋" w:eastAsia="仿宋" w:hAnsi="仿宋" w:hint="eastAsia"/>
          <w:color w:val="000000" w:themeColor="text1"/>
          <w:sz w:val="32"/>
          <w:szCs w:val="32"/>
        </w:rPr>
        <w:t>年第</w:t>
      </w:r>
      <w:r>
        <w:rPr>
          <w:rFonts w:ascii="仿宋" w:eastAsia="仿宋" w:hAnsi="仿宋" w:hint="eastAsia"/>
          <w:color w:val="000000" w:themeColor="text1"/>
          <w:sz w:val="32"/>
          <w:szCs w:val="32"/>
        </w:rPr>
        <w:t>4</w:t>
      </w:r>
      <w:r>
        <w:rPr>
          <w:rFonts w:ascii="仿宋" w:eastAsia="仿宋" w:hAnsi="仿宋" w:hint="eastAsia"/>
          <w:color w:val="000000" w:themeColor="text1"/>
          <w:sz w:val="32"/>
          <w:szCs w:val="32"/>
        </w:rPr>
        <w:t>季度报告所载资料不存在虚假记载、误导性陈述或重大遗漏，并对其内容的真实性、准确性和完整性承担个别及连带责任。</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鹏华基金管理有限</w:t>
      </w:r>
      <w:r>
        <w:rPr>
          <w:rFonts w:ascii="仿宋" w:eastAsia="仿宋" w:hAnsi="仿宋"/>
          <w:color w:val="000000" w:themeColor="text1"/>
          <w:sz w:val="32"/>
          <w:szCs w:val="32"/>
        </w:rPr>
        <w:t>公司</w:t>
      </w:r>
      <w:r>
        <w:rPr>
          <w:rFonts w:ascii="仿宋" w:eastAsia="仿宋" w:hAnsi="仿宋" w:hint="eastAsia"/>
          <w:color w:val="000000" w:themeColor="text1"/>
          <w:sz w:val="32"/>
          <w:szCs w:val="32"/>
        </w:rPr>
        <w:t>旗下：</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鹏华弘泰灵活配置混合型证券投资基金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鹏华普天收益证券投资基金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鹏华普天债券证券投资基金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鹏华中国</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开放式证券投资基金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鹏华货币市场证券投资基金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鹏华价值优势混合型证券投资基金（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鹏华动力增长混合型证券投资基金</w:t>
      </w:r>
      <w:r>
        <w:rPr>
          <w:rFonts w:ascii="仿宋" w:eastAsia="仿宋" w:hAnsi="仿宋" w:hint="eastAsia"/>
          <w:color w:val="000000" w:themeColor="text1"/>
          <w:sz w:val="32"/>
          <w:szCs w:val="32"/>
        </w:rPr>
        <w:t>(LOF)</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鹏华优质治理混合型证券投资基金</w:t>
      </w:r>
      <w:r>
        <w:rPr>
          <w:rFonts w:ascii="仿宋" w:eastAsia="仿宋" w:hAnsi="仿宋" w:hint="eastAsia"/>
          <w:color w:val="000000" w:themeColor="text1"/>
          <w:sz w:val="32"/>
          <w:szCs w:val="32"/>
        </w:rPr>
        <w:t>(LOF)</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鹏华丰收债券型证券投资基金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鹏华盛世创新混合型证券投资基金（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鹏华沪深</w:t>
      </w:r>
      <w:r>
        <w:rPr>
          <w:rFonts w:ascii="仿宋" w:eastAsia="仿宋" w:hAnsi="仿宋" w:hint="eastAsia"/>
          <w:color w:val="000000" w:themeColor="text1"/>
          <w:sz w:val="32"/>
          <w:szCs w:val="32"/>
        </w:rPr>
        <w:t>300</w:t>
      </w:r>
      <w:r>
        <w:rPr>
          <w:rFonts w:ascii="仿宋" w:eastAsia="仿宋" w:hAnsi="仿宋" w:hint="eastAsia"/>
          <w:color w:val="000000" w:themeColor="text1"/>
          <w:sz w:val="32"/>
          <w:szCs w:val="32"/>
        </w:rPr>
        <w:t>交易型开放式指数证券投资基金联接基金（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鹏华精选成长混合型证券投资基金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500</w:t>
      </w:r>
      <w:r>
        <w:rPr>
          <w:rFonts w:ascii="仿宋" w:eastAsia="仿宋" w:hAnsi="仿宋" w:hint="eastAsia"/>
          <w:color w:val="000000" w:themeColor="text1"/>
          <w:sz w:val="32"/>
          <w:szCs w:val="32"/>
        </w:rPr>
        <w:t>指数证券投资基金（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鹏华信用增利债券型证券投资基金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鹏华全球中短债债券型证券投资基金（</w:t>
      </w:r>
      <w:r>
        <w:rPr>
          <w:rFonts w:ascii="仿宋" w:eastAsia="仿宋" w:hAnsi="仿宋" w:hint="eastAsia"/>
          <w:color w:val="000000" w:themeColor="text1"/>
          <w:sz w:val="32"/>
          <w:szCs w:val="32"/>
        </w:rPr>
        <w:t>QDII</w:t>
      </w:r>
      <w:r>
        <w:rPr>
          <w:rFonts w:ascii="仿宋" w:eastAsia="仿宋" w:hAnsi="仿宋" w:hint="eastAsia"/>
          <w:color w:val="000000" w:themeColor="text1"/>
          <w:sz w:val="32"/>
          <w:szCs w:val="32"/>
        </w:rPr>
        <w:t>）</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鹏华丰润债券型证券投资基金（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鹏华消费优选混合型证券投资基金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鹏华丰盛稳固收益债券型证券投资基金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鹏华新兴产业混合型证券投资基金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鹏华美国房地产证券投资基金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鹏华丰泽债券型证券投资基金</w:t>
      </w:r>
      <w:r>
        <w:rPr>
          <w:rFonts w:ascii="仿宋" w:eastAsia="仿宋" w:hAnsi="仿宋" w:hint="eastAsia"/>
          <w:color w:val="000000" w:themeColor="text1"/>
          <w:sz w:val="32"/>
          <w:szCs w:val="32"/>
        </w:rPr>
        <w:t>(LOF)</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鹏华价值精选股票型证券投资基金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鹏华宏观灵活配置混合型证券投资基金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鹏华纯债债券型证券投资基金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A</w:t>
      </w:r>
      <w:r>
        <w:rPr>
          <w:rFonts w:ascii="仿宋" w:eastAsia="仿宋" w:hAnsi="仿宋" w:hint="eastAsia"/>
          <w:color w:val="000000" w:themeColor="text1"/>
          <w:sz w:val="32"/>
          <w:szCs w:val="32"/>
        </w:rPr>
        <w:t>股资源产业指数型证券投资基金</w:t>
      </w:r>
      <w:r>
        <w:rPr>
          <w:rFonts w:ascii="仿宋" w:eastAsia="仿宋" w:hAnsi="仿宋" w:hint="eastAsia"/>
          <w:color w:val="000000" w:themeColor="text1"/>
          <w:sz w:val="32"/>
          <w:szCs w:val="32"/>
        </w:rPr>
        <w:t>(LOF)</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鹏华丰和债券型证券投资基金（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鹏华产业债债券型证券投资基金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鹏华双债增利债券型证券投资基金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鹏华丰利债券型证券投资基金（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鹏华永诚一年定期开放债券型证券投资基金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鹏华双债加利债券型证券投资基金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鹏华量化先锋混合型证券投资基金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鹏华丰实定期开放债券型证券投资基金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鹏华双债保利债券型证券投资基金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鹏华丰泰定期开放债券型证券投资基金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鹏华全球高收益债债券型证券投资基金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鹏华丰融定期开放债券型证券投资基金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鹏华消费领先灵活配置混合型证券投资基金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鹏华品牌传承灵活配置混合型证券投资基金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鹏华增值宝货币市场基金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鹏华环保产业股票型证券投资基金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800</w:t>
      </w:r>
      <w:r>
        <w:rPr>
          <w:rFonts w:ascii="仿宋" w:eastAsia="仿宋" w:hAnsi="仿宋" w:hint="eastAsia"/>
          <w:color w:val="000000" w:themeColor="text1"/>
          <w:sz w:val="32"/>
          <w:szCs w:val="32"/>
        </w:rPr>
        <w:t>证券保险指数型证券投资基金</w:t>
      </w:r>
      <w:r>
        <w:rPr>
          <w:rFonts w:ascii="仿宋" w:eastAsia="仿宋" w:hAnsi="仿宋" w:hint="eastAsia"/>
          <w:color w:val="000000" w:themeColor="text1"/>
          <w:sz w:val="32"/>
          <w:szCs w:val="32"/>
        </w:rPr>
        <w:t>(LOF)</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鹏华中证信息技术指数型证券投资基金</w:t>
      </w:r>
      <w:r>
        <w:rPr>
          <w:rFonts w:ascii="仿宋" w:eastAsia="仿宋" w:hAnsi="仿宋" w:hint="eastAsia"/>
          <w:color w:val="000000" w:themeColor="text1"/>
          <w:sz w:val="32"/>
          <w:szCs w:val="32"/>
        </w:rPr>
        <w:t>(LOF)</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鹏华策略优选灵活配置混合型证券投资基金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800</w:t>
      </w:r>
      <w:r>
        <w:rPr>
          <w:rFonts w:ascii="仿宋" w:eastAsia="仿宋" w:hAnsi="仿宋" w:hint="eastAsia"/>
          <w:color w:val="000000" w:themeColor="text1"/>
          <w:sz w:val="32"/>
          <w:szCs w:val="32"/>
        </w:rPr>
        <w:t>地产指数型证券投资基金</w:t>
      </w:r>
      <w:r>
        <w:rPr>
          <w:rFonts w:ascii="仿宋" w:eastAsia="仿宋" w:hAnsi="仿宋" w:hint="eastAsia"/>
          <w:color w:val="000000" w:themeColor="text1"/>
          <w:sz w:val="32"/>
          <w:szCs w:val="32"/>
        </w:rPr>
        <w:t>(LOF)</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鹏华医疗保健股票型证券投资基金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鹏华先进制造股票型证券投资基金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鹏华中证国防指数型</w:t>
      </w:r>
      <w:r>
        <w:rPr>
          <w:rFonts w:ascii="仿宋" w:eastAsia="仿宋" w:hAnsi="仿宋" w:hint="eastAsia"/>
          <w:color w:val="000000" w:themeColor="text1"/>
          <w:sz w:val="32"/>
          <w:szCs w:val="32"/>
        </w:rPr>
        <w:t>证券投资基金</w:t>
      </w:r>
      <w:r>
        <w:rPr>
          <w:rFonts w:ascii="仿宋" w:eastAsia="仿宋" w:hAnsi="仿宋" w:hint="eastAsia"/>
          <w:color w:val="000000" w:themeColor="text1"/>
          <w:sz w:val="32"/>
          <w:szCs w:val="32"/>
        </w:rPr>
        <w:t>(LOF)</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鹏华养老产业股票型证券投资基金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鹏华中证传媒指数型证券投资基金</w:t>
      </w:r>
      <w:r>
        <w:rPr>
          <w:rFonts w:ascii="仿宋" w:eastAsia="仿宋" w:hAnsi="仿宋" w:hint="eastAsia"/>
          <w:color w:val="000000" w:themeColor="text1"/>
          <w:sz w:val="32"/>
          <w:szCs w:val="32"/>
        </w:rPr>
        <w:t>(LOF)</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鹏华安盈宝货币市场基金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鹏华可转债债券型证券投资基金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鹏华弘盛灵活配置混合型证券投资基金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鹏华弘利灵活配置混合型证券投资基金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鹏华弘润灵活配置混合型证券投资基金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鹏华弘泽灵活配置混合型证券投资基金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鹏华中证银行指数型证券投资基金</w:t>
      </w:r>
      <w:r>
        <w:rPr>
          <w:rFonts w:ascii="仿宋" w:eastAsia="仿宋" w:hAnsi="仿宋" w:hint="eastAsia"/>
          <w:color w:val="000000" w:themeColor="text1"/>
          <w:sz w:val="32"/>
          <w:szCs w:val="32"/>
        </w:rPr>
        <w:t>(LOF)</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鹏华改革红利股票型证券投资基金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鹏华中证酒指数型证券投资基金</w:t>
      </w:r>
      <w:r>
        <w:rPr>
          <w:rFonts w:ascii="仿宋" w:eastAsia="仿宋" w:hAnsi="仿宋" w:hint="eastAsia"/>
          <w:color w:val="000000" w:themeColor="text1"/>
          <w:sz w:val="32"/>
          <w:szCs w:val="32"/>
        </w:rPr>
        <w:t>(LOF)</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鹏华中证全指证券公司指数型证券投资基金</w:t>
      </w:r>
      <w:r>
        <w:rPr>
          <w:rFonts w:ascii="仿宋" w:eastAsia="仿宋" w:hAnsi="仿宋" w:hint="eastAsia"/>
          <w:color w:val="000000" w:themeColor="text1"/>
          <w:sz w:val="32"/>
          <w:szCs w:val="32"/>
        </w:rPr>
        <w:t>(LOF)</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鹏华中证一带一路主题指数型证券投资基金</w:t>
      </w:r>
      <w:r>
        <w:rPr>
          <w:rFonts w:ascii="仿宋" w:eastAsia="仿宋" w:hAnsi="仿宋" w:hint="eastAsia"/>
          <w:color w:val="000000" w:themeColor="text1"/>
          <w:sz w:val="32"/>
          <w:szCs w:val="32"/>
        </w:rPr>
        <w:t>(LOF)</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鹏华外延成长灵活配置混合型证券投资基金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鹏华弘和灵活配置混合型证券投资基金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鹏华弘华灵活配置混合型证券投资基金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鹏华弘实灵活配置混合型证券投资基金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鹏华弘信灵活配置混合型证券投资基金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鹏华中证高铁产业指数型证券投资基金</w:t>
      </w:r>
      <w:r>
        <w:rPr>
          <w:rFonts w:ascii="仿宋" w:eastAsia="仿宋" w:hAnsi="仿宋" w:hint="eastAsia"/>
          <w:color w:val="000000" w:themeColor="text1"/>
          <w:sz w:val="32"/>
          <w:szCs w:val="32"/>
        </w:rPr>
        <w:t>(LOF)</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鹏华弘益灵活配置混合型证券投资基金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鹏华医药科技股票型证券投资基金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鹏华创业板指数型证券投资基金</w:t>
      </w:r>
      <w:r>
        <w:rPr>
          <w:rFonts w:ascii="仿宋" w:eastAsia="仿宋" w:hAnsi="仿宋" w:hint="eastAsia"/>
          <w:color w:val="000000" w:themeColor="text1"/>
          <w:sz w:val="32"/>
          <w:szCs w:val="32"/>
        </w:rPr>
        <w:t>(LOF)</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鹏华中证环保产业指数型证券投资基金</w:t>
      </w:r>
      <w:r>
        <w:rPr>
          <w:rFonts w:ascii="仿宋" w:eastAsia="仿宋" w:hAnsi="仿宋" w:hint="eastAsia"/>
          <w:color w:val="000000" w:themeColor="text1"/>
          <w:sz w:val="32"/>
          <w:szCs w:val="32"/>
        </w:rPr>
        <w:t>(LOF)</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鹏华中证移动互联网指数型证券投资基金</w:t>
      </w:r>
      <w:r>
        <w:rPr>
          <w:rFonts w:ascii="仿宋" w:eastAsia="仿宋" w:hAnsi="仿宋" w:hint="eastAsia"/>
          <w:color w:val="000000" w:themeColor="text1"/>
          <w:sz w:val="32"/>
          <w:szCs w:val="32"/>
        </w:rPr>
        <w:t>(LOF)</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鹏华弘鑫灵活配置混合型证券投资基金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鹏华丰锐债券型证券投资基金</w:t>
      </w:r>
      <w:r>
        <w:rPr>
          <w:rFonts w:ascii="仿宋" w:eastAsia="仿宋" w:hAnsi="仿宋" w:hint="eastAsia"/>
          <w:color w:val="000000" w:themeColor="text1"/>
          <w:sz w:val="32"/>
          <w:szCs w:val="32"/>
        </w:rPr>
        <w:t>(LOF)</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鹏华添</w:t>
      </w:r>
      <w:r>
        <w:rPr>
          <w:rFonts w:ascii="仿宋" w:eastAsia="仿宋" w:hAnsi="仿宋" w:hint="eastAsia"/>
          <w:color w:val="000000" w:themeColor="text1"/>
          <w:sz w:val="32"/>
          <w:szCs w:val="32"/>
        </w:rPr>
        <w:t>利宝货币市场基金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鹏华国证钢铁行业指数型证券投资基金</w:t>
      </w:r>
      <w:r>
        <w:rPr>
          <w:rFonts w:ascii="仿宋" w:eastAsia="仿宋" w:hAnsi="仿宋" w:hint="eastAsia"/>
          <w:color w:val="000000" w:themeColor="text1"/>
          <w:sz w:val="32"/>
          <w:szCs w:val="32"/>
        </w:rPr>
        <w:t>(LOF)</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鹏华沪深</w:t>
      </w:r>
      <w:r>
        <w:rPr>
          <w:rFonts w:ascii="仿宋" w:eastAsia="仿宋" w:hAnsi="仿宋" w:hint="eastAsia"/>
          <w:color w:val="000000" w:themeColor="text1"/>
          <w:sz w:val="32"/>
          <w:szCs w:val="32"/>
        </w:rPr>
        <w:t>300</w:t>
      </w:r>
      <w:r>
        <w:rPr>
          <w:rFonts w:ascii="仿宋" w:eastAsia="仿宋" w:hAnsi="仿宋" w:hint="eastAsia"/>
          <w:color w:val="000000" w:themeColor="text1"/>
          <w:sz w:val="32"/>
          <w:szCs w:val="32"/>
        </w:rPr>
        <w:t>指数增强型证券投资基金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鹏华中证医药卫生指数证券投资基金（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鹏华弘安灵活配置混合型证券投资基金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鹏华丰华债券型证券投资基金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鹏华健康环保灵活配置混合型证券投资基金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鹏华文化传媒娱乐股票型证券投资基金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鹏华添利交易型货币市场基金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鹏华丰尚定期开放债券型证券投资基金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鹏华永达中短债</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个月定期开放债券型证券投资基金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鹏华金城灵活配置混合型证券投资基金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鹏华丰茂债券型证券投资基金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鹏华弘达灵活配置混合型证券投资基金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鹏华弘嘉灵活配置混合型证券投资基金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鹏华丰饶定期开放债券型证券投资基金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鹏华丰达债券型证券投资基金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鹏华增瑞灵活配置混合型证券投资基金（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鹏华丰恒债券型证券投资基金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鹏华弘惠灵活配置混合型证券投资基金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鹏华弘康灵活配置混合型证券投资基金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鹏华弘尚灵活配置混合型证券投资基金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鹏华丰禄债券型证券投资基金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鹏华丰腾债券型证券投资基金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鹏华港股通中证香港银行投资指数证券投资基金（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鹏华丰盈债券型证券投资基金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鹏华沪深港新兴成长灵活配置混合型证券投资基金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鹏华丰惠债券型证券投资基金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鹏华永盛一年定期开放债券型证券投资基金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鹏华安益增强混合型证券投资基金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鹏华丰享债券型证券投资基金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鹏华丰玉债券型证券投资基金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鹏华永安</w:t>
      </w:r>
      <w:r>
        <w:rPr>
          <w:rFonts w:ascii="仿宋" w:eastAsia="仿宋" w:hAnsi="仿宋" w:hint="eastAsia"/>
          <w:color w:val="000000" w:themeColor="text1"/>
          <w:sz w:val="32"/>
          <w:szCs w:val="32"/>
        </w:rPr>
        <w:t>18</w:t>
      </w:r>
      <w:r>
        <w:rPr>
          <w:rFonts w:ascii="仿宋" w:eastAsia="仿宋" w:hAnsi="仿宋" w:hint="eastAsia"/>
          <w:color w:val="000000" w:themeColor="text1"/>
          <w:sz w:val="32"/>
          <w:szCs w:val="32"/>
        </w:rPr>
        <w:t>个月定期开放债券型证券投资基金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鹏华丰康债券型证券投资基金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鹏华沪深港互联网股票型证券投资基金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鹏华丰瑞债券型证券投资基金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鹏华聚财通货币市场基金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鹏华永泰</w:t>
      </w:r>
      <w:r>
        <w:rPr>
          <w:rFonts w:ascii="仿宋" w:eastAsia="仿宋" w:hAnsi="仿宋" w:hint="eastAsia"/>
          <w:color w:val="000000" w:themeColor="text1"/>
          <w:sz w:val="32"/>
          <w:szCs w:val="32"/>
        </w:rPr>
        <w:t>18</w:t>
      </w:r>
      <w:r>
        <w:rPr>
          <w:rFonts w:ascii="仿宋" w:eastAsia="仿宋" w:hAnsi="仿宋" w:hint="eastAsia"/>
          <w:color w:val="000000" w:themeColor="text1"/>
          <w:sz w:val="32"/>
          <w:szCs w:val="32"/>
        </w:rPr>
        <w:t>个月定期开放债券型证券投资基金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鹏华丰源债券型证券投资基金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鹏华盈余宝货币市场基金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鹏华中证空天一体军工指数证券投资基金（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鹏华金元宝货币市场基金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鹏华兴鑫宝货币市场基金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鹏华策略回报灵活配置混合型证券投资基金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鹏华研究精选灵活配置混合型证券投资基金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鹏华香港美国互联网股票型证券投资基金（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鹏华优势企业股票型证券投资基金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鹏华永泽</w:t>
      </w:r>
      <w:r>
        <w:rPr>
          <w:rFonts w:ascii="仿宋" w:eastAsia="仿宋" w:hAnsi="仿宋" w:hint="eastAsia"/>
          <w:color w:val="000000" w:themeColor="text1"/>
          <w:sz w:val="32"/>
          <w:szCs w:val="32"/>
        </w:rPr>
        <w:t>18</w:t>
      </w:r>
      <w:r>
        <w:rPr>
          <w:rFonts w:ascii="仿宋" w:eastAsia="仿宋" w:hAnsi="仿宋" w:hint="eastAsia"/>
          <w:color w:val="000000" w:themeColor="text1"/>
          <w:sz w:val="32"/>
          <w:szCs w:val="32"/>
        </w:rPr>
        <w:t>个月定期开放债券型证券投资基金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鹏华尊惠</w:t>
      </w:r>
      <w:r>
        <w:rPr>
          <w:rFonts w:ascii="仿宋" w:eastAsia="仿宋" w:hAnsi="仿宋" w:hint="eastAsia"/>
          <w:color w:val="000000" w:themeColor="text1"/>
          <w:sz w:val="32"/>
          <w:szCs w:val="32"/>
        </w:rPr>
        <w:t>18</w:t>
      </w:r>
      <w:r>
        <w:rPr>
          <w:rFonts w:ascii="仿宋" w:eastAsia="仿宋" w:hAnsi="仿宋" w:hint="eastAsia"/>
          <w:color w:val="000000" w:themeColor="text1"/>
          <w:sz w:val="32"/>
          <w:szCs w:val="32"/>
        </w:rPr>
        <w:t>个月定期开放混合型证券投资基金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鹏华产业精选灵活配置混合型证券投资基金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鹏华尊悦</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鹏华睿投灵活配置混合型证券投资基金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鹏华创新驱动混合型证券投资基金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鹏华尊享</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个月定期开放债券型发起式证券投资基金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鹏华研究驱动混合型证券投资基金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鹏华中短债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w:t>
      </w:r>
      <w:r>
        <w:rPr>
          <w:rFonts w:ascii="仿宋" w:eastAsia="仿宋" w:hAnsi="仿宋" w:hint="eastAsia"/>
          <w:color w:val="000000" w:themeColor="text1"/>
          <w:sz w:val="32"/>
          <w:szCs w:val="32"/>
        </w:rPr>
        <w:t>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鹏华养老目标日期</w:t>
      </w:r>
      <w:r>
        <w:rPr>
          <w:rFonts w:ascii="仿宋" w:eastAsia="仿宋" w:hAnsi="仿宋" w:hint="eastAsia"/>
          <w:color w:val="000000" w:themeColor="text1"/>
          <w:sz w:val="32"/>
          <w:szCs w:val="32"/>
        </w:rPr>
        <w:t>2035</w:t>
      </w:r>
      <w:r>
        <w:rPr>
          <w:rFonts w:ascii="仿宋" w:eastAsia="仿宋" w:hAnsi="仿宋" w:hint="eastAsia"/>
          <w:color w:val="000000" w:themeColor="text1"/>
          <w:sz w:val="32"/>
          <w:szCs w:val="32"/>
        </w:rPr>
        <w:t>三年持有期混合型基金中基金（</w:t>
      </w:r>
      <w:r>
        <w:rPr>
          <w:rFonts w:ascii="仿宋" w:eastAsia="仿宋" w:hAnsi="仿宋" w:hint="eastAsia"/>
          <w:color w:val="000000" w:themeColor="text1"/>
          <w:sz w:val="32"/>
          <w:szCs w:val="32"/>
        </w:rPr>
        <w:t>FOF</w:t>
      </w:r>
      <w:r>
        <w:rPr>
          <w:rFonts w:ascii="仿宋" w:eastAsia="仿宋" w:hAnsi="仿宋" w:hint="eastAsia"/>
          <w:color w:val="000000" w:themeColor="text1"/>
          <w:sz w:val="32"/>
          <w:szCs w:val="32"/>
        </w:rPr>
        <w:t>）</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鹏华优选回报灵活配置混合型证券投资基金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鹏华永融一年定期开放债券型证券投资基金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鹏华永润一年定期开放债券型证券投资基金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鹏华核心优势混合型证券投资基金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鹏华中证酒交易型开放式指数证券投资基金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鹏华养老目标日期</w:t>
      </w:r>
      <w:r>
        <w:rPr>
          <w:rFonts w:ascii="仿宋" w:eastAsia="仿宋" w:hAnsi="仿宋" w:hint="eastAsia"/>
          <w:color w:val="000000" w:themeColor="text1"/>
          <w:sz w:val="32"/>
          <w:szCs w:val="32"/>
        </w:rPr>
        <w:t>2045</w:t>
      </w:r>
      <w:r>
        <w:rPr>
          <w:rFonts w:ascii="仿宋" w:eastAsia="仿宋" w:hAnsi="仿宋" w:hint="eastAsia"/>
          <w:color w:val="000000" w:themeColor="text1"/>
          <w:sz w:val="32"/>
          <w:szCs w:val="32"/>
        </w:rPr>
        <w:t>三年持有期混合型发起式基金中基金（</w:t>
      </w:r>
      <w:r>
        <w:rPr>
          <w:rFonts w:ascii="仿宋" w:eastAsia="仿宋" w:hAnsi="仿宋" w:hint="eastAsia"/>
          <w:color w:val="000000" w:themeColor="text1"/>
          <w:sz w:val="32"/>
          <w:szCs w:val="32"/>
        </w:rPr>
        <w:t>FOF</w:t>
      </w:r>
      <w:r>
        <w:rPr>
          <w:rFonts w:ascii="仿宋" w:eastAsia="仿宋" w:hAnsi="仿宋" w:hint="eastAsia"/>
          <w:color w:val="000000" w:themeColor="text1"/>
          <w:sz w:val="32"/>
          <w:szCs w:val="32"/>
        </w:rPr>
        <w:t>）</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鹏华研究智选混合型证券投资基金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鹏华创新动力灵活配置混合型证券投资基金</w:t>
      </w:r>
      <w:r>
        <w:rPr>
          <w:rFonts w:ascii="仿宋" w:eastAsia="仿宋" w:hAnsi="仿宋" w:hint="eastAsia"/>
          <w:color w:val="000000" w:themeColor="text1"/>
          <w:sz w:val="32"/>
          <w:szCs w:val="32"/>
        </w:rPr>
        <w:t>(LOF)</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鹏华尊诚</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鹏华尊晟</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鹏华中证国防交易型开放式指数证券投资基金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鹏华金利债券型证券投资基金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鹏华丰登债券型证券投资基金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5</w:t>
      </w:r>
      <w:r>
        <w:rPr>
          <w:rFonts w:ascii="仿宋" w:eastAsia="仿宋" w:hAnsi="仿宋" w:hint="eastAsia"/>
          <w:color w:val="000000" w:themeColor="text1"/>
          <w:sz w:val="32"/>
          <w:szCs w:val="32"/>
        </w:rPr>
        <w:t>年期地方政府债交易型开放式指数证券投资基金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鹏华浮动净值型发起式货币市场基金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鹏华尊信</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鹏华锦利两年定期开放债券型证券投资基金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鹏华丰鑫债券型证券投资基金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鹏华丰庆债券型证券投资基金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鹏华稳利短债债券型证券投资基金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500</w:t>
      </w:r>
      <w:r>
        <w:rPr>
          <w:rFonts w:ascii="仿宋" w:eastAsia="仿宋" w:hAnsi="仿宋" w:hint="eastAsia"/>
          <w:color w:val="000000" w:themeColor="text1"/>
          <w:sz w:val="32"/>
          <w:szCs w:val="32"/>
        </w:rPr>
        <w:t>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鹏华金享混合型证券投资基金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鹏华价值驱动混合型证券投资基金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鹏华优选价值股票型证券投资基金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鹏华中证银行交易型开放式指数证券投资基金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w:t>
      </w:r>
      <w:r>
        <w:rPr>
          <w:rFonts w:ascii="仿宋" w:eastAsia="仿宋" w:hAnsi="仿宋" w:hint="eastAsia"/>
          <w:color w:val="000000" w:themeColor="text1"/>
          <w:sz w:val="32"/>
          <w:szCs w:val="32"/>
        </w:rPr>
        <w:t>0-5</w:t>
      </w:r>
      <w:r>
        <w:rPr>
          <w:rFonts w:ascii="仿宋" w:eastAsia="仿宋" w:hAnsi="仿宋" w:hint="eastAsia"/>
          <w:color w:val="000000" w:themeColor="text1"/>
          <w:sz w:val="32"/>
          <w:szCs w:val="32"/>
        </w:rPr>
        <w:t>年利率债债券型发起式证券投资基金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鹏华尊泰一年定期开放债券型发起式证券投资基金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鹏华国证证券龙头交易型开放式指数证券投资基金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鹏华科技创新混合型证券投资基金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500</w:t>
      </w:r>
      <w:r>
        <w:rPr>
          <w:rFonts w:ascii="仿宋" w:eastAsia="仿宋" w:hAnsi="仿宋" w:hint="eastAsia"/>
          <w:color w:val="000000" w:themeColor="text1"/>
          <w:sz w:val="32"/>
          <w:szCs w:val="32"/>
        </w:rPr>
        <w:t>交易型开放式指数证券投资基金联接基金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鹏华价值成长混合型证券投资基金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鹏华尊裕一年定期开放债券型发起式证券投资基金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鹏华优质回报两年定期开放混合型证券投资基金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800</w:t>
      </w:r>
      <w:r>
        <w:rPr>
          <w:rFonts w:ascii="仿宋" w:eastAsia="仿宋" w:hAnsi="仿宋" w:hint="eastAsia"/>
          <w:color w:val="000000" w:themeColor="text1"/>
          <w:sz w:val="32"/>
          <w:szCs w:val="32"/>
        </w:rPr>
        <w:t>证券保险交易型开放式指数证券投资基金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鹏华中证传媒交易型开放式指数证券投资基金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鹏华安泽混合型证券投资基金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鹏华丰诚债券型证券投资基金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鹏华稳健回报混合型证券投资基金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鹏华鑫享稳健混合型证券投资基金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鹏华国证半导体芯片交易型开放式指数证券投资基金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鹏华中债</w:t>
      </w:r>
      <w:r>
        <w:rPr>
          <w:rFonts w:ascii="仿宋" w:eastAsia="仿宋" w:hAnsi="仿宋" w:hint="eastAsia"/>
          <w:color w:val="000000" w:themeColor="text1"/>
          <w:sz w:val="32"/>
          <w:szCs w:val="32"/>
        </w:rPr>
        <w:t>3-5</w:t>
      </w:r>
      <w:r>
        <w:rPr>
          <w:rFonts w:ascii="仿宋" w:eastAsia="仿宋" w:hAnsi="仿宋" w:hint="eastAsia"/>
          <w:color w:val="000000" w:themeColor="text1"/>
          <w:sz w:val="32"/>
          <w:szCs w:val="32"/>
        </w:rPr>
        <w:t>年国开行债券指数证券投资基金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鹏华价值共赢两年持有期混合型证券投资基金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鹏华股息精选混合型证券投资基金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鹏华成长价值混合型证券投资基金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鹏华尊达一年定期开放债券型发起式证券投资基金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鹏华普利债券型证券投资基金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鹏华优质企业混合型证券投资基金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鹏华安和混合型证券投资基金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鹏华安庆混合型证券投资基金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鹏华安惠混合型证券投资基金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w:t>
      </w:r>
      <w:r>
        <w:rPr>
          <w:rFonts w:ascii="仿宋" w:eastAsia="仿宋" w:hAnsi="仿宋" w:hint="eastAsia"/>
          <w:color w:val="000000" w:themeColor="text1"/>
          <w:sz w:val="32"/>
          <w:szCs w:val="32"/>
        </w:rPr>
        <w:t>匠心精选混合型证券投资基金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鹏华新兴成长混合型证券投资基金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鹏华锦润</w:t>
      </w:r>
      <w:r>
        <w:rPr>
          <w:rFonts w:ascii="仿宋" w:eastAsia="仿宋" w:hAnsi="仿宋" w:hint="eastAsia"/>
          <w:color w:val="000000" w:themeColor="text1"/>
          <w:sz w:val="32"/>
          <w:szCs w:val="32"/>
        </w:rPr>
        <w:t>86</w:t>
      </w:r>
      <w:r>
        <w:rPr>
          <w:rFonts w:ascii="仿宋" w:eastAsia="仿宋" w:hAnsi="仿宋" w:hint="eastAsia"/>
          <w:color w:val="000000" w:themeColor="text1"/>
          <w:sz w:val="32"/>
          <w:szCs w:val="32"/>
        </w:rPr>
        <w:t>个月定期开放债券型证券投资基金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鹏华安睿两年持有期混合型证券投资基金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0-4</w:t>
      </w:r>
      <w:r>
        <w:rPr>
          <w:rFonts w:ascii="仿宋" w:eastAsia="仿宋" w:hAnsi="仿宋" w:hint="eastAsia"/>
          <w:color w:val="000000" w:themeColor="text1"/>
          <w:sz w:val="32"/>
          <w:szCs w:val="32"/>
        </w:rPr>
        <w:t>年期地方政府债交易型开放式指数证券投资基金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鹏华招华一年持有期混合型证券投资基金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鹏华中债</w:t>
      </w:r>
      <w:r>
        <w:rPr>
          <w:rFonts w:ascii="仿宋" w:eastAsia="仿宋" w:hAnsi="仿宋" w:hint="eastAsia"/>
          <w:color w:val="000000" w:themeColor="text1"/>
          <w:sz w:val="32"/>
          <w:szCs w:val="32"/>
        </w:rPr>
        <w:t>1-3</w:t>
      </w:r>
      <w:r>
        <w:rPr>
          <w:rFonts w:ascii="仿宋" w:eastAsia="仿宋" w:hAnsi="仿宋" w:hint="eastAsia"/>
          <w:color w:val="000000" w:themeColor="text1"/>
          <w:sz w:val="32"/>
          <w:szCs w:val="32"/>
        </w:rPr>
        <w:t>年农发行债券指数证券投资基金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鹏华年年红一年持有期债券型证券投资基金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鹏华中债</w:t>
      </w:r>
      <w:r>
        <w:rPr>
          <w:rFonts w:ascii="仿宋" w:eastAsia="仿宋" w:hAnsi="仿宋" w:hint="eastAsia"/>
          <w:color w:val="000000" w:themeColor="text1"/>
          <w:sz w:val="32"/>
          <w:szCs w:val="32"/>
        </w:rPr>
        <w:t>-0-3</w:t>
      </w:r>
      <w:r>
        <w:rPr>
          <w:rFonts w:ascii="仿宋" w:eastAsia="仿宋" w:hAnsi="仿宋" w:hint="eastAsia"/>
          <w:color w:val="000000" w:themeColor="text1"/>
          <w:sz w:val="32"/>
          <w:szCs w:val="32"/>
        </w:rPr>
        <w:t>年</w:t>
      </w:r>
      <w:r>
        <w:rPr>
          <w:rFonts w:ascii="仿宋" w:eastAsia="仿宋" w:hAnsi="仿宋" w:hint="eastAsia"/>
          <w:color w:val="000000" w:themeColor="text1"/>
          <w:sz w:val="32"/>
          <w:szCs w:val="32"/>
        </w:rPr>
        <w:t>AA+</w:t>
      </w:r>
      <w:r>
        <w:rPr>
          <w:rFonts w:ascii="仿宋" w:eastAsia="仿宋" w:hAnsi="仿宋" w:hint="eastAsia"/>
          <w:color w:val="000000" w:themeColor="text1"/>
          <w:sz w:val="32"/>
          <w:szCs w:val="32"/>
        </w:rPr>
        <w:t>优选信用债指数证券投资基金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鹏华启航混合型证券投资基金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鹏华创新未来混合型证券投资基金</w:t>
      </w:r>
      <w:r>
        <w:rPr>
          <w:rFonts w:ascii="仿宋" w:eastAsia="仿宋" w:hAnsi="仿宋" w:hint="eastAsia"/>
          <w:color w:val="000000" w:themeColor="text1"/>
          <w:sz w:val="32"/>
          <w:szCs w:val="32"/>
        </w:rPr>
        <w:t>(LOF)</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鹏华成长智选混合型证券投资基金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鹏华丰颐债券型证券投资基金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鹏华高质量增长混合型证券投资基金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鹏华优选成长混合型证券投资基金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鹏华尊和一年定期开放债券型发起式证券投资基金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鹏华安润混合型证券投资基金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鹏华安享一年持有期混合型证券投资基金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鹏华汇智优选混合型证券投资基金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鹏华安裕</w:t>
      </w:r>
      <w:r>
        <w:rPr>
          <w:rFonts w:ascii="仿宋" w:eastAsia="仿宋" w:hAnsi="仿宋" w:hint="eastAsia"/>
          <w:color w:val="000000" w:themeColor="text1"/>
          <w:sz w:val="32"/>
          <w:szCs w:val="32"/>
        </w:rPr>
        <w:t>5</w:t>
      </w:r>
      <w:r>
        <w:rPr>
          <w:rFonts w:ascii="仿宋" w:eastAsia="仿宋" w:hAnsi="仿宋" w:hint="eastAsia"/>
          <w:color w:val="000000" w:themeColor="text1"/>
          <w:sz w:val="32"/>
          <w:szCs w:val="32"/>
        </w:rPr>
        <w:t>个月持有期混合型证券投资基金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鹏华弘裕一年持有期混合型证券投资基金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鹏华安悦一年持有期混合型证券投资基金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鹏华品质优选混合型证券投资基金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鹏华中证光伏产业交易型开放式指数证券投资基金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鹏华中证细分化工产业主题交易型开放式指数证券投资基金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鹏华中证畜牧养殖交易型开放式指数证券投资基金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w:t>
      </w:r>
      <w:r>
        <w:rPr>
          <w:rFonts w:ascii="仿宋" w:eastAsia="仿宋" w:hAnsi="仿宋" w:hint="eastAsia"/>
          <w:color w:val="000000" w:themeColor="text1"/>
          <w:sz w:val="32"/>
          <w:szCs w:val="32"/>
        </w:rPr>
        <w:t>有色金属行业交易型开放式指数证券投资基金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鹏华创新成长混合型证券投资基金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鹏华宁华一年持有期混合型证券投资基金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鹏华致远成长混合型证券投资基金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鹏华远见回报三年持有期混合型证券投资基金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鹏华民丰盈和</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个月持有期混合型证券投资基金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鹏华中证内地低碳经济主题交易型开放式指数证券投资基金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鹏华招润一年持有期混合型证券投资基金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鹏华鑫远价值一年持有期混合型证券投资基金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鹏华远见成长混合型证券投资基金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鹏华永益</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鹏华中证车联网主题交易型开放式指数证券投资基金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鹏华创新升级混合型证券投资基金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鹏华领航一年持有期混合型证券投资基金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鹏华稳泰</w:t>
      </w:r>
      <w:r>
        <w:rPr>
          <w:rFonts w:ascii="仿宋" w:eastAsia="仿宋" w:hAnsi="仿宋" w:hint="eastAsia"/>
          <w:color w:val="000000" w:themeColor="text1"/>
          <w:sz w:val="32"/>
          <w:szCs w:val="32"/>
        </w:rPr>
        <w:t>30</w:t>
      </w:r>
      <w:r>
        <w:rPr>
          <w:rFonts w:ascii="仿宋" w:eastAsia="仿宋" w:hAnsi="仿宋" w:hint="eastAsia"/>
          <w:color w:val="000000" w:themeColor="text1"/>
          <w:sz w:val="32"/>
          <w:szCs w:val="32"/>
        </w:rPr>
        <w:t>天滚动持有债券型证券投资基金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鹏华中证港股通医药卫生综合交易型开放式指数证券投资基金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鹏华中证内地低碳经济主题交易型开放式指数证券投资基金联接基金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鹏华新能源精选混合型证券投资基金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鹏华丰宁债券型证券投资基金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鹏华中证港股通消费主题交易型开放式指数证券投资基金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鹏华品质成长混合型证券投资基金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鹏华长治稳健养老目标一年持有期混合型基金中基金（</w:t>
      </w:r>
      <w:r>
        <w:rPr>
          <w:rFonts w:ascii="仿宋" w:eastAsia="仿宋" w:hAnsi="仿宋" w:hint="eastAsia"/>
          <w:color w:val="000000" w:themeColor="text1"/>
          <w:sz w:val="32"/>
          <w:szCs w:val="32"/>
        </w:rPr>
        <w:t>FOF</w:t>
      </w:r>
      <w:r>
        <w:rPr>
          <w:rFonts w:ascii="仿宋" w:eastAsia="仿宋" w:hAnsi="仿宋" w:hint="eastAsia"/>
          <w:color w:val="000000" w:themeColor="text1"/>
          <w:sz w:val="32"/>
          <w:szCs w:val="32"/>
        </w:rPr>
        <w:t>）</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鹏华国证半导体芯片交易型开放式指数证券投资基金联接基金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鹏华稳健鸿利一年持有期混合型证券投资基金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鹏华产业升级混合型证券投资基金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鹏华安诚混合型证券投资基金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w:t>
      </w:r>
      <w:r>
        <w:rPr>
          <w:rFonts w:ascii="仿宋" w:eastAsia="仿宋" w:hAnsi="仿宋" w:hint="eastAsia"/>
          <w:color w:val="000000" w:themeColor="text1"/>
          <w:sz w:val="32"/>
          <w:szCs w:val="32"/>
        </w:rPr>
        <w:t>ESG300</w:t>
      </w:r>
      <w:r>
        <w:rPr>
          <w:rFonts w:ascii="仿宋" w:eastAsia="仿宋" w:hAnsi="仿宋" w:hint="eastAsia"/>
          <w:color w:val="000000" w:themeColor="text1"/>
          <w:sz w:val="32"/>
          <w:szCs w:val="32"/>
        </w:rPr>
        <w:t>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鹏华安荣混合型证券投资基金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鹏华精选群英一年持有期灵活配置混合型管理人中管理人（</w:t>
      </w:r>
      <w:r>
        <w:rPr>
          <w:rFonts w:ascii="仿宋" w:eastAsia="仿宋" w:hAnsi="仿宋" w:hint="eastAsia"/>
          <w:color w:val="000000" w:themeColor="text1"/>
          <w:sz w:val="32"/>
          <w:szCs w:val="32"/>
        </w:rPr>
        <w:t>MOM</w:t>
      </w:r>
      <w:r>
        <w:rPr>
          <w:rFonts w:ascii="仿宋" w:eastAsia="仿宋" w:hAnsi="仿宋" w:hint="eastAsia"/>
          <w:color w:val="000000" w:themeColor="text1"/>
          <w:sz w:val="32"/>
          <w:szCs w:val="32"/>
        </w:rPr>
        <w:t>）证券投资基金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鹏华品质精选混合型证券投资基金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鹏华上华一年持有期混合型证券投资基金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鹏华安康一年持有期混合型证券投资基金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鹏华安颐混合型证券投资基金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鹏华稳华</w:t>
      </w:r>
      <w:r>
        <w:rPr>
          <w:rFonts w:ascii="仿宋" w:eastAsia="仿宋" w:hAnsi="仿宋" w:hint="eastAsia"/>
          <w:color w:val="000000" w:themeColor="text1"/>
          <w:sz w:val="32"/>
          <w:szCs w:val="32"/>
        </w:rPr>
        <w:t>90</w:t>
      </w:r>
      <w:r>
        <w:rPr>
          <w:rFonts w:ascii="仿宋" w:eastAsia="仿宋" w:hAnsi="仿宋" w:hint="eastAsia"/>
          <w:color w:val="000000" w:themeColor="text1"/>
          <w:sz w:val="32"/>
          <w:szCs w:val="32"/>
        </w:rPr>
        <w:t>天滚动持有债券型证券投资基金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鹏华中证云计算与大数据主题交易型开放式指数证券投资基金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鹏华中证沪港深科技龙头指</w:t>
      </w:r>
      <w:r>
        <w:rPr>
          <w:rFonts w:ascii="仿宋" w:eastAsia="仿宋" w:hAnsi="仿宋" w:hint="eastAsia"/>
          <w:color w:val="000000" w:themeColor="text1"/>
          <w:sz w:val="32"/>
          <w:szCs w:val="32"/>
        </w:rPr>
        <w:t>数证券投资基金（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鹏华中证港股通科技交易型开放式指数证券投资基金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鹏华中证同业存单</w:t>
      </w:r>
      <w:r>
        <w:rPr>
          <w:rFonts w:ascii="仿宋" w:eastAsia="仿宋" w:hAnsi="仿宋" w:hint="eastAsia"/>
          <w:color w:val="000000" w:themeColor="text1"/>
          <w:sz w:val="32"/>
          <w:szCs w:val="32"/>
        </w:rPr>
        <w:t>AAA</w:t>
      </w:r>
      <w:r>
        <w:rPr>
          <w:rFonts w:ascii="仿宋" w:eastAsia="仿宋" w:hAnsi="仿宋" w:hint="eastAsia"/>
          <w:color w:val="000000" w:themeColor="text1"/>
          <w:sz w:val="32"/>
          <w:szCs w:val="32"/>
        </w:rPr>
        <w:t>指数</w:t>
      </w:r>
      <w:r>
        <w:rPr>
          <w:rFonts w:ascii="仿宋" w:eastAsia="仿宋" w:hAnsi="仿宋" w:hint="eastAsia"/>
          <w:color w:val="000000" w:themeColor="text1"/>
          <w:sz w:val="32"/>
          <w:szCs w:val="32"/>
        </w:rPr>
        <w:t>7</w:t>
      </w:r>
      <w:r>
        <w:rPr>
          <w:rFonts w:ascii="仿宋" w:eastAsia="仿宋" w:hAnsi="仿宋" w:hint="eastAsia"/>
          <w:color w:val="000000" w:themeColor="text1"/>
          <w:sz w:val="32"/>
          <w:szCs w:val="32"/>
        </w:rPr>
        <w:t>天持有期证券投资基金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鹏华沃鑫混合型证券投资基金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鹏华稳瑞中短债债券型证券投资基金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500</w:t>
      </w:r>
      <w:r>
        <w:rPr>
          <w:rFonts w:ascii="仿宋" w:eastAsia="仿宋" w:hAnsi="仿宋" w:hint="eastAsia"/>
          <w:color w:val="000000" w:themeColor="text1"/>
          <w:sz w:val="32"/>
          <w:szCs w:val="32"/>
        </w:rPr>
        <w:t>指数增强型证券投资基金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鹏华成长领航两年持有期混合型证券投资基金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鹏华中证工业互联网主题交易型开放式指数证券投资基金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鹏华价值远航</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个月持有期混合型证券投资基金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鹏华中证细分化工产业主题交易型开放式指数证券投资基金联接基金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鹏华双季享</w:t>
      </w:r>
      <w:r>
        <w:rPr>
          <w:rFonts w:ascii="仿宋" w:eastAsia="仿宋" w:hAnsi="仿宋" w:hint="eastAsia"/>
          <w:color w:val="000000" w:themeColor="text1"/>
          <w:sz w:val="32"/>
          <w:szCs w:val="32"/>
        </w:rPr>
        <w:t>180</w:t>
      </w:r>
      <w:r>
        <w:rPr>
          <w:rFonts w:ascii="仿宋" w:eastAsia="仿宋" w:hAnsi="仿宋" w:hint="eastAsia"/>
          <w:color w:val="000000" w:themeColor="text1"/>
          <w:sz w:val="32"/>
          <w:szCs w:val="32"/>
        </w:rPr>
        <w:t>天持有期债券型证券投资基金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鹏华永宁</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鹏华创新增长一年持有期混合型证券投资基金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鹏华深圳能源清洁能源封闭式基础设施证券投资基金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鹏华稳享一年持有期混合型证券投资基金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鹏华中证中药交易型开放式指数证券投资基金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鹏华新能源汽车主题混合型证券投资基金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鹏华永平</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个月定期开放债券型证券投资基金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鹏华增华混合型证券投资基金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鹏华丰启债券型证券投资基金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鹏华畅享债券型证券投资基金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鹏华创兴增利债券型证券投资基金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鹏华稳福中短债债券型证券投资基金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鹏华永鑫一年定期开放债券型证券投资基金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鹏华中证中药交易型开放式指数证券投资基金联接基金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成份</w:t>
      </w:r>
      <w:r>
        <w:rPr>
          <w:rFonts w:ascii="仿宋" w:eastAsia="仿宋" w:hAnsi="仿宋" w:hint="eastAsia"/>
          <w:color w:val="000000" w:themeColor="text1"/>
          <w:sz w:val="32"/>
          <w:szCs w:val="32"/>
        </w:rPr>
        <w:t>增强策略交易型开放式指数证券投资基金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鹏华创业板</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1000</w:t>
      </w:r>
      <w:r>
        <w:rPr>
          <w:rFonts w:ascii="仿宋" w:eastAsia="仿宋" w:hAnsi="仿宋" w:hint="eastAsia"/>
          <w:color w:val="000000" w:themeColor="text1"/>
          <w:sz w:val="32"/>
          <w:szCs w:val="32"/>
        </w:rPr>
        <w:t>指数增强型证券投资基金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鹏华稳健增利债券型证券投资基金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鹏华稳健恒利债券型证券投资基金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鹏华养老目标日期</w:t>
      </w:r>
      <w:r>
        <w:rPr>
          <w:rFonts w:ascii="仿宋" w:eastAsia="仿宋" w:hAnsi="仿宋" w:hint="eastAsia"/>
          <w:color w:val="000000" w:themeColor="text1"/>
          <w:sz w:val="32"/>
          <w:szCs w:val="32"/>
        </w:rPr>
        <w:t>2040</w:t>
      </w:r>
      <w:r>
        <w:rPr>
          <w:rFonts w:ascii="仿宋" w:eastAsia="仿宋" w:hAnsi="仿宋" w:hint="eastAsia"/>
          <w:color w:val="000000" w:themeColor="text1"/>
          <w:sz w:val="32"/>
          <w:szCs w:val="32"/>
        </w:rPr>
        <w:t>五年持有期混合型发起式基金中基金（</w:t>
      </w:r>
      <w:r>
        <w:rPr>
          <w:rFonts w:ascii="仿宋" w:eastAsia="仿宋" w:hAnsi="仿宋" w:hint="eastAsia"/>
          <w:color w:val="000000" w:themeColor="text1"/>
          <w:sz w:val="32"/>
          <w:szCs w:val="32"/>
        </w:rPr>
        <w:t>FOF</w:t>
      </w:r>
      <w:r>
        <w:rPr>
          <w:rFonts w:ascii="仿宋" w:eastAsia="仿宋" w:hAnsi="仿宋" w:hint="eastAsia"/>
          <w:color w:val="000000" w:themeColor="text1"/>
          <w:sz w:val="32"/>
          <w:szCs w:val="32"/>
        </w:rPr>
        <w:t>）</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鹏华睿进一年持有期混合型证券投资基金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w:t>
      </w:r>
      <w:r>
        <w:rPr>
          <w:rFonts w:ascii="仿宋" w:eastAsia="仿宋" w:hAnsi="仿宋" w:hint="eastAsia"/>
          <w:color w:val="000000" w:themeColor="text1"/>
          <w:sz w:val="32"/>
          <w:szCs w:val="32"/>
        </w:rPr>
        <w:t>2000</w:t>
      </w:r>
      <w:r>
        <w:rPr>
          <w:rFonts w:ascii="仿宋" w:eastAsia="仿宋" w:hAnsi="仿宋" w:hint="eastAsia"/>
          <w:color w:val="000000" w:themeColor="text1"/>
          <w:sz w:val="32"/>
          <w:szCs w:val="32"/>
        </w:rPr>
        <w:t>指数增强型证券投资基金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鹏华国证疫苗与生物科技交易型开放式指数证券投资基金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鹏华丰尊债券型证券投资基金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鹏华安锦一年持有期混合型证券投资基金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鹏华汽车产业混合型发起式证券投资基金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鹏华新材料混合型发起式证券投资基金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鹏华国证石油天然气交易型开放式指数证券投资基金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鹏华稳健添利债券型证券投资基金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鹏华碳中和主题混合型证券投资基金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鹏华中证港股通消费主题交易型开放式指数证券投资基金联接基金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鹏华芯片产业混合型发起式证券投资基金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鹏华丰顺债券型证券投资基金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鹏华沪深</w:t>
      </w:r>
      <w:r>
        <w:rPr>
          <w:rFonts w:ascii="仿宋" w:eastAsia="仿宋" w:hAnsi="仿宋" w:hint="eastAsia"/>
          <w:color w:val="000000" w:themeColor="text1"/>
          <w:sz w:val="32"/>
          <w:szCs w:val="32"/>
        </w:rPr>
        <w:t>300</w:t>
      </w:r>
      <w:r>
        <w:rPr>
          <w:rFonts w:ascii="仿宋" w:eastAsia="仿宋" w:hAnsi="仿宋" w:hint="eastAsia"/>
          <w:color w:val="000000" w:themeColor="text1"/>
          <w:sz w:val="32"/>
          <w:szCs w:val="32"/>
        </w:rPr>
        <w:t>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鹏华高端装备一年持有期混合型证券投资基金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鹏华睿见混合型证券投资基金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鹏华国证粮食产业交易型开放式指数证券投资基金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鹏华创业板</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交易型开放式指数证券投资基金联接基金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鹏华信用债</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个月持有期债</w:t>
      </w:r>
      <w:r>
        <w:rPr>
          <w:rFonts w:ascii="仿宋" w:eastAsia="仿宋" w:hAnsi="仿宋" w:hint="eastAsia"/>
          <w:color w:val="000000" w:themeColor="text1"/>
          <w:sz w:val="32"/>
          <w:szCs w:val="32"/>
        </w:rPr>
        <w:t>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1000</w:t>
      </w:r>
      <w:r>
        <w:rPr>
          <w:rFonts w:ascii="仿宋" w:eastAsia="仿宋" w:hAnsi="仿宋" w:hint="eastAsia"/>
          <w:color w:val="000000" w:themeColor="text1"/>
          <w:sz w:val="32"/>
          <w:szCs w:val="32"/>
        </w:rPr>
        <w:t>增强策略交易型开放式指数证券投资基金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鹏华养老目标日期</w:t>
      </w:r>
      <w:r>
        <w:rPr>
          <w:rFonts w:ascii="仿宋" w:eastAsia="仿宋" w:hAnsi="仿宋" w:hint="eastAsia"/>
          <w:color w:val="000000" w:themeColor="text1"/>
          <w:sz w:val="32"/>
          <w:szCs w:val="32"/>
        </w:rPr>
        <w:t>2050</w:t>
      </w:r>
      <w:r>
        <w:rPr>
          <w:rFonts w:ascii="仿宋" w:eastAsia="仿宋" w:hAnsi="仿宋" w:hint="eastAsia"/>
          <w:color w:val="000000" w:themeColor="text1"/>
          <w:sz w:val="32"/>
          <w:szCs w:val="32"/>
        </w:rPr>
        <w:t>五年持有期混合型发起式基金中基金（</w:t>
      </w:r>
      <w:r>
        <w:rPr>
          <w:rFonts w:ascii="仿宋" w:eastAsia="仿宋" w:hAnsi="仿宋" w:hint="eastAsia"/>
          <w:color w:val="000000" w:themeColor="text1"/>
          <w:sz w:val="32"/>
          <w:szCs w:val="32"/>
        </w:rPr>
        <w:t>FOF</w:t>
      </w:r>
      <w:r>
        <w:rPr>
          <w:rFonts w:ascii="仿宋" w:eastAsia="仿宋" w:hAnsi="仿宋" w:hint="eastAsia"/>
          <w:color w:val="000000" w:themeColor="text1"/>
          <w:sz w:val="32"/>
          <w:szCs w:val="32"/>
        </w:rPr>
        <w:t>）</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鹏华易诚积极</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个月持有期混合型基金中基金（</w:t>
      </w:r>
      <w:r>
        <w:rPr>
          <w:rFonts w:ascii="仿宋" w:eastAsia="仿宋" w:hAnsi="仿宋" w:hint="eastAsia"/>
          <w:color w:val="000000" w:themeColor="text1"/>
          <w:sz w:val="32"/>
          <w:szCs w:val="32"/>
        </w:rPr>
        <w:t>FOF</w:t>
      </w:r>
      <w:r>
        <w:rPr>
          <w:rFonts w:ascii="仿宋" w:eastAsia="仿宋" w:hAnsi="仿宋" w:hint="eastAsia"/>
          <w:color w:val="000000" w:themeColor="text1"/>
          <w:sz w:val="32"/>
          <w:szCs w:val="32"/>
        </w:rPr>
        <w:t>）</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鹏华远见精选混合型发起式证券投资基金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交易型开放式指数证券投资基金联接基金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鹏华易选积极</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个月持有期混合型基金中基金（</w:t>
      </w:r>
      <w:r>
        <w:rPr>
          <w:rFonts w:ascii="仿宋" w:eastAsia="仿宋" w:hAnsi="仿宋" w:hint="eastAsia"/>
          <w:color w:val="000000" w:themeColor="text1"/>
          <w:sz w:val="32"/>
          <w:szCs w:val="32"/>
        </w:rPr>
        <w:t>FOF</w:t>
      </w:r>
      <w:r>
        <w:rPr>
          <w:rFonts w:ascii="仿宋" w:eastAsia="仿宋" w:hAnsi="仿宋" w:hint="eastAsia"/>
          <w:color w:val="000000" w:themeColor="text1"/>
          <w:sz w:val="32"/>
          <w:szCs w:val="32"/>
        </w:rPr>
        <w:t>）</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鹏华丰景债券型证券投资基金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鹏华道琼斯工业平均交易型开放式指数证券投资基金（</w:t>
      </w:r>
      <w:r>
        <w:rPr>
          <w:rFonts w:ascii="仿宋" w:eastAsia="仿宋" w:hAnsi="仿宋" w:hint="eastAsia"/>
          <w:color w:val="000000" w:themeColor="text1"/>
          <w:sz w:val="32"/>
          <w:szCs w:val="32"/>
        </w:rPr>
        <w:t>QDII</w:t>
      </w:r>
      <w:r>
        <w:rPr>
          <w:rFonts w:ascii="仿宋" w:eastAsia="仿宋" w:hAnsi="仿宋" w:hint="eastAsia"/>
          <w:color w:val="000000" w:themeColor="text1"/>
          <w:sz w:val="32"/>
          <w:szCs w:val="32"/>
        </w:rPr>
        <w:t>）</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鹏华智投</w:t>
      </w:r>
      <w:r>
        <w:rPr>
          <w:rFonts w:ascii="仿宋" w:eastAsia="仿宋" w:hAnsi="仿宋" w:hint="eastAsia"/>
          <w:color w:val="000000" w:themeColor="text1"/>
          <w:sz w:val="32"/>
          <w:szCs w:val="32"/>
        </w:rPr>
        <w:t>800</w:t>
      </w:r>
      <w:r>
        <w:rPr>
          <w:rFonts w:ascii="仿宋" w:eastAsia="仿宋" w:hAnsi="仿宋" w:hint="eastAsia"/>
          <w:color w:val="000000" w:themeColor="text1"/>
          <w:sz w:val="32"/>
          <w:szCs w:val="32"/>
        </w:rPr>
        <w:t>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鹏华双季红</w:t>
      </w:r>
      <w:r>
        <w:rPr>
          <w:rFonts w:ascii="仿宋" w:eastAsia="仿宋" w:hAnsi="仿宋" w:hint="eastAsia"/>
          <w:color w:val="000000" w:themeColor="text1"/>
          <w:sz w:val="32"/>
          <w:szCs w:val="32"/>
        </w:rPr>
        <w:t>180</w:t>
      </w:r>
      <w:r>
        <w:rPr>
          <w:rFonts w:ascii="仿宋" w:eastAsia="仿宋" w:hAnsi="仿宋" w:hint="eastAsia"/>
          <w:color w:val="000000" w:themeColor="text1"/>
          <w:sz w:val="32"/>
          <w:szCs w:val="32"/>
        </w:rPr>
        <w:t>天持有期债券型证券投资基金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鹏华稳益</w:t>
      </w:r>
      <w:r>
        <w:rPr>
          <w:rFonts w:ascii="仿宋" w:eastAsia="仿宋" w:hAnsi="仿宋" w:hint="eastAsia"/>
          <w:color w:val="000000" w:themeColor="text1"/>
          <w:sz w:val="32"/>
          <w:szCs w:val="32"/>
        </w:rPr>
        <w:t>180</w:t>
      </w:r>
      <w:r>
        <w:rPr>
          <w:rFonts w:ascii="仿宋" w:eastAsia="仿宋" w:hAnsi="仿宋" w:hint="eastAsia"/>
          <w:color w:val="000000" w:themeColor="text1"/>
          <w:sz w:val="32"/>
          <w:szCs w:val="32"/>
        </w:rPr>
        <w:t>天持有期债券型证券投资基金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鹏华中证电信主题交易型开放式指数证券投资基金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鹏华中证车联网主题交易型开放式指数证券投资基金发起式联接基金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鹏华恒生中国央企交易型开放式指数证券投资基金（</w:t>
      </w:r>
      <w:r>
        <w:rPr>
          <w:rFonts w:ascii="仿宋" w:eastAsia="仿宋" w:hAnsi="仿宋" w:hint="eastAsia"/>
          <w:color w:val="000000" w:themeColor="text1"/>
          <w:sz w:val="32"/>
          <w:szCs w:val="32"/>
        </w:rPr>
        <w:t>QDII</w:t>
      </w:r>
      <w:r>
        <w:rPr>
          <w:rFonts w:ascii="仿宋" w:eastAsia="仿宋" w:hAnsi="仿宋" w:hint="eastAsia"/>
          <w:color w:val="000000" w:themeColor="text1"/>
          <w:sz w:val="32"/>
          <w:szCs w:val="32"/>
        </w:rPr>
        <w:t>）</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鹏华双季乐</w:t>
      </w:r>
      <w:r>
        <w:rPr>
          <w:rFonts w:ascii="仿宋" w:eastAsia="仿宋" w:hAnsi="仿宋" w:hint="eastAsia"/>
          <w:color w:val="000000" w:themeColor="text1"/>
          <w:sz w:val="32"/>
          <w:szCs w:val="32"/>
        </w:rPr>
        <w:t>180</w:t>
      </w:r>
      <w:r>
        <w:rPr>
          <w:rFonts w:ascii="仿宋" w:eastAsia="仿宋" w:hAnsi="仿宋" w:hint="eastAsia"/>
          <w:color w:val="000000" w:themeColor="text1"/>
          <w:sz w:val="32"/>
          <w:szCs w:val="32"/>
        </w:rPr>
        <w:t>天持有期债券型证券投资基金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鹏华国证石油天然气交易型开放式指数证券投资基金联接基金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鹏华永兴债券型证券投资基金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鹏华智投数字经济混合型证券投资基金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鹏华创新医药混合型证券投资基金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鹏华品质甄选混合型证券投资基金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鹏华精新添利债券型证券投资基金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w:t>
      </w:r>
      <w:r>
        <w:rPr>
          <w:rFonts w:ascii="仿宋" w:eastAsia="仿宋" w:hAnsi="仿宋" w:hint="eastAsia"/>
          <w:color w:val="000000" w:themeColor="text1"/>
          <w:sz w:val="32"/>
          <w:szCs w:val="32"/>
        </w:rPr>
        <w:t>ESG300</w:t>
      </w:r>
      <w:r>
        <w:rPr>
          <w:rFonts w:ascii="仿宋" w:eastAsia="仿宋" w:hAnsi="仿宋" w:hint="eastAsia"/>
          <w:color w:val="000000" w:themeColor="text1"/>
          <w:sz w:val="32"/>
          <w:szCs w:val="32"/>
        </w:rPr>
        <w:t>交易型开放式指数证券投资基金联接基金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鹏华中证工业互联网主题交易型开放式指数证券投资基金发起式联接基金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800</w:t>
      </w:r>
      <w:r>
        <w:rPr>
          <w:rFonts w:ascii="仿宋" w:eastAsia="仿宋" w:hAnsi="仿宋" w:hint="eastAsia"/>
          <w:color w:val="000000" w:themeColor="text1"/>
          <w:sz w:val="32"/>
          <w:szCs w:val="32"/>
        </w:rPr>
        <w:t>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鹏华中证港股通科技交易型开放式指数证券投资基金发起式联接基金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鹏华中证港股通医药卫生综合交易型开放式指数证券投资基金发起式联接基金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鹏华上证科创板新能源交易型开放式指数证券投资基金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鹏华成长先锋混合型证券投资基金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成份增强策略交易型开放式指数证券投资基金发起式联接基金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鹏华科技驱动混合型发起式证券投资基金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鹏华中证云计算与大数据主题交易型开放式指数证券投资基金发起式联接基金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鹏华国证粮食产业交易型开放式指数证券投资基金发起式联接基金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鹏华国证有色金属行业交易型开放式指数证券投资基金发起式联接基金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鹏华国证疫苗与生物科技交易型开放式指数证券投资基金发起式联接基金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鹏华中证光伏产业交易型开放式指数证券投资基金发起式联接基金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鹏华中债</w:t>
      </w:r>
      <w:r>
        <w:rPr>
          <w:rFonts w:ascii="仿宋" w:eastAsia="仿宋" w:hAnsi="仿宋" w:hint="eastAsia"/>
          <w:color w:val="000000" w:themeColor="text1"/>
          <w:sz w:val="32"/>
          <w:szCs w:val="32"/>
        </w:rPr>
        <w:t>0-3</w:t>
      </w:r>
      <w:r>
        <w:rPr>
          <w:rFonts w:ascii="仿宋" w:eastAsia="仿宋" w:hAnsi="仿宋" w:hint="eastAsia"/>
          <w:color w:val="000000" w:themeColor="text1"/>
          <w:sz w:val="32"/>
          <w:szCs w:val="32"/>
        </w:rPr>
        <w:t>年政策性金融债指数证券投资基金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鹏华北证</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成份指数发起式证券投资基金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A500</w:t>
      </w:r>
      <w:r>
        <w:rPr>
          <w:rFonts w:ascii="仿宋" w:eastAsia="仿宋" w:hAnsi="仿宋" w:hint="eastAsia"/>
          <w:color w:val="000000" w:themeColor="text1"/>
          <w:sz w:val="32"/>
          <w:szCs w:val="32"/>
        </w:rPr>
        <w:t>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鹏华绿色债券债券型证券投资基金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w:t>
      </w:r>
      <w:r>
        <w:rPr>
          <w:rFonts w:ascii="仿宋" w:eastAsia="仿宋" w:hAnsi="仿宋" w:hint="eastAsia"/>
          <w:color w:val="000000" w:themeColor="text1"/>
          <w:sz w:val="32"/>
          <w:szCs w:val="32"/>
        </w:rPr>
        <w:t>180</w:t>
      </w:r>
      <w:r>
        <w:rPr>
          <w:rFonts w:ascii="仿宋" w:eastAsia="仿宋" w:hAnsi="仿宋" w:hint="eastAsia"/>
          <w:color w:val="000000" w:themeColor="text1"/>
          <w:sz w:val="32"/>
          <w:szCs w:val="32"/>
        </w:rPr>
        <w:t>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鹏华中证全指公用事业交易型开放式指数证券投资基金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A500</w:t>
      </w:r>
      <w:r>
        <w:rPr>
          <w:rFonts w:ascii="仿宋" w:eastAsia="仿宋" w:hAnsi="仿宋" w:hint="eastAsia"/>
          <w:color w:val="000000" w:themeColor="text1"/>
          <w:sz w:val="32"/>
          <w:szCs w:val="32"/>
        </w:rPr>
        <w:t>交易型开放式指数证券投资基金联接基金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w:t>
      </w:r>
      <w:r>
        <w:rPr>
          <w:rFonts w:ascii="仿宋" w:eastAsia="仿宋" w:hAnsi="仿宋" w:hint="eastAsia"/>
          <w:color w:val="000000" w:themeColor="text1"/>
          <w:sz w:val="32"/>
          <w:szCs w:val="32"/>
        </w:rPr>
        <w:t>180</w:t>
      </w:r>
      <w:r>
        <w:rPr>
          <w:rFonts w:ascii="仿宋" w:eastAsia="仿宋" w:hAnsi="仿宋" w:hint="eastAsia"/>
          <w:color w:val="000000" w:themeColor="text1"/>
          <w:sz w:val="32"/>
          <w:szCs w:val="32"/>
        </w:rPr>
        <w:t>交易型开放式指数证券投资基金发起式联接基金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鹏华添泽</w:t>
      </w:r>
      <w:r>
        <w:rPr>
          <w:rFonts w:ascii="仿宋" w:eastAsia="仿宋" w:hAnsi="仿宋" w:hint="eastAsia"/>
          <w:color w:val="000000" w:themeColor="text1"/>
          <w:sz w:val="32"/>
          <w:szCs w:val="32"/>
        </w:rPr>
        <w:t>120</w:t>
      </w:r>
      <w:r>
        <w:rPr>
          <w:rFonts w:ascii="仿宋" w:eastAsia="仿宋" w:hAnsi="仿宋" w:hint="eastAsia"/>
          <w:color w:val="000000" w:themeColor="text1"/>
          <w:sz w:val="32"/>
          <w:szCs w:val="32"/>
        </w:rPr>
        <w:t>天滚动持有债券型证券投资基金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鹏华恒生港股通高股息率指数发起式证券投资基金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w:t>
      </w:r>
      <w:r>
        <w:rPr>
          <w:rFonts w:ascii="仿宋" w:eastAsia="仿宋" w:hAnsi="仿宋" w:hint="eastAsia"/>
          <w:color w:val="000000" w:themeColor="text1"/>
          <w:sz w:val="32"/>
          <w:szCs w:val="32"/>
        </w:rPr>
        <w:t>200</w:t>
      </w:r>
      <w:r>
        <w:rPr>
          <w:rFonts w:ascii="仿宋" w:eastAsia="仿宋" w:hAnsi="仿宋" w:hint="eastAsia"/>
          <w:color w:val="000000" w:themeColor="text1"/>
          <w:sz w:val="32"/>
          <w:szCs w:val="32"/>
        </w:rPr>
        <w:t>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鹏华添和</w:t>
      </w:r>
      <w:r>
        <w:rPr>
          <w:rFonts w:ascii="仿宋" w:eastAsia="仿宋" w:hAnsi="仿宋" w:hint="eastAsia"/>
          <w:color w:val="000000" w:themeColor="text1"/>
          <w:sz w:val="32"/>
          <w:szCs w:val="32"/>
        </w:rPr>
        <w:t>30</w:t>
      </w:r>
      <w:r>
        <w:rPr>
          <w:rFonts w:ascii="仿宋" w:eastAsia="仿宋" w:hAnsi="仿宋" w:hint="eastAsia"/>
          <w:color w:val="000000" w:themeColor="text1"/>
          <w:sz w:val="32"/>
          <w:szCs w:val="32"/>
        </w:rPr>
        <w:t>天持有期债券型证券投资基金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鹏华沪深</w:t>
      </w:r>
      <w:r>
        <w:rPr>
          <w:rFonts w:ascii="仿宋" w:eastAsia="仿宋" w:hAnsi="仿宋" w:hint="eastAsia"/>
          <w:color w:val="000000" w:themeColor="text1"/>
          <w:sz w:val="32"/>
          <w:szCs w:val="32"/>
        </w:rPr>
        <w:t>300</w:t>
      </w:r>
      <w:r>
        <w:rPr>
          <w:rFonts w:ascii="仿宋" w:eastAsia="仿宋" w:hAnsi="仿宋" w:hint="eastAsia"/>
          <w:color w:val="000000" w:themeColor="text1"/>
          <w:sz w:val="32"/>
          <w:szCs w:val="32"/>
        </w:rPr>
        <w:t>指数量化增强型证券投资基金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鹏华上证科创板综合交易型开放式指数证券投资基金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鹏华恒生中国央企交易型开放式指数证券</w:t>
      </w:r>
      <w:r>
        <w:rPr>
          <w:rFonts w:ascii="仿宋" w:eastAsia="仿宋" w:hAnsi="仿宋" w:hint="eastAsia"/>
          <w:color w:val="000000" w:themeColor="text1"/>
          <w:sz w:val="32"/>
          <w:szCs w:val="32"/>
        </w:rPr>
        <w:t>投资基金发起式联接基金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鹏华上证科创板生物医药交易型开放式指数证券投资基金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鹏华上证科创板新能源交易型开放式指数证券投资基金发起式联接基金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A50</w:t>
      </w:r>
      <w:r>
        <w:rPr>
          <w:rFonts w:ascii="仿宋" w:eastAsia="仿宋" w:hAnsi="仿宋" w:hint="eastAsia"/>
          <w:color w:val="000000" w:themeColor="text1"/>
          <w:sz w:val="32"/>
          <w:szCs w:val="32"/>
        </w:rPr>
        <w:t>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成份交易型开放式指数证券投资基金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鹏华上证科创板综合交易型开放式指数证券投资基金联接基金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800</w:t>
      </w:r>
      <w:r>
        <w:rPr>
          <w:rFonts w:ascii="仿宋" w:eastAsia="仿宋" w:hAnsi="仿宋" w:hint="eastAsia"/>
          <w:color w:val="000000" w:themeColor="text1"/>
          <w:sz w:val="32"/>
          <w:szCs w:val="32"/>
        </w:rPr>
        <w:t>自由现金流交易型开放式指数证券投资基金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A500</w:t>
      </w:r>
      <w:r>
        <w:rPr>
          <w:rFonts w:ascii="仿宋" w:eastAsia="仿宋" w:hAnsi="仿宋" w:hint="eastAsia"/>
          <w:color w:val="000000" w:themeColor="text1"/>
          <w:sz w:val="32"/>
          <w:szCs w:val="32"/>
        </w:rPr>
        <w:t>指数增强型证券投资基金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800</w:t>
      </w:r>
      <w:r>
        <w:rPr>
          <w:rFonts w:ascii="仿宋" w:eastAsia="仿宋" w:hAnsi="仿宋" w:hint="eastAsia"/>
          <w:color w:val="000000" w:themeColor="text1"/>
          <w:sz w:val="32"/>
          <w:szCs w:val="32"/>
        </w:rPr>
        <w:t>交易型开放式指数证券投资基金发起式联接基金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w:t>
      </w:r>
      <w:r>
        <w:rPr>
          <w:rFonts w:ascii="仿宋" w:eastAsia="仿宋" w:hAnsi="仿宋" w:hint="eastAsia"/>
          <w:color w:val="000000" w:themeColor="text1"/>
          <w:sz w:val="32"/>
          <w:szCs w:val="32"/>
        </w:rPr>
        <w:t>200</w:t>
      </w:r>
      <w:r>
        <w:rPr>
          <w:rFonts w:ascii="仿宋" w:eastAsia="仿宋" w:hAnsi="仿宋" w:hint="eastAsia"/>
          <w:color w:val="000000" w:themeColor="text1"/>
          <w:sz w:val="32"/>
          <w:szCs w:val="32"/>
        </w:rPr>
        <w:t>交易型开放式指数证券投资基金联接基金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鹏华中证全</w:t>
      </w:r>
      <w:r>
        <w:rPr>
          <w:rFonts w:ascii="仿宋" w:eastAsia="仿宋" w:hAnsi="仿宋" w:hint="eastAsia"/>
          <w:color w:val="000000" w:themeColor="text1"/>
          <w:sz w:val="32"/>
          <w:szCs w:val="32"/>
        </w:rPr>
        <w:t>指自由现金流交易型开放式指数证券投资基金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鹏华国证港股通消费主题交易型开放式指数证券投资基金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鹏华创业板新能源交易型开放式指数证券投资基金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鹏华共赢未来混合型证券投资基金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w:t>
      </w:r>
      <w:r>
        <w:rPr>
          <w:rFonts w:ascii="仿宋" w:eastAsia="仿宋" w:hAnsi="仿宋" w:hint="eastAsia"/>
          <w:color w:val="000000" w:themeColor="text1"/>
          <w:sz w:val="32"/>
          <w:szCs w:val="32"/>
        </w:rPr>
        <w:t>AAA</w:t>
      </w:r>
      <w:r>
        <w:rPr>
          <w:rFonts w:ascii="仿宋" w:eastAsia="仿宋" w:hAnsi="仿宋" w:hint="eastAsia"/>
          <w:color w:val="000000" w:themeColor="text1"/>
          <w:sz w:val="32"/>
          <w:szCs w:val="32"/>
        </w:rPr>
        <w:t>科技创新公司债交易型开放式指数证券投资基金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鹏华上证科创板芯片交易型开放式指数证券投资基金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800</w:t>
      </w:r>
      <w:r>
        <w:rPr>
          <w:rFonts w:ascii="仿宋" w:eastAsia="仿宋" w:hAnsi="仿宋" w:hint="eastAsia"/>
          <w:color w:val="000000" w:themeColor="text1"/>
          <w:sz w:val="32"/>
          <w:szCs w:val="32"/>
        </w:rPr>
        <w:t>自由现金流交易型开放式指数证券投资基金联接基金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鹏华国证机器人产业交易型开放式指数证券投资基金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鹏华恒生交易型开放式指数证券投资基金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鹏华上证科创板人工智能交易型开放式指数证券投资基金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鹏华国证港股通创新药交易型开放式指数证券投资基金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鹏华上证科创板半导体材料设备主题交易型开放式指数证券投资基金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鹏华上证科创板生物医药交易型开放式指数证券投资基金发起式联接基金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鹏华创业板综合交易型开放式指数证券投资基金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鹏华中证电信主题交易型开放式指数证券投资基金发起式联接基金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鹏华中证金融科技主题交易型开放式指数证券投资基金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鹏华标普港股通低波红利交易型开放式指数证券投资基金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鹏华制造升级混合型证券投资基金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鹏华上证科创板综合指数增强型证券投资基金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鹏华国证机器人产业交易型开放式指数证券投资基金发起式联</w:t>
      </w:r>
      <w:r>
        <w:rPr>
          <w:rFonts w:ascii="仿宋" w:eastAsia="仿宋" w:hAnsi="仿宋" w:hint="eastAsia"/>
          <w:color w:val="000000" w:themeColor="text1"/>
          <w:sz w:val="32"/>
          <w:szCs w:val="32"/>
        </w:rPr>
        <w:t>接基金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鹏华睿丰债券型证券投资基金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鹏华安泰中短债</w:t>
      </w:r>
      <w:bookmarkStart w:id="0" w:name="_GoBack"/>
      <w:bookmarkEnd w:id="0"/>
      <w:r>
        <w:rPr>
          <w:rFonts w:ascii="仿宋" w:eastAsia="仿宋" w:hAnsi="仿宋" w:hint="eastAsia"/>
          <w:color w:val="000000" w:themeColor="text1"/>
          <w:sz w:val="32"/>
          <w:szCs w:val="32"/>
        </w:rPr>
        <w:t>债券型证券投资基金</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鹏华易选平衡</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个月持有期混合型基金中基金（</w:t>
      </w:r>
      <w:r>
        <w:rPr>
          <w:rFonts w:ascii="仿宋" w:eastAsia="仿宋" w:hAnsi="仿宋" w:hint="eastAsia"/>
          <w:color w:val="000000" w:themeColor="text1"/>
          <w:sz w:val="32"/>
          <w:szCs w:val="32"/>
        </w:rPr>
        <w:t>FOF</w:t>
      </w:r>
      <w:r>
        <w:rPr>
          <w:rFonts w:ascii="仿宋" w:eastAsia="仿宋" w:hAnsi="仿宋" w:hint="eastAsia"/>
          <w:color w:val="000000" w:themeColor="text1"/>
          <w:sz w:val="32"/>
          <w:szCs w:val="32"/>
        </w:rPr>
        <w:t>）</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202</w:t>
      </w:r>
      <w:r>
        <w:rPr>
          <w:rFonts w:ascii="仿宋" w:eastAsia="仿宋" w:hAnsi="仿宋" w:hint="eastAsia"/>
          <w:color w:val="000000" w:themeColor="text1"/>
          <w:sz w:val="32"/>
          <w:szCs w:val="32"/>
        </w:rPr>
        <w:t>5</w:t>
      </w:r>
      <w:r>
        <w:rPr>
          <w:rFonts w:ascii="仿宋" w:eastAsia="仿宋" w:hAnsi="仿宋" w:hint="eastAsia"/>
          <w:color w:val="000000" w:themeColor="text1"/>
          <w:sz w:val="32"/>
          <w:szCs w:val="32"/>
        </w:rPr>
        <w:t>年第</w:t>
      </w:r>
      <w:r>
        <w:rPr>
          <w:rFonts w:ascii="仿宋" w:eastAsia="仿宋" w:hAnsi="仿宋" w:hint="eastAsia"/>
          <w:color w:val="000000" w:themeColor="text1"/>
          <w:sz w:val="32"/>
          <w:szCs w:val="32"/>
        </w:rPr>
        <w:t>4</w:t>
      </w:r>
      <w:r>
        <w:rPr>
          <w:rFonts w:ascii="仿宋" w:eastAsia="仿宋" w:hAnsi="仿宋" w:hint="eastAsia"/>
          <w:color w:val="000000" w:themeColor="text1"/>
          <w:sz w:val="32"/>
          <w:szCs w:val="32"/>
        </w:rPr>
        <w:t>季度</w:t>
      </w:r>
      <w:r>
        <w:rPr>
          <w:rFonts w:ascii="仿宋" w:eastAsia="仿宋" w:hAnsi="仿宋"/>
          <w:color w:val="000000" w:themeColor="text1"/>
          <w:sz w:val="32"/>
          <w:szCs w:val="32"/>
        </w:rPr>
        <w:t>报告全文</w:t>
      </w:r>
      <w:r>
        <w:rPr>
          <w:rFonts w:ascii="仿宋" w:eastAsia="仿宋" w:hAnsi="仿宋" w:hint="eastAsia"/>
          <w:color w:val="000000" w:themeColor="text1"/>
          <w:sz w:val="32"/>
          <w:szCs w:val="32"/>
        </w:rPr>
        <w:t>于</w:t>
      </w:r>
      <w:r>
        <w:rPr>
          <w:rFonts w:ascii="仿宋" w:eastAsia="仿宋" w:hAnsi="仿宋" w:hint="eastAsia"/>
          <w:color w:val="000000" w:themeColor="text1"/>
          <w:sz w:val="32"/>
          <w:szCs w:val="32"/>
        </w:rPr>
        <w:t>202</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年</w:t>
      </w:r>
      <w:r>
        <w:rPr>
          <w:rFonts w:ascii="仿宋" w:eastAsia="仿宋" w:hAnsi="仿宋" w:hint="eastAsia"/>
          <w:color w:val="000000" w:themeColor="text1"/>
          <w:sz w:val="32"/>
          <w:szCs w:val="32"/>
        </w:rPr>
        <w:t>1</w:t>
      </w:r>
      <w:r>
        <w:rPr>
          <w:rFonts w:ascii="仿宋" w:eastAsia="仿宋" w:hAnsi="仿宋" w:hint="eastAsia"/>
          <w:color w:val="000000" w:themeColor="text1"/>
          <w:sz w:val="32"/>
          <w:szCs w:val="32"/>
        </w:rPr>
        <w:t>月</w:t>
      </w:r>
      <w:r>
        <w:rPr>
          <w:rFonts w:ascii="仿宋" w:eastAsia="仿宋" w:hAnsi="仿宋" w:hint="eastAsia"/>
          <w:color w:val="000000" w:themeColor="text1"/>
          <w:sz w:val="32"/>
          <w:szCs w:val="32"/>
        </w:rPr>
        <w:t>21</w:t>
      </w:r>
      <w:r>
        <w:rPr>
          <w:rFonts w:ascii="仿宋" w:eastAsia="仿宋" w:hAnsi="仿宋" w:hint="eastAsia"/>
          <w:color w:val="000000" w:themeColor="text1"/>
          <w:sz w:val="32"/>
          <w:szCs w:val="32"/>
        </w:rPr>
        <w:t>日在</w:t>
      </w:r>
      <w:r>
        <w:rPr>
          <w:rFonts w:ascii="仿宋" w:eastAsia="仿宋" w:hAnsi="仿宋"/>
          <w:color w:val="000000" w:themeColor="text1"/>
          <w:sz w:val="32"/>
          <w:szCs w:val="32"/>
        </w:rPr>
        <w:t>本公司网站</w:t>
      </w:r>
      <w:r>
        <w:rPr>
          <w:rFonts w:ascii="仿宋" w:eastAsia="仿宋" w:hAnsi="仿宋" w:hint="eastAsia"/>
          <w:color w:val="000000" w:themeColor="text1"/>
          <w:sz w:val="32"/>
          <w:szCs w:val="32"/>
        </w:rPr>
        <w:t>[</w:t>
      </w:r>
      <w:r>
        <w:rPr>
          <w:rFonts w:ascii="仿宋" w:eastAsia="仿宋" w:hAnsi="仿宋"/>
          <w:color w:val="000000" w:themeColor="text1"/>
          <w:sz w:val="32"/>
          <w:szCs w:val="32"/>
        </w:rPr>
        <w:t>http://www.phfund.com.cn</w:t>
      </w:r>
      <w:r>
        <w:rPr>
          <w:rFonts w:ascii="仿宋" w:eastAsia="仿宋" w:hAnsi="仿宋" w:hint="eastAsia"/>
          <w:color w:val="000000" w:themeColor="text1"/>
          <w:sz w:val="32"/>
          <w:szCs w:val="32"/>
        </w:rPr>
        <w:t>]</w:t>
      </w:r>
      <w:r>
        <w:rPr>
          <w:rFonts w:ascii="仿宋" w:eastAsia="仿宋" w:hAnsi="仿宋"/>
          <w:color w:val="000000" w:themeColor="text1"/>
          <w:sz w:val="32"/>
          <w:szCs w:val="32"/>
        </w:rPr>
        <w:t>和中国证监会</w:t>
      </w:r>
      <w:r>
        <w:rPr>
          <w:rFonts w:ascii="仿宋" w:eastAsia="仿宋" w:hAnsi="仿宋" w:hint="eastAsia"/>
          <w:color w:val="000000" w:themeColor="text1"/>
          <w:sz w:val="32"/>
          <w:szCs w:val="32"/>
        </w:rPr>
        <w:t>基金</w:t>
      </w:r>
      <w:r>
        <w:rPr>
          <w:rFonts w:ascii="仿宋" w:eastAsia="仿宋" w:hAnsi="仿宋"/>
          <w:color w:val="000000" w:themeColor="text1"/>
          <w:sz w:val="32"/>
          <w:szCs w:val="32"/>
        </w:rPr>
        <w:t>电子披露网站</w:t>
      </w:r>
      <w:r>
        <w:rPr>
          <w:rFonts w:ascii="仿宋" w:eastAsia="仿宋" w:hAnsi="仿宋" w:hint="eastAsia"/>
          <w:color w:val="000000" w:themeColor="text1"/>
          <w:sz w:val="32"/>
          <w:szCs w:val="32"/>
        </w:rPr>
        <w:t>（</w:t>
      </w:r>
      <w:hyperlink r:id="rId7" w:history="1">
        <w:r>
          <w:rPr>
            <w:rStyle w:val="a9"/>
            <w:rFonts w:ascii="仿宋" w:eastAsia="仿宋" w:hAnsi="仿宋" w:hint="eastAsia"/>
            <w:sz w:val="32"/>
            <w:szCs w:val="32"/>
          </w:rPr>
          <w:t>http://eid.csrc.gov.cn/fund</w:t>
        </w:r>
      </w:hyperlink>
      <w:r>
        <w:rPr>
          <w:rFonts w:ascii="仿宋" w:eastAsia="仿宋" w:hAnsi="仿宋" w:hint="eastAsia"/>
          <w:color w:val="000000" w:themeColor="text1"/>
          <w:sz w:val="32"/>
          <w:szCs w:val="32"/>
        </w:rPr>
        <w:t>）</w:t>
      </w:r>
      <w:r>
        <w:rPr>
          <w:rFonts w:ascii="仿宋" w:eastAsia="仿宋" w:hAnsi="仿宋"/>
          <w:color w:val="000000" w:themeColor="text1"/>
          <w:sz w:val="32"/>
          <w:szCs w:val="32"/>
        </w:rPr>
        <w:t>披露，供投资者查阅。</w:t>
      </w:r>
      <w:r>
        <w:rPr>
          <w:rFonts w:ascii="仿宋" w:eastAsia="仿宋" w:hAnsi="仿宋" w:hint="eastAsia"/>
          <w:color w:val="000000" w:themeColor="text1"/>
          <w:sz w:val="32"/>
          <w:szCs w:val="32"/>
        </w:rPr>
        <w:t>如有疑问可拨打本公司客服电话（</w:t>
      </w:r>
      <w:r>
        <w:rPr>
          <w:rFonts w:ascii="仿宋" w:eastAsia="仿宋" w:hAnsi="仿宋"/>
          <w:color w:val="000000" w:themeColor="text1"/>
          <w:sz w:val="32"/>
          <w:szCs w:val="32"/>
        </w:rPr>
        <w:t>400-6788-999</w:t>
      </w:r>
      <w:r>
        <w:rPr>
          <w:rFonts w:ascii="仿宋" w:eastAsia="仿宋" w:hAnsi="仿宋" w:hint="eastAsia"/>
          <w:color w:val="000000" w:themeColor="text1"/>
          <w:sz w:val="32"/>
          <w:szCs w:val="32"/>
        </w:rPr>
        <w:t>/</w:t>
      </w:r>
      <w:r>
        <w:t xml:space="preserve"> </w:t>
      </w:r>
      <w:r>
        <w:rPr>
          <w:rFonts w:ascii="仿宋" w:eastAsia="仿宋" w:hAnsi="仿宋"/>
          <w:color w:val="000000" w:themeColor="text1"/>
          <w:sz w:val="32"/>
          <w:szCs w:val="32"/>
        </w:rPr>
        <w:t>400-6788-533</w:t>
      </w:r>
      <w:r>
        <w:rPr>
          <w:rFonts w:ascii="仿宋" w:eastAsia="仿宋" w:hAnsi="仿宋" w:hint="eastAsia"/>
          <w:color w:val="000000" w:themeColor="text1"/>
          <w:sz w:val="32"/>
          <w:szCs w:val="32"/>
        </w:rPr>
        <w:t>）咨询</w:t>
      </w:r>
      <w:r>
        <w:rPr>
          <w:rFonts w:ascii="仿宋" w:eastAsia="仿宋" w:hAnsi="仿宋"/>
          <w:color w:val="000000" w:themeColor="text1"/>
          <w:sz w:val="32"/>
          <w:szCs w:val="32"/>
        </w:rPr>
        <w:t>。</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本基金管理人承诺以诚实信用、勤勉尽责的原则管理和运用基金资产，但不保证基金一定盈利，也不保证最低收益。请充分了解基金的风险收益特征，审慎做出投资决定。</w:t>
      </w:r>
    </w:p>
    <w:p w:rsidR="005651F3" w:rsidRDefault="00B06A2F">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5651F3" w:rsidRDefault="005651F3">
      <w:pPr>
        <w:spacing w:line="540" w:lineRule="exact"/>
        <w:ind w:firstLineChars="200" w:firstLine="640"/>
        <w:rPr>
          <w:rFonts w:ascii="仿宋" w:eastAsia="仿宋" w:hAnsi="仿宋"/>
          <w:color w:val="000000" w:themeColor="text1"/>
          <w:sz w:val="32"/>
          <w:szCs w:val="32"/>
        </w:rPr>
      </w:pPr>
    </w:p>
    <w:p w:rsidR="005651F3" w:rsidRDefault="00B06A2F">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鹏华基金管理有限</w:t>
      </w:r>
      <w:r>
        <w:rPr>
          <w:rFonts w:ascii="仿宋" w:eastAsia="仿宋" w:hAnsi="仿宋"/>
          <w:color w:val="000000" w:themeColor="text1"/>
          <w:sz w:val="32"/>
          <w:szCs w:val="32"/>
        </w:rPr>
        <w:t>公司</w:t>
      </w:r>
    </w:p>
    <w:p w:rsidR="005651F3" w:rsidRDefault="00B06A2F">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202</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年</w:t>
      </w:r>
      <w:r>
        <w:rPr>
          <w:rFonts w:ascii="仿宋" w:eastAsia="仿宋" w:hAnsi="仿宋" w:hint="eastAsia"/>
          <w:color w:val="000000" w:themeColor="text1"/>
          <w:sz w:val="32"/>
          <w:szCs w:val="32"/>
        </w:rPr>
        <w:t>1</w:t>
      </w:r>
      <w:r>
        <w:rPr>
          <w:rFonts w:ascii="仿宋" w:eastAsia="仿宋" w:hAnsi="仿宋" w:hint="eastAsia"/>
          <w:color w:val="000000" w:themeColor="text1"/>
          <w:sz w:val="32"/>
          <w:szCs w:val="32"/>
        </w:rPr>
        <w:t>月</w:t>
      </w:r>
      <w:r>
        <w:rPr>
          <w:rFonts w:ascii="仿宋" w:eastAsia="仿宋" w:hAnsi="仿宋" w:hint="eastAsia"/>
          <w:color w:val="000000" w:themeColor="text1"/>
          <w:sz w:val="32"/>
          <w:szCs w:val="32"/>
        </w:rPr>
        <w:t>21</w:t>
      </w:r>
      <w:r>
        <w:rPr>
          <w:rFonts w:ascii="仿宋" w:eastAsia="仿宋" w:hAnsi="仿宋" w:hint="eastAsia"/>
          <w:color w:val="000000" w:themeColor="text1"/>
          <w:sz w:val="32"/>
          <w:szCs w:val="32"/>
        </w:rPr>
        <w:t>日</w:t>
      </w:r>
    </w:p>
    <w:sectPr w:rsidR="005651F3" w:rsidSect="005651F3">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1F3" w:rsidRDefault="005651F3" w:rsidP="005651F3">
      <w:r>
        <w:separator/>
      </w:r>
    </w:p>
  </w:endnote>
  <w:endnote w:type="continuationSeparator" w:id="0">
    <w:p w:rsidR="005651F3" w:rsidRDefault="005651F3" w:rsidP="005651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5651F3" w:rsidRDefault="005651F3">
        <w:pPr>
          <w:pStyle w:val="a5"/>
          <w:jc w:val="center"/>
        </w:pPr>
        <w:r>
          <w:fldChar w:fldCharType="begin"/>
        </w:r>
        <w:r w:rsidR="00B06A2F">
          <w:instrText>PAGE   \* MERGEFORMAT</w:instrText>
        </w:r>
        <w:r>
          <w:fldChar w:fldCharType="separate"/>
        </w:r>
        <w:r w:rsidR="00B06A2F" w:rsidRPr="00B06A2F">
          <w:rPr>
            <w:noProof/>
            <w:lang w:val="zh-CN"/>
          </w:rPr>
          <w:t>2</w:t>
        </w:r>
        <w:r>
          <w:fldChar w:fldCharType="end"/>
        </w:r>
      </w:p>
    </w:sdtContent>
  </w:sdt>
  <w:p w:rsidR="005651F3" w:rsidRDefault="005651F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sdtPr>
    <w:sdtContent>
      <w:p w:rsidR="005651F3" w:rsidRDefault="005651F3">
        <w:pPr>
          <w:pStyle w:val="a5"/>
          <w:jc w:val="center"/>
        </w:pPr>
        <w:r>
          <w:fldChar w:fldCharType="begin"/>
        </w:r>
        <w:r w:rsidR="00B06A2F">
          <w:instrText>PAGE   \* MERGEFORMAT</w:instrText>
        </w:r>
        <w:r>
          <w:fldChar w:fldCharType="separate"/>
        </w:r>
        <w:r w:rsidR="00B06A2F" w:rsidRPr="00B06A2F">
          <w:rPr>
            <w:noProof/>
            <w:lang w:val="zh-CN"/>
          </w:rPr>
          <w:t>1</w:t>
        </w:r>
        <w:r>
          <w:fldChar w:fldCharType="end"/>
        </w:r>
      </w:p>
    </w:sdtContent>
  </w:sdt>
  <w:p w:rsidR="005651F3" w:rsidRDefault="005651F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1F3" w:rsidRDefault="005651F3" w:rsidP="005651F3">
      <w:r>
        <w:separator/>
      </w:r>
    </w:p>
  </w:footnote>
  <w:footnote w:type="continuationSeparator" w:id="0">
    <w:p w:rsidR="005651F3" w:rsidRDefault="005651F3" w:rsidP="005651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cumentProtection w:formatting="1"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9A149B"/>
    <w:rsid w:val="00001760"/>
    <w:rsid w:val="00003B2F"/>
    <w:rsid w:val="00010044"/>
    <w:rsid w:val="00022ABD"/>
    <w:rsid w:val="00025D40"/>
    <w:rsid w:val="000300E5"/>
    <w:rsid w:val="0003246C"/>
    <w:rsid w:val="00033010"/>
    <w:rsid w:val="00033204"/>
    <w:rsid w:val="000475F0"/>
    <w:rsid w:val="000539F6"/>
    <w:rsid w:val="00056EE0"/>
    <w:rsid w:val="00057323"/>
    <w:rsid w:val="00067DEB"/>
    <w:rsid w:val="0008010F"/>
    <w:rsid w:val="00081ADE"/>
    <w:rsid w:val="00084E7D"/>
    <w:rsid w:val="00087988"/>
    <w:rsid w:val="0009227A"/>
    <w:rsid w:val="00093E55"/>
    <w:rsid w:val="00094F20"/>
    <w:rsid w:val="000A0272"/>
    <w:rsid w:val="000A0ECE"/>
    <w:rsid w:val="000A588E"/>
    <w:rsid w:val="000B53A5"/>
    <w:rsid w:val="000C06E1"/>
    <w:rsid w:val="000C1032"/>
    <w:rsid w:val="000C792E"/>
    <w:rsid w:val="000D18EF"/>
    <w:rsid w:val="000E0F4E"/>
    <w:rsid w:val="000E13E9"/>
    <w:rsid w:val="000E326F"/>
    <w:rsid w:val="000E7D66"/>
    <w:rsid w:val="000F07E6"/>
    <w:rsid w:val="000F407E"/>
    <w:rsid w:val="000F4301"/>
    <w:rsid w:val="000F6458"/>
    <w:rsid w:val="001039BC"/>
    <w:rsid w:val="001279BE"/>
    <w:rsid w:val="0013251E"/>
    <w:rsid w:val="001445A9"/>
    <w:rsid w:val="00146307"/>
    <w:rsid w:val="00146F2C"/>
    <w:rsid w:val="001533B2"/>
    <w:rsid w:val="001623CF"/>
    <w:rsid w:val="001656EA"/>
    <w:rsid w:val="00165D5C"/>
    <w:rsid w:val="00166B15"/>
    <w:rsid w:val="00174C8C"/>
    <w:rsid w:val="0017571E"/>
    <w:rsid w:val="00175AED"/>
    <w:rsid w:val="001801BF"/>
    <w:rsid w:val="00191702"/>
    <w:rsid w:val="00192262"/>
    <w:rsid w:val="001A593B"/>
    <w:rsid w:val="001C7C97"/>
    <w:rsid w:val="001D04AB"/>
    <w:rsid w:val="001D2521"/>
    <w:rsid w:val="001D74AE"/>
    <w:rsid w:val="001E17E9"/>
    <w:rsid w:val="001E7CAD"/>
    <w:rsid w:val="001F125D"/>
    <w:rsid w:val="001F15CB"/>
    <w:rsid w:val="001F533E"/>
    <w:rsid w:val="002116E3"/>
    <w:rsid w:val="0021172E"/>
    <w:rsid w:val="00221DE2"/>
    <w:rsid w:val="002323E6"/>
    <w:rsid w:val="00234298"/>
    <w:rsid w:val="002343BD"/>
    <w:rsid w:val="002471D4"/>
    <w:rsid w:val="00253326"/>
    <w:rsid w:val="00255BAD"/>
    <w:rsid w:val="00256A2D"/>
    <w:rsid w:val="00261CDE"/>
    <w:rsid w:val="0026276F"/>
    <w:rsid w:val="00264368"/>
    <w:rsid w:val="00276CA4"/>
    <w:rsid w:val="002823E9"/>
    <w:rsid w:val="00282A7F"/>
    <w:rsid w:val="00284E14"/>
    <w:rsid w:val="00290DEB"/>
    <w:rsid w:val="00292EFF"/>
    <w:rsid w:val="00293DE4"/>
    <w:rsid w:val="002941EC"/>
    <w:rsid w:val="00296096"/>
    <w:rsid w:val="00296303"/>
    <w:rsid w:val="002968AB"/>
    <w:rsid w:val="002970F7"/>
    <w:rsid w:val="002A1DA1"/>
    <w:rsid w:val="002A1F54"/>
    <w:rsid w:val="002A4FF0"/>
    <w:rsid w:val="002B144C"/>
    <w:rsid w:val="002B16F4"/>
    <w:rsid w:val="002B2DA0"/>
    <w:rsid w:val="002B7B4F"/>
    <w:rsid w:val="002C3EC0"/>
    <w:rsid w:val="002C5D36"/>
    <w:rsid w:val="002D2831"/>
    <w:rsid w:val="002E24D1"/>
    <w:rsid w:val="002E79D9"/>
    <w:rsid w:val="002E7B0A"/>
    <w:rsid w:val="002E7B95"/>
    <w:rsid w:val="002F2B53"/>
    <w:rsid w:val="00303860"/>
    <w:rsid w:val="00311075"/>
    <w:rsid w:val="003117E6"/>
    <w:rsid w:val="0031471A"/>
    <w:rsid w:val="00315B2A"/>
    <w:rsid w:val="003316CD"/>
    <w:rsid w:val="00332619"/>
    <w:rsid w:val="00333802"/>
    <w:rsid w:val="003467B5"/>
    <w:rsid w:val="00355B7C"/>
    <w:rsid w:val="00361065"/>
    <w:rsid w:val="0036236D"/>
    <w:rsid w:val="0036248F"/>
    <w:rsid w:val="00380AFA"/>
    <w:rsid w:val="0038176C"/>
    <w:rsid w:val="00382BCB"/>
    <w:rsid w:val="00391944"/>
    <w:rsid w:val="00393949"/>
    <w:rsid w:val="003948AF"/>
    <w:rsid w:val="00394BBC"/>
    <w:rsid w:val="003A4AC6"/>
    <w:rsid w:val="003B1905"/>
    <w:rsid w:val="003C2820"/>
    <w:rsid w:val="003C3CB5"/>
    <w:rsid w:val="003C5A1A"/>
    <w:rsid w:val="003D0424"/>
    <w:rsid w:val="003D32D7"/>
    <w:rsid w:val="003D5AA9"/>
    <w:rsid w:val="003F07BF"/>
    <w:rsid w:val="003F26B9"/>
    <w:rsid w:val="003F359D"/>
    <w:rsid w:val="003F4E13"/>
    <w:rsid w:val="003F6960"/>
    <w:rsid w:val="0040020D"/>
    <w:rsid w:val="00405ADB"/>
    <w:rsid w:val="00423E46"/>
    <w:rsid w:val="004254EE"/>
    <w:rsid w:val="00430D19"/>
    <w:rsid w:val="00433480"/>
    <w:rsid w:val="0043655D"/>
    <w:rsid w:val="00437D86"/>
    <w:rsid w:val="00441246"/>
    <w:rsid w:val="00441E0B"/>
    <w:rsid w:val="00452A46"/>
    <w:rsid w:val="00452DF0"/>
    <w:rsid w:val="00454581"/>
    <w:rsid w:val="00454978"/>
    <w:rsid w:val="00454994"/>
    <w:rsid w:val="00467E81"/>
    <w:rsid w:val="00471AE6"/>
    <w:rsid w:val="004744B6"/>
    <w:rsid w:val="004748B9"/>
    <w:rsid w:val="00477BA8"/>
    <w:rsid w:val="00477EB2"/>
    <w:rsid w:val="0048111A"/>
    <w:rsid w:val="00487BF1"/>
    <w:rsid w:val="00491FCB"/>
    <w:rsid w:val="00497943"/>
    <w:rsid w:val="00497A8B"/>
    <w:rsid w:val="004A0E45"/>
    <w:rsid w:val="004A54A6"/>
    <w:rsid w:val="004B005C"/>
    <w:rsid w:val="004B1105"/>
    <w:rsid w:val="004B664C"/>
    <w:rsid w:val="004C3109"/>
    <w:rsid w:val="004C44C4"/>
    <w:rsid w:val="004C625A"/>
    <w:rsid w:val="004C6355"/>
    <w:rsid w:val="004E1D5E"/>
    <w:rsid w:val="004E540A"/>
    <w:rsid w:val="004E630B"/>
    <w:rsid w:val="004F7313"/>
    <w:rsid w:val="00513357"/>
    <w:rsid w:val="005158A6"/>
    <w:rsid w:val="0052094C"/>
    <w:rsid w:val="00534A41"/>
    <w:rsid w:val="0053650E"/>
    <w:rsid w:val="00542535"/>
    <w:rsid w:val="00544E6E"/>
    <w:rsid w:val="00547910"/>
    <w:rsid w:val="00551033"/>
    <w:rsid w:val="00560AC4"/>
    <w:rsid w:val="00563FE4"/>
    <w:rsid w:val="005651F3"/>
    <w:rsid w:val="0056745C"/>
    <w:rsid w:val="00567A02"/>
    <w:rsid w:val="005711D9"/>
    <w:rsid w:val="005751C6"/>
    <w:rsid w:val="00582D8F"/>
    <w:rsid w:val="005837B0"/>
    <w:rsid w:val="00596AC1"/>
    <w:rsid w:val="005A408B"/>
    <w:rsid w:val="005A46AE"/>
    <w:rsid w:val="005A692A"/>
    <w:rsid w:val="005A77EA"/>
    <w:rsid w:val="005B1AE2"/>
    <w:rsid w:val="005B1B82"/>
    <w:rsid w:val="005B5233"/>
    <w:rsid w:val="005B5746"/>
    <w:rsid w:val="005C00AF"/>
    <w:rsid w:val="005C7C95"/>
    <w:rsid w:val="005D2463"/>
    <w:rsid w:val="005D3C24"/>
    <w:rsid w:val="005D4528"/>
    <w:rsid w:val="005E088E"/>
    <w:rsid w:val="005E0F00"/>
    <w:rsid w:val="005E41EA"/>
    <w:rsid w:val="005F4D9C"/>
    <w:rsid w:val="005F7E5C"/>
    <w:rsid w:val="0060143D"/>
    <w:rsid w:val="00604996"/>
    <w:rsid w:val="00605B67"/>
    <w:rsid w:val="006163B1"/>
    <w:rsid w:val="00616874"/>
    <w:rsid w:val="0062589F"/>
    <w:rsid w:val="00626EA8"/>
    <w:rsid w:val="00630D56"/>
    <w:rsid w:val="00641CEA"/>
    <w:rsid w:val="00641E6E"/>
    <w:rsid w:val="0065080E"/>
    <w:rsid w:val="00655229"/>
    <w:rsid w:val="00656B0C"/>
    <w:rsid w:val="00660522"/>
    <w:rsid w:val="0066309A"/>
    <w:rsid w:val="0066627D"/>
    <w:rsid w:val="00682C0E"/>
    <w:rsid w:val="006832A2"/>
    <w:rsid w:val="00684A20"/>
    <w:rsid w:val="00690EC4"/>
    <w:rsid w:val="006962CB"/>
    <w:rsid w:val="006A0BB0"/>
    <w:rsid w:val="006A7F42"/>
    <w:rsid w:val="006B4697"/>
    <w:rsid w:val="006B563E"/>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26D87"/>
    <w:rsid w:val="0073075C"/>
    <w:rsid w:val="007315E0"/>
    <w:rsid w:val="0074144B"/>
    <w:rsid w:val="00741A3E"/>
    <w:rsid w:val="007443C2"/>
    <w:rsid w:val="00744A9B"/>
    <w:rsid w:val="00756CAD"/>
    <w:rsid w:val="007629BB"/>
    <w:rsid w:val="00762A82"/>
    <w:rsid w:val="007703B8"/>
    <w:rsid w:val="00771227"/>
    <w:rsid w:val="00772D42"/>
    <w:rsid w:val="00775751"/>
    <w:rsid w:val="00781015"/>
    <w:rsid w:val="00785418"/>
    <w:rsid w:val="00787132"/>
    <w:rsid w:val="007900FC"/>
    <w:rsid w:val="00794869"/>
    <w:rsid w:val="0079574B"/>
    <w:rsid w:val="00797876"/>
    <w:rsid w:val="007A5116"/>
    <w:rsid w:val="007A5263"/>
    <w:rsid w:val="007B3A14"/>
    <w:rsid w:val="007B4EC6"/>
    <w:rsid w:val="007B549A"/>
    <w:rsid w:val="007B5745"/>
    <w:rsid w:val="007B6893"/>
    <w:rsid w:val="007C3F2C"/>
    <w:rsid w:val="007C51E4"/>
    <w:rsid w:val="007D4066"/>
    <w:rsid w:val="007E3EED"/>
    <w:rsid w:val="007F136D"/>
    <w:rsid w:val="007F60CB"/>
    <w:rsid w:val="00801AAB"/>
    <w:rsid w:val="0080773A"/>
    <w:rsid w:val="0081788D"/>
    <w:rsid w:val="00825398"/>
    <w:rsid w:val="008263AE"/>
    <w:rsid w:val="00830C03"/>
    <w:rsid w:val="008318C0"/>
    <w:rsid w:val="00831A29"/>
    <w:rsid w:val="00832B61"/>
    <w:rsid w:val="00835A88"/>
    <w:rsid w:val="00847A69"/>
    <w:rsid w:val="00860176"/>
    <w:rsid w:val="008619E1"/>
    <w:rsid w:val="00866E5A"/>
    <w:rsid w:val="008721DF"/>
    <w:rsid w:val="008738A9"/>
    <w:rsid w:val="00876EC6"/>
    <w:rsid w:val="00881C77"/>
    <w:rsid w:val="00882FB0"/>
    <w:rsid w:val="008839E0"/>
    <w:rsid w:val="008843B4"/>
    <w:rsid w:val="00887017"/>
    <w:rsid w:val="00891007"/>
    <w:rsid w:val="008A1AFA"/>
    <w:rsid w:val="008A2CE2"/>
    <w:rsid w:val="008A3460"/>
    <w:rsid w:val="008B1B9E"/>
    <w:rsid w:val="008B539C"/>
    <w:rsid w:val="008B77D5"/>
    <w:rsid w:val="008C155D"/>
    <w:rsid w:val="008D4634"/>
    <w:rsid w:val="008D4BA6"/>
    <w:rsid w:val="008E4CD7"/>
    <w:rsid w:val="008E58F7"/>
    <w:rsid w:val="008E6EC1"/>
    <w:rsid w:val="00903815"/>
    <w:rsid w:val="00903C0A"/>
    <w:rsid w:val="009062C4"/>
    <w:rsid w:val="0090723B"/>
    <w:rsid w:val="00910193"/>
    <w:rsid w:val="00922200"/>
    <w:rsid w:val="0092312D"/>
    <w:rsid w:val="00926454"/>
    <w:rsid w:val="00933628"/>
    <w:rsid w:val="009465EA"/>
    <w:rsid w:val="009506DC"/>
    <w:rsid w:val="009566C4"/>
    <w:rsid w:val="00956DD9"/>
    <w:rsid w:val="00956DE1"/>
    <w:rsid w:val="009628AE"/>
    <w:rsid w:val="00967A04"/>
    <w:rsid w:val="00973509"/>
    <w:rsid w:val="00977BBE"/>
    <w:rsid w:val="00977E7B"/>
    <w:rsid w:val="00986792"/>
    <w:rsid w:val="009871EF"/>
    <w:rsid w:val="00991132"/>
    <w:rsid w:val="00991292"/>
    <w:rsid w:val="00991AEE"/>
    <w:rsid w:val="0099252E"/>
    <w:rsid w:val="00993CBF"/>
    <w:rsid w:val="00997D63"/>
    <w:rsid w:val="009A149B"/>
    <w:rsid w:val="009B06DA"/>
    <w:rsid w:val="009B1AE6"/>
    <w:rsid w:val="009B33C8"/>
    <w:rsid w:val="009B5D57"/>
    <w:rsid w:val="009C15E2"/>
    <w:rsid w:val="009C33BF"/>
    <w:rsid w:val="009C3820"/>
    <w:rsid w:val="009E35EB"/>
    <w:rsid w:val="009E64F2"/>
    <w:rsid w:val="009E6F9E"/>
    <w:rsid w:val="009E7875"/>
    <w:rsid w:val="009F25BB"/>
    <w:rsid w:val="009F72D1"/>
    <w:rsid w:val="00A12B26"/>
    <w:rsid w:val="00A144A6"/>
    <w:rsid w:val="00A20685"/>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0070"/>
    <w:rsid w:val="00A81D7B"/>
    <w:rsid w:val="00A87DCB"/>
    <w:rsid w:val="00A91606"/>
    <w:rsid w:val="00A96435"/>
    <w:rsid w:val="00AB49A1"/>
    <w:rsid w:val="00AB7720"/>
    <w:rsid w:val="00AB7B8B"/>
    <w:rsid w:val="00AC1161"/>
    <w:rsid w:val="00AD18DD"/>
    <w:rsid w:val="00AD562B"/>
    <w:rsid w:val="00AE3F47"/>
    <w:rsid w:val="00AE69BF"/>
    <w:rsid w:val="00AF140F"/>
    <w:rsid w:val="00AF7347"/>
    <w:rsid w:val="00B014DF"/>
    <w:rsid w:val="00B05BA4"/>
    <w:rsid w:val="00B06A2F"/>
    <w:rsid w:val="00B11B77"/>
    <w:rsid w:val="00B16987"/>
    <w:rsid w:val="00B17EF5"/>
    <w:rsid w:val="00B2068A"/>
    <w:rsid w:val="00B23F95"/>
    <w:rsid w:val="00B25BAB"/>
    <w:rsid w:val="00B26285"/>
    <w:rsid w:val="00B26E7F"/>
    <w:rsid w:val="00B33F4A"/>
    <w:rsid w:val="00B41297"/>
    <w:rsid w:val="00B504F2"/>
    <w:rsid w:val="00B517DE"/>
    <w:rsid w:val="00B51CE1"/>
    <w:rsid w:val="00B57344"/>
    <w:rsid w:val="00B61D0F"/>
    <w:rsid w:val="00B64EDD"/>
    <w:rsid w:val="00B65E43"/>
    <w:rsid w:val="00B725A0"/>
    <w:rsid w:val="00B7491E"/>
    <w:rsid w:val="00B763C4"/>
    <w:rsid w:val="00B91560"/>
    <w:rsid w:val="00B9364B"/>
    <w:rsid w:val="00B95F9A"/>
    <w:rsid w:val="00B97A62"/>
    <w:rsid w:val="00BA0E21"/>
    <w:rsid w:val="00BA1434"/>
    <w:rsid w:val="00BA3915"/>
    <w:rsid w:val="00BA3AE4"/>
    <w:rsid w:val="00BA4805"/>
    <w:rsid w:val="00BB3501"/>
    <w:rsid w:val="00BB3A06"/>
    <w:rsid w:val="00BB7A7F"/>
    <w:rsid w:val="00BC3F72"/>
    <w:rsid w:val="00BC64B2"/>
    <w:rsid w:val="00BC662F"/>
    <w:rsid w:val="00BC6FFD"/>
    <w:rsid w:val="00BC778B"/>
    <w:rsid w:val="00BC7AFE"/>
    <w:rsid w:val="00BD1958"/>
    <w:rsid w:val="00BD3CFA"/>
    <w:rsid w:val="00BD4907"/>
    <w:rsid w:val="00BD7C42"/>
    <w:rsid w:val="00BE2CDD"/>
    <w:rsid w:val="00BE6EA1"/>
    <w:rsid w:val="00BF22CF"/>
    <w:rsid w:val="00BF234E"/>
    <w:rsid w:val="00BF2747"/>
    <w:rsid w:val="00BF2E3E"/>
    <w:rsid w:val="00BF2F67"/>
    <w:rsid w:val="00BF5588"/>
    <w:rsid w:val="00BF5F4D"/>
    <w:rsid w:val="00C0244D"/>
    <w:rsid w:val="00C04FAE"/>
    <w:rsid w:val="00C057CB"/>
    <w:rsid w:val="00C12754"/>
    <w:rsid w:val="00C1450B"/>
    <w:rsid w:val="00C17EC9"/>
    <w:rsid w:val="00C22765"/>
    <w:rsid w:val="00C22816"/>
    <w:rsid w:val="00C232AD"/>
    <w:rsid w:val="00C234C6"/>
    <w:rsid w:val="00C2753D"/>
    <w:rsid w:val="00C3318B"/>
    <w:rsid w:val="00C3553B"/>
    <w:rsid w:val="00C43FC1"/>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3F14"/>
    <w:rsid w:val="00C972C4"/>
    <w:rsid w:val="00CA1FEF"/>
    <w:rsid w:val="00CA25FC"/>
    <w:rsid w:val="00CA5943"/>
    <w:rsid w:val="00CA686D"/>
    <w:rsid w:val="00CA6A56"/>
    <w:rsid w:val="00CB2CEE"/>
    <w:rsid w:val="00CB4DE3"/>
    <w:rsid w:val="00CC2F35"/>
    <w:rsid w:val="00CC40C3"/>
    <w:rsid w:val="00CC526A"/>
    <w:rsid w:val="00CD42C4"/>
    <w:rsid w:val="00CE43F8"/>
    <w:rsid w:val="00CE7C8B"/>
    <w:rsid w:val="00CF01CC"/>
    <w:rsid w:val="00CF2595"/>
    <w:rsid w:val="00CF6D5C"/>
    <w:rsid w:val="00D10B1F"/>
    <w:rsid w:val="00D11E1F"/>
    <w:rsid w:val="00D20C81"/>
    <w:rsid w:val="00D21E5E"/>
    <w:rsid w:val="00D220F0"/>
    <w:rsid w:val="00D3262F"/>
    <w:rsid w:val="00D361FE"/>
    <w:rsid w:val="00D36E74"/>
    <w:rsid w:val="00D42F13"/>
    <w:rsid w:val="00D43B3D"/>
    <w:rsid w:val="00D4428E"/>
    <w:rsid w:val="00D4577D"/>
    <w:rsid w:val="00D5035D"/>
    <w:rsid w:val="00D5213E"/>
    <w:rsid w:val="00D52A3F"/>
    <w:rsid w:val="00D535B2"/>
    <w:rsid w:val="00D56E0D"/>
    <w:rsid w:val="00D62A71"/>
    <w:rsid w:val="00D70A3B"/>
    <w:rsid w:val="00D72110"/>
    <w:rsid w:val="00D8051D"/>
    <w:rsid w:val="00D864D4"/>
    <w:rsid w:val="00D919AF"/>
    <w:rsid w:val="00D92993"/>
    <w:rsid w:val="00D937BD"/>
    <w:rsid w:val="00DA2D7C"/>
    <w:rsid w:val="00DA7C0E"/>
    <w:rsid w:val="00DB093A"/>
    <w:rsid w:val="00DB6F0A"/>
    <w:rsid w:val="00DC28C4"/>
    <w:rsid w:val="00DD7BAA"/>
    <w:rsid w:val="00DE0FFA"/>
    <w:rsid w:val="00DE4122"/>
    <w:rsid w:val="00DE6A70"/>
    <w:rsid w:val="00DF3DF3"/>
    <w:rsid w:val="00DF5AA8"/>
    <w:rsid w:val="00E03D41"/>
    <w:rsid w:val="00E11D7D"/>
    <w:rsid w:val="00E1254C"/>
    <w:rsid w:val="00E16895"/>
    <w:rsid w:val="00E32601"/>
    <w:rsid w:val="00E32614"/>
    <w:rsid w:val="00E33250"/>
    <w:rsid w:val="00E3526B"/>
    <w:rsid w:val="00E41FBE"/>
    <w:rsid w:val="00E5059C"/>
    <w:rsid w:val="00E54C06"/>
    <w:rsid w:val="00E5664A"/>
    <w:rsid w:val="00E7265E"/>
    <w:rsid w:val="00E7407A"/>
    <w:rsid w:val="00E81A0A"/>
    <w:rsid w:val="00E84558"/>
    <w:rsid w:val="00E964F7"/>
    <w:rsid w:val="00EA6F84"/>
    <w:rsid w:val="00EB7931"/>
    <w:rsid w:val="00EC36A4"/>
    <w:rsid w:val="00ED3A15"/>
    <w:rsid w:val="00ED548C"/>
    <w:rsid w:val="00ED7E8B"/>
    <w:rsid w:val="00ED7F3F"/>
    <w:rsid w:val="00EF043C"/>
    <w:rsid w:val="00EF0B2A"/>
    <w:rsid w:val="00EF29E3"/>
    <w:rsid w:val="00EF49B3"/>
    <w:rsid w:val="00EF56E1"/>
    <w:rsid w:val="00EF73FD"/>
    <w:rsid w:val="00F00561"/>
    <w:rsid w:val="00F01150"/>
    <w:rsid w:val="00F01E3D"/>
    <w:rsid w:val="00F04DC2"/>
    <w:rsid w:val="00F066D9"/>
    <w:rsid w:val="00F25F52"/>
    <w:rsid w:val="00F43CF1"/>
    <w:rsid w:val="00F469D5"/>
    <w:rsid w:val="00F47FEE"/>
    <w:rsid w:val="00F50D09"/>
    <w:rsid w:val="00F5233B"/>
    <w:rsid w:val="00F527B3"/>
    <w:rsid w:val="00F632AF"/>
    <w:rsid w:val="00F6382D"/>
    <w:rsid w:val="00F63F55"/>
    <w:rsid w:val="00F66378"/>
    <w:rsid w:val="00F71C51"/>
    <w:rsid w:val="00F77F4B"/>
    <w:rsid w:val="00F9100C"/>
    <w:rsid w:val="00FA0934"/>
    <w:rsid w:val="00FA653D"/>
    <w:rsid w:val="00FB23EE"/>
    <w:rsid w:val="00FC34DF"/>
    <w:rsid w:val="00FD658E"/>
    <w:rsid w:val="00FE0C5A"/>
    <w:rsid w:val="00FE13A2"/>
    <w:rsid w:val="00FE6D91"/>
    <w:rsid w:val="053D4AA8"/>
    <w:rsid w:val="08571D21"/>
    <w:rsid w:val="143E6662"/>
    <w:rsid w:val="2B065815"/>
    <w:rsid w:val="2B7317E4"/>
    <w:rsid w:val="4704306E"/>
    <w:rsid w:val="4A6F0DCC"/>
    <w:rsid w:val="4ADD027D"/>
    <w:rsid w:val="6F5F3A1F"/>
    <w:rsid w:val="78AB75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1F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5651F3"/>
    <w:pPr>
      <w:jc w:val="left"/>
    </w:pPr>
  </w:style>
  <w:style w:type="paragraph" w:styleId="a4">
    <w:name w:val="Balloon Text"/>
    <w:basedOn w:val="a"/>
    <w:link w:val="Char0"/>
    <w:uiPriority w:val="99"/>
    <w:semiHidden/>
    <w:unhideWhenUsed/>
    <w:qFormat/>
    <w:rsid w:val="005651F3"/>
    <w:rPr>
      <w:sz w:val="18"/>
      <w:szCs w:val="18"/>
    </w:rPr>
  </w:style>
  <w:style w:type="paragraph" w:styleId="a5">
    <w:name w:val="footer"/>
    <w:basedOn w:val="a"/>
    <w:link w:val="Char1"/>
    <w:uiPriority w:val="99"/>
    <w:unhideWhenUsed/>
    <w:qFormat/>
    <w:rsid w:val="005651F3"/>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5651F3"/>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5651F3"/>
    <w:pPr>
      <w:snapToGrid w:val="0"/>
      <w:jc w:val="left"/>
    </w:pPr>
    <w:rPr>
      <w:sz w:val="18"/>
      <w:szCs w:val="18"/>
    </w:rPr>
  </w:style>
  <w:style w:type="paragraph" w:styleId="a8">
    <w:name w:val="annotation subject"/>
    <w:basedOn w:val="a3"/>
    <w:next w:val="a3"/>
    <w:link w:val="Char4"/>
    <w:uiPriority w:val="99"/>
    <w:semiHidden/>
    <w:unhideWhenUsed/>
    <w:qFormat/>
    <w:rsid w:val="005651F3"/>
    <w:rPr>
      <w:b/>
      <w:bCs/>
    </w:rPr>
  </w:style>
  <w:style w:type="character" w:styleId="a9">
    <w:name w:val="FollowedHyperlink"/>
    <w:basedOn w:val="a0"/>
    <w:uiPriority w:val="99"/>
    <w:semiHidden/>
    <w:unhideWhenUsed/>
    <w:qFormat/>
    <w:rsid w:val="005651F3"/>
    <w:rPr>
      <w:color w:val="800080" w:themeColor="followedHyperlink"/>
      <w:u w:val="single"/>
    </w:rPr>
  </w:style>
  <w:style w:type="character" w:styleId="aa">
    <w:name w:val="Hyperlink"/>
    <w:basedOn w:val="a0"/>
    <w:uiPriority w:val="99"/>
    <w:unhideWhenUsed/>
    <w:qFormat/>
    <w:rsid w:val="005651F3"/>
    <w:rPr>
      <w:color w:val="0000FF" w:themeColor="hyperlink"/>
      <w:u w:val="single"/>
    </w:rPr>
  </w:style>
  <w:style w:type="character" w:styleId="ab">
    <w:name w:val="annotation reference"/>
    <w:basedOn w:val="a0"/>
    <w:uiPriority w:val="99"/>
    <w:semiHidden/>
    <w:unhideWhenUsed/>
    <w:qFormat/>
    <w:rsid w:val="005651F3"/>
    <w:rPr>
      <w:sz w:val="21"/>
      <w:szCs w:val="21"/>
    </w:rPr>
  </w:style>
  <w:style w:type="character" w:styleId="ac">
    <w:name w:val="footnote reference"/>
    <w:basedOn w:val="a0"/>
    <w:uiPriority w:val="99"/>
    <w:semiHidden/>
    <w:unhideWhenUsed/>
    <w:qFormat/>
    <w:rsid w:val="005651F3"/>
    <w:rPr>
      <w:vertAlign w:val="superscript"/>
    </w:rPr>
  </w:style>
  <w:style w:type="character" w:customStyle="1" w:styleId="Char2">
    <w:name w:val="页眉 Char"/>
    <w:basedOn w:val="a0"/>
    <w:link w:val="a6"/>
    <w:uiPriority w:val="99"/>
    <w:qFormat/>
    <w:rsid w:val="005651F3"/>
    <w:rPr>
      <w:sz w:val="18"/>
      <w:szCs w:val="18"/>
    </w:rPr>
  </w:style>
  <w:style w:type="character" w:customStyle="1" w:styleId="Char1">
    <w:name w:val="页脚 Char"/>
    <w:basedOn w:val="a0"/>
    <w:link w:val="a5"/>
    <w:uiPriority w:val="99"/>
    <w:qFormat/>
    <w:rsid w:val="005651F3"/>
    <w:rPr>
      <w:sz w:val="18"/>
      <w:szCs w:val="18"/>
    </w:rPr>
  </w:style>
  <w:style w:type="paragraph" w:styleId="ad">
    <w:name w:val="List Paragraph"/>
    <w:basedOn w:val="a"/>
    <w:uiPriority w:val="34"/>
    <w:qFormat/>
    <w:rsid w:val="005651F3"/>
    <w:pPr>
      <w:ind w:firstLineChars="200" w:firstLine="420"/>
    </w:pPr>
  </w:style>
  <w:style w:type="character" w:customStyle="1" w:styleId="Char0">
    <w:name w:val="批注框文本 Char"/>
    <w:basedOn w:val="a0"/>
    <w:link w:val="a4"/>
    <w:uiPriority w:val="99"/>
    <w:semiHidden/>
    <w:qFormat/>
    <w:rsid w:val="005651F3"/>
    <w:rPr>
      <w:sz w:val="18"/>
      <w:szCs w:val="18"/>
    </w:rPr>
  </w:style>
  <w:style w:type="character" w:customStyle="1" w:styleId="Char">
    <w:name w:val="批注文字 Char"/>
    <w:basedOn w:val="a0"/>
    <w:link w:val="a3"/>
    <w:uiPriority w:val="99"/>
    <w:semiHidden/>
    <w:qFormat/>
    <w:rsid w:val="005651F3"/>
  </w:style>
  <w:style w:type="character" w:customStyle="1" w:styleId="Char4">
    <w:name w:val="批注主题 Char"/>
    <w:basedOn w:val="Char"/>
    <w:link w:val="a8"/>
    <w:uiPriority w:val="99"/>
    <w:semiHidden/>
    <w:qFormat/>
    <w:rsid w:val="005651F3"/>
    <w:rPr>
      <w:b/>
      <w:bCs/>
    </w:rPr>
  </w:style>
  <w:style w:type="character" w:customStyle="1" w:styleId="Char3">
    <w:name w:val="脚注文本 Char"/>
    <w:basedOn w:val="a0"/>
    <w:link w:val="a7"/>
    <w:uiPriority w:val="99"/>
    <w:semiHidden/>
    <w:qFormat/>
    <w:rsid w:val="005651F3"/>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id.csrc.gov.cn/fun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04B65-D17E-4693-B102-2175C066E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1214</Words>
  <Characters>6920</Characters>
  <Application>Microsoft Office Word</Application>
  <DocSecurity>4</DocSecurity>
  <Lines>57</Lines>
  <Paragraphs>16</Paragraphs>
  <ScaleCrop>false</ScaleCrop>
  <Company>CNSTOCK</Company>
  <LinksUpToDate>false</LinksUpToDate>
  <CharactersWithSpaces>8118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2026-01-20T16:03:00Z</dcterms:created>
  <dcterms:modified xsi:type="dcterms:W3CDTF">2026-01-20T16:03:00Z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07EF17FB6E844747A1ED2E2C7B59CE03</vt:lpwstr>
  </property>
</Properties>
</file>