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32E9" w:rsidRDefault="009B03B6">
      <w:pPr>
        <w:pStyle w:val="div"/>
        <w:widowControl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b/>
          <w:bCs/>
          <w:kern w:val="0"/>
          <w:sz w:val="30"/>
          <w:szCs w:val="30"/>
        </w:rPr>
        <w:t>国投瑞银基金管理有限公司旗下基金</w:t>
      </w:r>
    </w:p>
    <w:p w:rsidR="000132E9" w:rsidRDefault="009B03B6">
      <w:pPr>
        <w:pStyle w:val="div"/>
        <w:widowControl/>
        <w:jc w:val="center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FangSong" w:eastAsia="FangSong" w:hAnsi="FangSong" w:cs="FangSong"/>
          <w:b/>
          <w:bCs/>
          <w:kern w:val="0"/>
          <w:sz w:val="30"/>
          <w:szCs w:val="30"/>
        </w:rPr>
        <w:t>2025</w:t>
      </w:r>
      <w:r>
        <w:rPr>
          <w:rFonts w:ascii="FangSong" w:eastAsia="FangSong" w:hAnsi="FangSong" w:cs="FangSong"/>
          <w:b/>
          <w:bCs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b/>
          <w:bCs/>
          <w:kern w:val="0"/>
          <w:sz w:val="30"/>
          <w:szCs w:val="30"/>
        </w:rPr>
        <w:t>第四季度</w:t>
      </w:r>
      <w:r>
        <w:rPr>
          <w:rFonts w:ascii="FangSong" w:eastAsia="FangSong" w:hAnsi="FangSong" w:cs="FangSong"/>
          <w:b/>
          <w:bCs/>
          <w:kern w:val="0"/>
          <w:sz w:val="30"/>
          <w:szCs w:val="30"/>
        </w:rPr>
        <w:t>报告提示性公告</w:t>
      </w:r>
    </w:p>
    <w:p w:rsidR="000132E9" w:rsidRDefault="000132E9">
      <w:pPr>
        <w:pStyle w:val="p"/>
        <w:widowControl/>
        <w:jc w:val="center"/>
        <w:rPr>
          <w:rFonts w:eastAsia="Times New Roman"/>
          <w:kern w:val="0"/>
          <w:sz w:val="24"/>
          <w:szCs w:val="24"/>
        </w:rPr>
      </w:pPr>
    </w:p>
    <w:p w:rsidR="000132E9" w:rsidRDefault="000132E9">
      <w:pPr>
        <w:pStyle w:val="p"/>
        <w:widowControl/>
        <w:jc w:val="left"/>
        <w:rPr>
          <w:rFonts w:eastAsia="Times New Roman"/>
          <w:kern w:val="0"/>
          <w:sz w:val="24"/>
          <w:szCs w:val="24"/>
        </w:rPr>
      </w:pPr>
    </w:p>
    <w:p w:rsidR="000132E9" w:rsidRDefault="009B03B6">
      <w:pPr>
        <w:pStyle w:val="div"/>
        <w:widowControl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本公司董事会及董事保证本公司旗下基金的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2025</w:t>
      </w:r>
      <w:r>
        <w:rPr>
          <w:rFonts w:ascii="FangSong" w:eastAsia="FangSong" w:hAnsi="FangSong" w:cs="FangSong"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第四季度</w:t>
      </w:r>
      <w:r>
        <w:rPr>
          <w:rFonts w:ascii="FangSong" w:eastAsia="FangSong" w:hAnsi="FangSong" w:cs="FangSong"/>
          <w:kern w:val="0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0132E9" w:rsidRDefault="009B03B6">
      <w:pPr>
        <w:pStyle w:val="div"/>
        <w:widowControl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具体基金明细如下：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国投瑞银中高等级债券型证券投资基金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国投瑞银策略精选灵活配置混合型证券投资基金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国投瑞银医疗保健行业灵活配置混合型证券投资基金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国投瑞银新机遇灵活配置混合型证券投资基金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国投瑞银美丽中国灵活配置混合型证券投资基金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国投瑞银钱多宝货币市场基金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国投瑞银信息消费灵活配置混合型证券投资基金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国投瑞银增利宝货币市场基金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国投瑞银锐意改革灵活配置混合型证券投资基金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国投瑞银添利宝货币市场基金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国投瑞银精选收益灵活配置混合型证券投资基金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国投瑞银招财灵活配置混合型证券投资基金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国投瑞银新增长灵活配置混合型证券投资基金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国投瑞银新活力定期开放混合型证券投资基金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国投瑞银进宝灵活配置混合型证券投资基金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lastRenderedPageBreak/>
        <w:t>国投瑞银国家安全灵活配置混合型证券投资基金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国投瑞银境煊灵活配置混合型证券投资基金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国投瑞银瑞祥灵活配置混合型证券投资基金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国投瑞银顺鑫定期开放债券型发起式证券投资基金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国投瑞银和泰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国投瑞银顺银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国投瑞银创新医疗灵活配置混合型证券投资基金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国投瑞银顺源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国投瑞银恒泽中短债债券型证券投资基金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国投瑞银顺达纯债债券型证券投资基金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</w:t>
      </w:r>
      <w:r>
        <w:rPr>
          <w:rFonts w:ascii="FangSong" w:eastAsia="FangSong" w:hAnsi="FangSong" w:cs="FangSong"/>
          <w:kern w:val="0"/>
          <w:sz w:val="30"/>
          <w:szCs w:val="30"/>
        </w:rPr>
        <w:t>500</w:t>
      </w:r>
      <w:r>
        <w:rPr>
          <w:rFonts w:ascii="FangSong" w:eastAsia="FangSong" w:hAnsi="FangSong" w:cs="FangSong"/>
          <w:kern w:val="0"/>
          <w:sz w:val="30"/>
          <w:szCs w:val="30"/>
        </w:rPr>
        <w:t>指数量化增强型证券投资基金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国投瑞银顺泓定期开放债券型证券投资基金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国投瑞银顺昌纯债债券型证券投资基金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国投瑞银顺祥定期开放债券型发起式证券投资基金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国投瑞银先进制造混合型证券投资基金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国投瑞银稳健养老目标一年持有期混合型基金中基金（</w:t>
      </w:r>
      <w:r>
        <w:rPr>
          <w:rFonts w:ascii="FangSong" w:eastAsia="FangSong" w:hAnsi="FangSong" w:cs="FangSong"/>
          <w:kern w:val="0"/>
          <w:sz w:val="30"/>
          <w:szCs w:val="30"/>
        </w:rPr>
        <w:t>FOF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国投瑞银港股通价值发现混合型证券投资基金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国投瑞银沪深</w:t>
      </w:r>
      <w:r>
        <w:rPr>
          <w:rFonts w:ascii="FangSong" w:eastAsia="FangSong" w:hAnsi="FangSong" w:cs="FangSong"/>
          <w:kern w:val="0"/>
          <w:sz w:val="30"/>
          <w:szCs w:val="30"/>
        </w:rPr>
        <w:t>300</w:t>
      </w:r>
      <w:r>
        <w:rPr>
          <w:rFonts w:ascii="FangSong" w:eastAsia="FangSong" w:hAnsi="FangSong" w:cs="FangSong"/>
          <w:kern w:val="0"/>
          <w:sz w:val="30"/>
          <w:szCs w:val="30"/>
        </w:rPr>
        <w:t>指数量化增强型证券投资基金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国投瑞银顺祺纯债债券型证券投资基金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国投瑞银顺臻纯债债券型证券投资基金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国投瑞银新能源混合型证券投资基金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国投瑞银顺恒纯债债券型证券投资基金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lastRenderedPageBreak/>
        <w:t>国投瑞银顺荣</w:t>
      </w:r>
      <w:r>
        <w:rPr>
          <w:rFonts w:ascii="FangSong" w:eastAsia="FangSong" w:hAnsi="FangSong" w:cs="FangSong"/>
          <w:kern w:val="0"/>
          <w:sz w:val="30"/>
          <w:szCs w:val="30"/>
        </w:rPr>
        <w:t>39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国投瑞银港股通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个月定期开放股票型发起式证券投资基金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国投瑞银远见成长混合型证券投资基金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国投瑞银价值成长一年持有期混合型证券投资基金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</w:t>
      </w:r>
      <w:r>
        <w:rPr>
          <w:rFonts w:ascii="FangSong" w:eastAsia="FangSong" w:hAnsi="FangSong" w:cs="FangSong"/>
          <w:kern w:val="0"/>
          <w:sz w:val="30"/>
          <w:szCs w:val="30"/>
        </w:rPr>
        <w:t>瑞银开放视角精选混合型证券投资基金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国投瑞银顺景一年定期开放债券型证券投资基金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国投瑞银顺成</w:t>
      </w:r>
      <w:r>
        <w:rPr>
          <w:rFonts w:ascii="FangSong" w:eastAsia="FangSong" w:hAnsi="FangSong" w:cs="FangSong"/>
          <w:kern w:val="0"/>
          <w:sz w:val="30"/>
          <w:szCs w:val="30"/>
        </w:rPr>
        <w:t>3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国投瑞银和旭一年持有期债券型证券投资基金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国投瑞银产业趋势混合型证券投资基金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国投瑞银策略回报混合型证券投资基金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国投瑞银恒誉</w:t>
      </w:r>
      <w:r>
        <w:rPr>
          <w:rFonts w:ascii="FangSong" w:eastAsia="FangSong" w:hAnsi="FangSong" w:cs="FangSong"/>
          <w:kern w:val="0"/>
          <w:sz w:val="30"/>
          <w:szCs w:val="30"/>
        </w:rPr>
        <w:t>90</w:t>
      </w:r>
      <w:r>
        <w:rPr>
          <w:rFonts w:ascii="FangSong" w:eastAsia="FangSong" w:hAnsi="FangSong" w:cs="FangSong"/>
          <w:kern w:val="0"/>
          <w:sz w:val="30"/>
          <w:szCs w:val="30"/>
        </w:rPr>
        <w:t>天持有期中短债债券型证券投资基金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国投瑞银竞争优势混合型证券投资基金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国投瑞银顺腾一年定期开放债券型发起式证券投资基金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国投瑞银产业升级两年持有期混合型证券投资基金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国投瑞银顺和一年定期开放债券型发起式证券投资基金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国投瑞银产业转型一年持有期混合型证券投资基金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国投瑞银顺晖一年定期开放债券型发起式证券投资基金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国投瑞银专精特新量化选股混合型证券投资基金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国投瑞银行业睿选混合型证券投资基金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国投瑞银顺熙一年定期开放债券型发起式证券投资基金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国投瑞银比较优势一年持有期混合型证券投资基金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国投瑞银顺立纯债债券型证券投资基金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国投瑞银策略智选混合型证券投资基金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国投瑞银平衡养老目标三年持有期混合型发起式基金中基金（</w:t>
      </w:r>
      <w:r>
        <w:rPr>
          <w:rFonts w:ascii="FangSong" w:eastAsia="FangSong" w:hAnsi="FangSong" w:cs="FangSong"/>
          <w:kern w:val="0"/>
          <w:sz w:val="30"/>
          <w:szCs w:val="30"/>
        </w:rPr>
        <w:t>FOF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国投瑞银景气驱动混合型证券投资基金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国投瑞银中证同业存单</w:t>
      </w:r>
      <w:r>
        <w:rPr>
          <w:rFonts w:ascii="FangSong" w:eastAsia="FangSong" w:hAnsi="FangSong" w:cs="FangSong"/>
          <w:kern w:val="0"/>
          <w:sz w:val="30"/>
          <w:szCs w:val="30"/>
        </w:rPr>
        <w:t>AAA</w:t>
      </w:r>
      <w:r>
        <w:rPr>
          <w:rFonts w:ascii="FangSong" w:eastAsia="FangSong" w:hAnsi="FangSong" w:cs="FangSong"/>
          <w:kern w:val="0"/>
          <w:sz w:val="30"/>
          <w:szCs w:val="30"/>
        </w:rPr>
        <w:t>指数</w:t>
      </w:r>
      <w:r>
        <w:rPr>
          <w:rFonts w:ascii="FangSong" w:eastAsia="FangSong" w:hAnsi="FangSong" w:cs="FangSong"/>
          <w:kern w:val="0"/>
          <w:sz w:val="30"/>
          <w:szCs w:val="30"/>
        </w:rPr>
        <w:t>7</w:t>
      </w:r>
      <w:r>
        <w:rPr>
          <w:rFonts w:ascii="FangSong" w:eastAsia="FangSong" w:hAnsi="FangSong" w:cs="FangSong"/>
          <w:kern w:val="0"/>
          <w:sz w:val="30"/>
          <w:szCs w:val="30"/>
        </w:rPr>
        <w:t>天持有期证券投资基金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国投瑞银顺意一</w:t>
      </w:r>
      <w:r>
        <w:rPr>
          <w:rFonts w:ascii="FangSong" w:eastAsia="FangSong" w:hAnsi="FangSong" w:cs="FangSong"/>
          <w:kern w:val="0"/>
          <w:sz w:val="30"/>
          <w:szCs w:val="30"/>
        </w:rPr>
        <w:t>年定期开放债券型发起式证券投资基金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国投瑞银恒安</w:t>
      </w:r>
      <w:r>
        <w:rPr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国投瑞银盛煊混合型证券投资基金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国投瑞银恒源</w:t>
      </w:r>
      <w:r>
        <w:rPr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国投瑞银恒睿添利债券型证券投资基金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国投瑞银顺轩</w:t>
      </w:r>
      <w:r>
        <w:rPr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国投瑞银和宜债券型证券投资基金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国投瑞银和景</w:t>
      </w:r>
      <w:r>
        <w:rPr>
          <w:rFonts w:ascii="FangSong" w:eastAsia="FangSong" w:hAnsi="FangSong" w:cs="FangSong"/>
          <w:kern w:val="0"/>
          <w:sz w:val="30"/>
          <w:szCs w:val="30"/>
        </w:rPr>
        <w:t>180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国投瑞银恒扬</w:t>
      </w:r>
      <w:r>
        <w:rPr>
          <w:rFonts w:ascii="FangSong" w:eastAsia="FangSong" w:hAnsi="FangSong" w:cs="FangSong"/>
          <w:kern w:val="0"/>
          <w:sz w:val="30"/>
          <w:szCs w:val="30"/>
        </w:rPr>
        <w:t>30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国投瑞银弘信回报混合型证券投资基金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国投瑞银启源利率债债券型证券投资基金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国投瑞银和嘉债券型证券投资基金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国投瑞银和兴债券型证券投资基金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国投瑞银启晨利率债债券型证券投资基金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国投瑞银磐睿量化选股混合型证券投资基金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国投瑞银中证机器人指数型发起式证券投资基金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国投瑞银中证港股通央企红利指数型发起式证券投资基金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国投瑞银恒信债券型证券投资基金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国投瑞银上证科创板</w:t>
      </w:r>
      <w:r>
        <w:rPr>
          <w:rFonts w:ascii="FangSong" w:eastAsia="FangSong" w:hAnsi="FangSong" w:cs="FangSong"/>
          <w:kern w:val="0"/>
          <w:sz w:val="30"/>
          <w:szCs w:val="30"/>
        </w:rPr>
        <w:t>200</w:t>
      </w:r>
      <w:r>
        <w:rPr>
          <w:rFonts w:ascii="FangSong" w:eastAsia="FangSong" w:hAnsi="FangSong" w:cs="FangSong"/>
          <w:kern w:val="0"/>
          <w:sz w:val="30"/>
          <w:szCs w:val="30"/>
        </w:rPr>
        <w:t>指数型发起式证券投资基金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</w:t>
      </w:r>
      <w:r>
        <w:rPr>
          <w:rFonts w:ascii="FangSong" w:eastAsia="FangSong" w:hAnsi="FangSong" w:cs="FangSong"/>
          <w:kern w:val="0"/>
          <w:sz w:val="30"/>
          <w:szCs w:val="30"/>
        </w:rPr>
        <w:t>A500</w:t>
      </w:r>
      <w:r>
        <w:rPr>
          <w:rFonts w:ascii="FangSong" w:eastAsia="FangSong" w:hAnsi="FangSong" w:cs="FangSong"/>
          <w:kern w:val="0"/>
          <w:sz w:val="30"/>
          <w:szCs w:val="30"/>
        </w:rPr>
        <w:t>指数增强型证券投资基金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国投瑞银上证科创板综合价格指数增强型证券投资基金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国投瑞银兴润</w:t>
      </w:r>
      <w:r>
        <w:rPr>
          <w:rFonts w:ascii="FangSong" w:eastAsia="FangSong" w:hAnsi="FangSong" w:cs="FangSong"/>
          <w:kern w:val="0"/>
          <w:sz w:val="30"/>
          <w:szCs w:val="30"/>
        </w:rPr>
        <w:t>6</w:t>
      </w:r>
      <w:r>
        <w:rPr>
          <w:rFonts w:ascii="FangSong" w:eastAsia="FangSong" w:hAnsi="FangSong" w:cs="FangSong"/>
          <w:kern w:val="0"/>
          <w:sz w:val="30"/>
          <w:szCs w:val="30"/>
        </w:rPr>
        <w:t>个月定期开放混合型基金中基金（</w:t>
      </w:r>
      <w:r>
        <w:rPr>
          <w:rFonts w:ascii="FangSong" w:eastAsia="FangSong" w:hAnsi="FangSong" w:cs="FangSong"/>
          <w:kern w:val="0"/>
          <w:sz w:val="30"/>
          <w:szCs w:val="30"/>
        </w:rPr>
        <w:t>FOF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国投瑞银中证全指公用事业指数型发起式证券投资基金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国投瑞银中证全指自由现金流指数型发起式证券投资基金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</w:t>
      </w:r>
      <w:r>
        <w:rPr>
          <w:rFonts w:ascii="FangSong" w:eastAsia="FangSong" w:hAnsi="FangSong" w:cs="FangSong"/>
          <w:kern w:val="0"/>
          <w:sz w:val="30"/>
          <w:szCs w:val="30"/>
        </w:rPr>
        <w:t>银中证港股通科技指数型发起式证券投资基金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国投瑞银上证科创板人工智能指数型发起式证券投资基金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国投瑞银和悦</w:t>
      </w:r>
      <w:r>
        <w:rPr>
          <w:rFonts w:ascii="FangSong" w:eastAsia="FangSong" w:hAnsi="FangSong" w:cs="FangSong"/>
          <w:kern w:val="0"/>
          <w:sz w:val="30"/>
          <w:szCs w:val="30"/>
        </w:rPr>
        <w:t>180</w:t>
      </w:r>
      <w:r>
        <w:rPr>
          <w:rFonts w:ascii="FangSong" w:eastAsia="FangSong" w:hAnsi="FangSong" w:cs="FangSong"/>
          <w:kern w:val="0"/>
          <w:sz w:val="30"/>
          <w:szCs w:val="30"/>
        </w:rPr>
        <w:t>天持有期债券型证券投资基金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国投瑞银融华债券型证券投资基金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国投瑞银景气行业证券投资基金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国投瑞银核心企业混合型证券投资基金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国投瑞银创新动力混合型证券投资基金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国投瑞银稳健增长灵活配置混合型证券投资基金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国投瑞银成长优选混合型证券投资基金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国投瑞银稳定增利债券型证券投资基金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国投瑞银瑞源灵活配置混合型证券投资基金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国投瑞银货币市场基金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国投瑞银优化增强债券型证券投资基金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国投瑞银沪深</w:t>
      </w:r>
      <w:r>
        <w:rPr>
          <w:rFonts w:ascii="FangSong" w:eastAsia="FangSong" w:hAnsi="FangSong" w:cs="FangSong"/>
          <w:kern w:val="0"/>
          <w:sz w:val="30"/>
          <w:szCs w:val="30"/>
        </w:rPr>
        <w:t>300</w:t>
      </w:r>
      <w:r>
        <w:rPr>
          <w:rFonts w:ascii="FangSong" w:eastAsia="FangSong" w:hAnsi="FangSong" w:cs="FangSong"/>
          <w:kern w:val="0"/>
          <w:sz w:val="30"/>
          <w:szCs w:val="30"/>
        </w:rPr>
        <w:t>金融地</w:t>
      </w:r>
      <w:r>
        <w:rPr>
          <w:rFonts w:ascii="FangSong" w:eastAsia="FangSong" w:hAnsi="FangSong" w:cs="FangSong"/>
          <w:kern w:val="0"/>
          <w:sz w:val="30"/>
          <w:szCs w:val="30"/>
        </w:rPr>
        <w:t>产交易型开放式指数证券投资基金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国投瑞银沪深</w:t>
      </w:r>
      <w:r>
        <w:rPr>
          <w:rFonts w:ascii="FangSong" w:eastAsia="FangSong" w:hAnsi="FangSong" w:cs="FangSong"/>
          <w:kern w:val="0"/>
          <w:sz w:val="30"/>
          <w:szCs w:val="30"/>
        </w:rPr>
        <w:t>300</w:t>
      </w:r>
      <w:r>
        <w:rPr>
          <w:rFonts w:ascii="FangSong" w:eastAsia="FangSong" w:hAnsi="FangSong" w:cs="FangSong"/>
          <w:kern w:val="0"/>
          <w:sz w:val="30"/>
          <w:szCs w:val="30"/>
        </w:rPr>
        <w:t>金融地产交易型开放式指数证券投资基金联接基金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国投瑞银双债增利债券型证券投资基金（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国投瑞银中证上游资源产业指数证券投资基金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>(LOF)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国投瑞银新兴产业混合型证券投资基金（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国投瑞银瑞利灵活配置混合型证券投资基金（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国投瑞银新丝路灵活配置混合型证券投资基金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>(LOF)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国投瑞银瑞盈灵活配置混合型证券投资基金（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国投瑞银白银期货证券投资基金（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国投瑞银瑞福深证</w:t>
      </w:r>
      <w:r>
        <w:rPr>
          <w:rFonts w:ascii="FangSong" w:eastAsia="FangSong" w:hAnsi="FangSong" w:cs="FangSong"/>
          <w:kern w:val="0"/>
          <w:sz w:val="30"/>
          <w:szCs w:val="30"/>
        </w:rPr>
        <w:t>100</w:t>
      </w:r>
      <w:r>
        <w:rPr>
          <w:rFonts w:ascii="FangSong" w:eastAsia="FangSong" w:hAnsi="FangSong" w:cs="FangSong"/>
          <w:kern w:val="0"/>
          <w:sz w:val="30"/>
          <w:szCs w:val="30"/>
        </w:rPr>
        <w:t>指数证券投资基金（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国投瑞银中国价值发现股票型证券投资基金（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国投瑞银瑞盛灵活配置混合型证券投资基金</w:t>
      </w:r>
      <w:r>
        <w:rPr>
          <w:rFonts w:ascii="FangSong" w:eastAsia="FangSong" w:hAnsi="FangSong" w:cs="FangSong"/>
          <w:kern w:val="0"/>
          <w:sz w:val="30"/>
          <w:szCs w:val="30"/>
        </w:rPr>
        <w:t>(LOF)</w:t>
      </w:r>
    </w:p>
    <w:p w:rsidR="000132E9" w:rsidRDefault="009B03B6">
      <w:pPr>
        <w:pStyle w:val="p"/>
        <w:widowControl/>
        <w:ind w:firstLine="600"/>
        <w:jc w:val="lef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国投瑞银瑞泰多策略灵活配置混合型证券投资基金（</w:t>
      </w:r>
      <w:r>
        <w:rPr>
          <w:rFonts w:ascii="FangSong" w:eastAsia="FangSong" w:hAnsi="FangSong" w:cs="FangSong"/>
          <w:kern w:val="0"/>
          <w:sz w:val="30"/>
          <w:szCs w:val="30"/>
        </w:rPr>
        <w:t>LOF</w:t>
      </w:r>
      <w:r>
        <w:rPr>
          <w:rFonts w:ascii="FangSong" w:eastAsia="FangSong" w:hAnsi="FangSong" w:cs="FangSong"/>
          <w:kern w:val="0"/>
          <w:sz w:val="30"/>
          <w:szCs w:val="30"/>
        </w:rPr>
        <w:t>）</w:t>
      </w:r>
    </w:p>
    <w:p w:rsidR="000132E9" w:rsidRDefault="009B03B6">
      <w:pPr>
        <w:pStyle w:val="div"/>
        <w:widowControl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上述基金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2025</w:t>
      </w:r>
      <w:r>
        <w:rPr>
          <w:rFonts w:ascii="FangSong" w:eastAsia="FangSong" w:hAnsi="FangSong" w:cs="FangSong"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第四季度</w:t>
      </w:r>
      <w:r>
        <w:rPr>
          <w:rFonts w:ascii="FangSong" w:eastAsia="FangSong" w:hAnsi="FangSong" w:cs="FangSong"/>
          <w:kern w:val="0"/>
          <w:sz w:val="30"/>
          <w:szCs w:val="30"/>
        </w:rPr>
        <w:t>报告全文于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2026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1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月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21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日</w:t>
      </w:r>
      <w:r>
        <w:rPr>
          <w:rFonts w:ascii="FangSong" w:eastAsia="FangSong" w:hAnsi="FangSong" w:cs="FangSong"/>
          <w:kern w:val="0"/>
          <w:sz w:val="30"/>
          <w:szCs w:val="30"/>
        </w:rPr>
        <w:t>在本公司网站（</w:t>
      </w:r>
      <w:r>
        <w:rPr>
          <w:rFonts w:ascii="FangSong" w:eastAsia="FangSong" w:hAnsi="FangSong" w:cs="FangSong"/>
          <w:kern w:val="0"/>
          <w:sz w:val="30"/>
          <w:szCs w:val="30"/>
        </w:rPr>
        <w:t>www.ubssdic.com</w:t>
      </w:r>
      <w:r>
        <w:rPr>
          <w:rFonts w:ascii="FangSong" w:eastAsia="FangSong" w:hAnsi="FangSong" w:cs="FangSong"/>
          <w:kern w:val="0"/>
          <w:sz w:val="30"/>
          <w:szCs w:val="30"/>
        </w:rPr>
        <w:t>）和中国证监会基金电子披露网站（</w:t>
      </w:r>
      <w:r>
        <w:rPr>
          <w:rFonts w:ascii="FangSong" w:eastAsia="FangSong" w:hAnsi="FangSong" w:cs="FangSong"/>
          <w:kern w:val="0"/>
          <w:sz w:val="30"/>
          <w:szCs w:val="30"/>
        </w:rPr>
        <w:t>http://eid.csrc.gov.cn/fund</w:t>
      </w:r>
      <w:r>
        <w:rPr>
          <w:rFonts w:ascii="FangSong" w:eastAsia="FangSong" w:hAnsi="FangSong" w:cs="FangSong"/>
          <w:kern w:val="0"/>
          <w:sz w:val="30"/>
          <w:szCs w:val="30"/>
        </w:rPr>
        <w:t>）披露，供投资者查阅。如有疑问可拨打本公司客服电话（</w:t>
      </w:r>
      <w:r>
        <w:rPr>
          <w:rFonts w:ascii="FangSong" w:eastAsia="FangSong" w:hAnsi="FangSong" w:cs="FangSong"/>
          <w:kern w:val="0"/>
          <w:sz w:val="30"/>
          <w:szCs w:val="30"/>
        </w:rPr>
        <w:t>400-880-6868</w:t>
      </w:r>
      <w:r>
        <w:rPr>
          <w:rFonts w:ascii="FangSong" w:eastAsia="FangSong" w:hAnsi="FangSong" w:cs="FangSong"/>
          <w:kern w:val="0"/>
          <w:sz w:val="30"/>
          <w:szCs w:val="30"/>
        </w:rPr>
        <w:t>）咨询。</w:t>
      </w:r>
    </w:p>
    <w:p w:rsidR="000132E9" w:rsidRDefault="009B03B6">
      <w:pPr>
        <w:pStyle w:val="div"/>
        <w:widowControl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rPr>
          <w:rFonts w:eastAsia="Times New Roman"/>
          <w:kern w:val="0"/>
          <w:sz w:val="24"/>
          <w:szCs w:val="24"/>
        </w:rPr>
        <w:t xml:space="preserve"> </w:t>
      </w:r>
      <w:r>
        <w:rPr>
          <w:rFonts w:eastAsia="Times New Roman"/>
          <w:kern w:val="0"/>
          <w:sz w:val="24"/>
          <w:szCs w:val="24"/>
        </w:rPr>
        <w:br/>
      </w:r>
      <w:r>
        <w:rPr>
          <w:rFonts w:ascii="Calibri" w:eastAsia="Calibri" w:hAnsi="Calibri" w:cs="Calibri"/>
          <w:kern w:val="0"/>
          <w:sz w:val="30"/>
          <w:szCs w:val="30"/>
        </w:rPr>
        <w:t>    </w:t>
      </w:r>
    </w:p>
    <w:p w:rsidR="000132E9" w:rsidRDefault="009B03B6">
      <w:pPr>
        <w:pStyle w:val="div"/>
        <w:widowControl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FangSong" w:eastAsia="FangSong" w:hAnsi="FangSong" w:cs="FangSong"/>
          <w:kern w:val="0"/>
          <w:sz w:val="30"/>
          <w:szCs w:val="30"/>
        </w:rPr>
        <w:t>特此公告。</w:t>
      </w:r>
      <w:r>
        <w:rPr>
          <w:rFonts w:eastAsia="Times New Roman"/>
          <w:kern w:val="0"/>
          <w:sz w:val="24"/>
          <w:szCs w:val="24"/>
        </w:rPr>
        <w:t xml:space="preserve"> </w:t>
      </w:r>
      <w:r>
        <w:rPr>
          <w:rFonts w:eastAsia="Times New Roman"/>
          <w:kern w:val="0"/>
          <w:sz w:val="24"/>
          <w:szCs w:val="24"/>
        </w:rPr>
        <w:br/>
      </w:r>
      <w:r>
        <w:rPr>
          <w:rFonts w:ascii="SimSun" w:eastAsia="SimSun" w:hAnsi="SimSun" w:cs="SimSun"/>
          <w:kern w:val="0"/>
          <w:sz w:val="24"/>
          <w:szCs w:val="24"/>
        </w:rPr>
        <w:t>                      </w:t>
      </w:r>
    </w:p>
    <w:p w:rsidR="000132E9" w:rsidRDefault="009B03B6">
      <w:pPr>
        <w:pStyle w:val="div"/>
        <w:widowControl/>
        <w:spacing w:line="360" w:lineRule="auto"/>
        <w:ind w:firstLine="600"/>
        <w:jc w:val="right"/>
        <w:rPr>
          <w:rFonts w:ascii="FangSong" w:eastAsia="FangSong" w:hAnsi="FangSong" w:cs="FangSong"/>
          <w:kern w:val="0"/>
          <w:sz w:val="30"/>
          <w:szCs w:val="30"/>
        </w:rPr>
      </w:pP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FangSong" w:eastAsia="FangSong" w:hAnsi="FangSong" w:cs="FangSong"/>
          <w:kern w:val="0"/>
          <w:sz w:val="30"/>
          <w:szCs w:val="30"/>
        </w:rPr>
        <w:t>国投瑞银基金管理有限公司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FangSong" w:eastAsia="FangSong" w:hAnsi="FangSong" w:cs="FangSong"/>
          <w:kern w:val="0"/>
          <w:sz w:val="30"/>
          <w:szCs w:val="30"/>
        </w:rPr>
        <w:br/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Fonts w:ascii="FangSong" w:eastAsia="FangSong" w:hAnsi="FangSong" w:cs="FangSong"/>
          <w:kern w:val="0"/>
          <w:sz w:val="30"/>
          <w:szCs w:val="30"/>
        </w:rPr>
        <w:t xml:space="preserve"> </w:t>
      </w:r>
      <w:r>
        <w:rPr>
          <w:rFonts w:ascii="Calibri" w:eastAsia="Calibri" w:hAnsi="Calibri" w:cs="Calibri"/>
          <w:kern w:val="0"/>
          <w:sz w:val="30"/>
          <w:szCs w:val="30"/>
        </w:rPr>
        <w:t> 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2026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年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1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月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21</w:t>
      </w:r>
      <w:r>
        <w:rPr>
          <w:rStyle w:val="custom"/>
          <w:rFonts w:ascii="FangSong" w:eastAsia="FangSong" w:hAnsi="FangSong" w:cs="FangSong"/>
          <w:kern w:val="0"/>
          <w:sz w:val="30"/>
          <w:szCs w:val="30"/>
        </w:rPr>
        <w:t>日</w:t>
      </w:r>
    </w:p>
    <w:sectPr w:rsidR="000132E9" w:rsidSect="000132E9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2E9" w:rsidRDefault="000132E9" w:rsidP="000132E9">
      <w:r>
        <w:separator/>
      </w:r>
    </w:p>
  </w:endnote>
  <w:endnote w:type="continuationSeparator" w:id="0">
    <w:p w:rsidR="000132E9" w:rsidRDefault="000132E9" w:rsidP="00013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2E9" w:rsidRDefault="000132E9">
    <w:pPr>
      <w:pStyle w:val="a9"/>
      <w:jc w:val="center"/>
      <w:rPr>
        <w:color w:val="000000" w:themeColor="text1"/>
      </w:rPr>
    </w:pPr>
    <w:r>
      <w:rPr>
        <w:color w:val="000000" w:themeColor="text1"/>
      </w:rPr>
      <w:fldChar w:fldCharType="begin"/>
    </w:r>
    <w:r w:rsidR="009B03B6">
      <w:rPr>
        <w:color w:val="000000" w:themeColor="text1"/>
      </w:rPr>
      <w:instrText xml:space="preserve">PAGE   \* </w:instrText>
    </w:r>
    <w:r w:rsidR="009B03B6">
      <w:rPr>
        <w:color w:val="000000" w:themeColor="text1"/>
      </w:rPr>
      <w:instrText>MERGEFORMAT</w:instrText>
    </w:r>
    <w:r>
      <w:rPr>
        <w:color w:val="000000" w:themeColor="text1"/>
      </w:rPr>
      <w:fldChar w:fldCharType="separate"/>
    </w:r>
    <w:r w:rsidR="009B03B6" w:rsidRPr="009B03B6">
      <w:rPr>
        <w:noProof/>
        <w:color w:val="000000" w:themeColor="text1"/>
        <w:lang w:val="zh-CN"/>
      </w:rPr>
      <w:t>1</w:t>
    </w:r>
    <w:r>
      <w:rPr>
        <w:color w:val="000000" w:themeColor="tex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2E9" w:rsidRDefault="000132E9" w:rsidP="000132E9">
      <w:r>
        <w:separator/>
      </w:r>
    </w:p>
  </w:footnote>
  <w:footnote w:type="continuationSeparator" w:id="0">
    <w:p w:rsidR="000132E9" w:rsidRDefault="000132E9" w:rsidP="00013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32E9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03B6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E9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0132E9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0132E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0132E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132E9"/>
    <w:pPr>
      <w:ind w:firstLineChars="200" w:firstLine="420"/>
    </w:pPr>
  </w:style>
  <w:style w:type="paragraph" w:styleId="a4">
    <w:name w:val="Document Map"/>
    <w:basedOn w:val="a"/>
    <w:qFormat/>
    <w:rsid w:val="000132E9"/>
    <w:pPr>
      <w:shd w:val="clear" w:color="auto" w:fill="000080"/>
    </w:pPr>
  </w:style>
  <w:style w:type="paragraph" w:styleId="a5">
    <w:name w:val="annotation text"/>
    <w:basedOn w:val="a"/>
    <w:link w:val="Char"/>
    <w:qFormat/>
    <w:rsid w:val="000132E9"/>
    <w:pPr>
      <w:jc w:val="left"/>
    </w:pPr>
  </w:style>
  <w:style w:type="paragraph" w:styleId="a6">
    <w:name w:val="Body Text"/>
    <w:basedOn w:val="a"/>
    <w:link w:val="Char0"/>
    <w:qFormat/>
    <w:rsid w:val="000132E9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0132E9"/>
    <w:pPr>
      <w:ind w:leftChars="400" w:left="840"/>
    </w:pPr>
  </w:style>
  <w:style w:type="paragraph" w:styleId="a7">
    <w:name w:val="Plain Text"/>
    <w:basedOn w:val="a"/>
    <w:qFormat/>
    <w:rsid w:val="000132E9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0132E9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0132E9"/>
    <w:rPr>
      <w:sz w:val="18"/>
    </w:rPr>
  </w:style>
  <w:style w:type="paragraph" w:styleId="a9">
    <w:name w:val="footer"/>
    <w:basedOn w:val="a"/>
    <w:link w:val="Char1"/>
    <w:uiPriority w:val="99"/>
    <w:qFormat/>
    <w:rsid w:val="000132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013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0132E9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0132E9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0132E9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0132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0132E9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0132E9"/>
    <w:rPr>
      <w:b/>
    </w:rPr>
  </w:style>
  <w:style w:type="character" w:styleId="af">
    <w:name w:val="page number"/>
    <w:basedOn w:val="a0"/>
    <w:rsid w:val="000132E9"/>
  </w:style>
  <w:style w:type="character" w:styleId="af0">
    <w:name w:val="Hyperlink"/>
    <w:qFormat/>
    <w:rsid w:val="000132E9"/>
    <w:rPr>
      <w:color w:val="0000FF"/>
      <w:u w:val="single"/>
    </w:rPr>
  </w:style>
  <w:style w:type="character" w:styleId="af1">
    <w:name w:val="annotation reference"/>
    <w:rsid w:val="000132E9"/>
    <w:rPr>
      <w:sz w:val="21"/>
    </w:rPr>
  </w:style>
  <w:style w:type="character" w:styleId="af2">
    <w:name w:val="footnote reference"/>
    <w:rsid w:val="000132E9"/>
    <w:rPr>
      <w:vertAlign w:val="superscript"/>
    </w:rPr>
  </w:style>
  <w:style w:type="character" w:customStyle="1" w:styleId="Char0">
    <w:name w:val="正文文本 Char"/>
    <w:link w:val="a6"/>
    <w:rsid w:val="000132E9"/>
    <w:rPr>
      <w:rFonts w:ascii="宋体"/>
      <w:lang w:val="zh-CN" w:eastAsia="zh-CN"/>
    </w:rPr>
  </w:style>
  <w:style w:type="character" w:customStyle="1" w:styleId="unnamed11">
    <w:name w:val="unnamed11"/>
    <w:rsid w:val="000132E9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0132E9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0132E9"/>
    <w:rPr>
      <w:kern w:val="2"/>
      <w:sz w:val="18"/>
    </w:rPr>
  </w:style>
  <w:style w:type="character" w:customStyle="1" w:styleId="read">
    <w:name w:val="read"/>
    <w:basedOn w:val="a0"/>
    <w:qFormat/>
    <w:rsid w:val="000132E9"/>
  </w:style>
  <w:style w:type="paragraph" w:customStyle="1" w:styleId="CharChar">
    <w:name w:val="Char Char"/>
    <w:basedOn w:val="a"/>
    <w:qFormat/>
    <w:rsid w:val="000132E9"/>
  </w:style>
  <w:style w:type="paragraph" w:customStyle="1" w:styleId="Default">
    <w:name w:val="Default"/>
    <w:qFormat/>
    <w:rsid w:val="000132E9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0132E9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0132E9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0132E9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0132E9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0132E9"/>
  </w:style>
  <w:style w:type="paragraph" w:customStyle="1" w:styleId="Char10">
    <w:name w:val="Char1"/>
    <w:basedOn w:val="a"/>
    <w:qFormat/>
    <w:rsid w:val="000132E9"/>
  </w:style>
  <w:style w:type="paragraph" w:customStyle="1" w:styleId="CharCharChar">
    <w:name w:val="Char Char Char"/>
    <w:basedOn w:val="a"/>
    <w:qFormat/>
    <w:rsid w:val="000132E9"/>
  </w:style>
  <w:style w:type="paragraph" w:customStyle="1" w:styleId="InfoBlue">
    <w:name w:val="InfoBlue"/>
    <w:basedOn w:val="a"/>
    <w:next w:val="a6"/>
    <w:qFormat/>
    <w:rsid w:val="000132E9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0132E9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0132E9"/>
  </w:style>
  <w:style w:type="paragraph" w:customStyle="1" w:styleId="af4">
    <w:name w:val="正文所"/>
    <w:basedOn w:val="a"/>
    <w:qFormat/>
    <w:rsid w:val="000132E9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0132E9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0132E9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0132E9"/>
    <w:rPr>
      <w:kern w:val="2"/>
      <w:sz w:val="21"/>
    </w:rPr>
  </w:style>
  <w:style w:type="paragraph" w:customStyle="1" w:styleId="CharChar2">
    <w:name w:val="Char Char2"/>
    <w:basedOn w:val="a"/>
    <w:qFormat/>
    <w:rsid w:val="000132E9"/>
  </w:style>
  <w:style w:type="paragraph" w:customStyle="1" w:styleId="CharChar3">
    <w:name w:val="Char Char3"/>
    <w:basedOn w:val="a"/>
    <w:qFormat/>
    <w:rsid w:val="000132E9"/>
  </w:style>
  <w:style w:type="paragraph" w:customStyle="1" w:styleId="Char20">
    <w:name w:val="Char2"/>
    <w:basedOn w:val="a"/>
    <w:qFormat/>
    <w:rsid w:val="000132E9"/>
  </w:style>
  <w:style w:type="paragraph" w:customStyle="1" w:styleId="CharCharChar1">
    <w:name w:val="Char Char Char1"/>
    <w:basedOn w:val="a"/>
    <w:qFormat/>
    <w:rsid w:val="000132E9"/>
  </w:style>
  <w:style w:type="paragraph" w:customStyle="1" w:styleId="CharCharCharChar1">
    <w:name w:val="Char Char Char Char1"/>
    <w:basedOn w:val="a"/>
    <w:qFormat/>
    <w:rsid w:val="000132E9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0132E9"/>
  </w:style>
  <w:style w:type="paragraph" w:customStyle="1" w:styleId="CharChar4">
    <w:name w:val="Char Char4"/>
    <w:basedOn w:val="a"/>
    <w:qFormat/>
    <w:rsid w:val="000132E9"/>
  </w:style>
  <w:style w:type="paragraph" w:styleId="af5">
    <w:name w:val="List Paragraph"/>
    <w:basedOn w:val="a"/>
    <w:uiPriority w:val="34"/>
    <w:qFormat/>
    <w:rsid w:val="000132E9"/>
    <w:pPr>
      <w:ind w:firstLineChars="200" w:firstLine="420"/>
    </w:pPr>
  </w:style>
  <w:style w:type="paragraph" w:customStyle="1" w:styleId="CharChar12">
    <w:name w:val="Char Char12"/>
    <w:basedOn w:val="a"/>
    <w:qFormat/>
    <w:rsid w:val="000132E9"/>
  </w:style>
  <w:style w:type="paragraph" w:customStyle="1" w:styleId="Char30">
    <w:name w:val="Char3"/>
    <w:basedOn w:val="a"/>
    <w:qFormat/>
    <w:rsid w:val="000132E9"/>
  </w:style>
  <w:style w:type="paragraph" w:customStyle="1" w:styleId="CharChar13">
    <w:name w:val="Char Char13"/>
    <w:basedOn w:val="a"/>
    <w:qFormat/>
    <w:rsid w:val="000132E9"/>
  </w:style>
  <w:style w:type="paragraph" w:customStyle="1" w:styleId="Char40">
    <w:name w:val="Char4"/>
    <w:basedOn w:val="a"/>
    <w:qFormat/>
    <w:rsid w:val="000132E9"/>
  </w:style>
  <w:style w:type="paragraph" w:customStyle="1" w:styleId="CharChar14">
    <w:name w:val="Char Char14"/>
    <w:basedOn w:val="a"/>
    <w:qFormat/>
    <w:rsid w:val="000132E9"/>
  </w:style>
  <w:style w:type="paragraph" w:customStyle="1" w:styleId="Char5">
    <w:name w:val="Char5"/>
    <w:basedOn w:val="a"/>
    <w:qFormat/>
    <w:rsid w:val="000132E9"/>
  </w:style>
  <w:style w:type="paragraph" w:customStyle="1" w:styleId="CharChar5">
    <w:name w:val="Char Char5"/>
    <w:basedOn w:val="a"/>
    <w:qFormat/>
    <w:rsid w:val="000132E9"/>
  </w:style>
  <w:style w:type="character" w:customStyle="1" w:styleId="Char1">
    <w:name w:val="页脚 Char"/>
    <w:basedOn w:val="a0"/>
    <w:link w:val="a9"/>
    <w:uiPriority w:val="99"/>
    <w:qFormat/>
    <w:rsid w:val="000132E9"/>
    <w:rPr>
      <w:kern w:val="2"/>
      <w:sz w:val="18"/>
    </w:rPr>
  </w:style>
  <w:style w:type="paragraph" w:customStyle="1" w:styleId="div">
    <w:name w:val="div"/>
    <w:basedOn w:val="a"/>
    <w:rsid w:val="000132E9"/>
  </w:style>
  <w:style w:type="character" w:customStyle="1" w:styleId="custom">
    <w:name w:val="custom"/>
    <w:basedOn w:val="a0"/>
    <w:rsid w:val="000132E9"/>
  </w:style>
  <w:style w:type="paragraph" w:customStyle="1" w:styleId="p">
    <w:name w:val="p"/>
    <w:basedOn w:val="a"/>
    <w:rsid w:val="000132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A9F8-BBB4-481E-B435-D11E64BF45C2}">
  <ds:schemaRefs/>
</ds:datastoreItem>
</file>

<file path=customXml/itemProps2.xml><?xml version="1.0" encoding="utf-8"?>
<ds:datastoreItem xmlns:ds="http://schemas.openxmlformats.org/officeDocument/2006/customXml" ds:itemID="{1A433C6A-83FA-48C6-BB54-4C54A523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2434</Characters>
  <Application>Microsoft Office Word</Application>
  <DocSecurity>4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2026-01-20T16:00:00Z</dcterms:created>
  <dcterms:modified xsi:type="dcterms:W3CDTF">2026-01-20T16:00:00Z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