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62CC">
      <w:pPr>
        <w:spacing w:line="0" w:lineRule="atLeast"/>
        <w:rPr>
          <w:rFonts w:eastAsia="等线"/>
          <w:sz w:val="24"/>
        </w:rPr>
      </w:pPr>
    </w:p>
    <w:p w:rsidR="00000000" w:rsidRDefault="006162CC">
      <w:pPr>
        <w:spacing w:line="0" w:lineRule="atLeast"/>
        <w:jc w:val="center"/>
        <w:rPr>
          <w:rFonts w:ascii="宋体" w:hAnsi="宋体" w:hint="eastAsia"/>
          <w:b/>
          <w:bCs/>
          <w:sz w:val="24"/>
        </w:rPr>
      </w:pPr>
      <w:r>
        <w:rPr>
          <w:rFonts w:ascii="宋体" w:hAnsi="宋体" w:hint="eastAsia"/>
          <w:b/>
          <w:bCs/>
          <w:sz w:val="24"/>
        </w:rPr>
        <w:t>关于中航基金管理有限公司旗下部分产品增加泰信财富基金销售有限公司</w:t>
      </w:r>
      <w:r>
        <w:rPr>
          <w:rFonts w:ascii="宋体" w:hAnsi="宋体" w:hint="eastAsia"/>
          <w:b/>
          <w:bCs/>
          <w:sz w:val="24"/>
        </w:rPr>
        <w:t>为</w:t>
      </w:r>
      <w:r>
        <w:rPr>
          <w:rFonts w:ascii="宋体" w:hAnsi="宋体" w:hint="eastAsia"/>
          <w:b/>
          <w:bCs/>
          <w:sz w:val="24"/>
        </w:rPr>
        <w:t>销售机构的公告</w:t>
      </w:r>
    </w:p>
    <w:p w:rsidR="00000000" w:rsidRDefault="006162CC">
      <w:pPr>
        <w:spacing w:line="0" w:lineRule="atLeast"/>
        <w:ind w:left="1020"/>
        <w:rPr>
          <w:rFonts w:ascii="宋体" w:hAnsi="宋体"/>
          <w:b/>
          <w:bCs/>
          <w:sz w:val="24"/>
        </w:rPr>
      </w:pPr>
    </w:p>
    <w:p w:rsidR="00000000" w:rsidRDefault="006162CC">
      <w:pPr>
        <w:spacing w:line="360" w:lineRule="auto"/>
        <w:ind w:firstLineChars="200" w:firstLine="480"/>
        <w:jc w:val="both"/>
        <w:rPr>
          <w:rFonts w:ascii="宋体" w:hAnsi="宋体"/>
          <w:sz w:val="24"/>
        </w:rPr>
      </w:pPr>
      <w:r>
        <w:rPr>
          <w:rFonts w:ascii="宋体" w:hAnsi="宋体" w:hint="eastAsia"/>
          <w:sz w:val="24"/>
        </w:rPr>
        <w:t>为满足广大投资者的理财需求，</w:t>
      </w:r>
      <w:r>
        <w:rPr>
          <w:rFonts w:ascii="宋体" w:hAnsi="宋体"/>
          <w:sz w:val="24"/>
        </w:rPr>
        <w:t>根据中航基金管理有限公司与</w:t>
      </w:r>
      <w:r>
        <w:rPr>
          <w:rFonts w:ascii="宋体" w:hAnsi="宋体" w:hint="eastAsia"/>
          <w:sz w:val="24"/>
        </w:rPr>
        <w:t>泰信财富基金销售有限公司（以下简称“</w:t>
      </w:r>
      <w:r>
        <w:rPr>
          <w:rFonts w:ascii="宋体" w:hAnsi="宋体" w:hint="eastAsia"/>
          <w:sz w:val="24"/>
        </w:rPr>
        <w:t>泰信财富基金</w:t>
      </w:r>
      <w:r>
        <w:rPr>
          <w:rFonts w:ascii="宋体" w:hAnsi="宋体" w:hint="eastAsia"/>
          <w:sz w:val="24"/>
        </w:rPr>
        <w:t>”）</w:t>
      </w:r>
      <w:r>
        <w:rPr>
          <w:rFonts w:ascii="宋体" w:hAnsi="宋体"/>
          <w:sz w:val="24"/>
        </w:rPr>
        <w:t>签署的基金</w:t>
      </w:r>
      <w:r>
        <w:rPr>
          <w:rFonts w:ascii="宋体" w:hAnsi="宋体" w:hint="eastAsia"/>
          <w:sz w:val="24"/>
        </w:rPr>
        <w:t>代理</w:t>
      </w:r>
      <w:r>
        <w:rPr>
          <w:rFonts w:ascii="宋体" w:hAnsi="宋体"/>
          <w:sz w:val="24"/>
        </w:rPr>
        <w:t>销售协议</w:t>
      </w:r>
      <w:r>
        <w:rPr>
          <w:rFonts w:ascii="宋体" w:hAnsi="宋体" w:hint="eastAsia"/>
          <w:sz w:val="24"/>
        </w:rPr>
        <w:t>,</w:t>
      </w:r>
      <w:r>
        <w:rPr>
          <w:rFonts w:ascii="宋体" w:hAnsi="宋体" w:hint="eastAsia"/>
          <w:sz w:val="24"/>
        </w:rPr>
        <w:t>泰信财富基金</w:t>
      </w:r>
      <w:r>
        <w:rPr>
          <w:rFonts w:ascii="宋体" w:hAnsi="宋体"/>
          <w:sz w:val="24"/>
        </w:rPr>
        <w:t>自</w:t>
      </w:r>
      <w:r>
        <w:rPr>
          <w:rFonts w:ascii="宋体" w:hAnsi="宋体"/>
          <w:sz w:val="24"/>
        </w:rPr>
        <w:t>20</w:t>
      </w:r>
      <w:r>
        <w:rPr>
          <w:rFonts w:ascii="宋体" w:hAnsi="宋体" w:hint="eastAsia"/>
          <w:sz w:val="24"/>
        </w:rPr>
        <w:t>26</w:t>
      </w:r>
      <w:r>
        <w:rPr>
          <w:rFonts w:ascii="宋体" w:hAnsi="宋体"/>
          <w:sz w:val="24"/>
        </w:rPr>
        <w:t>年</w:t>
      </w:r>
      <w:r>
        <w:rPr>
          <w:rFonts w:ascii="宋体" w:hAnsi="宋体" w:hint="eastAsia"/>
          <w:sz w:val="24"/>
        </w:rPr>
        <w:t>1</w:t>
      </w:r>
      <w:r>
        <w:rPr>
          <w:rFonts w:ascii="宋体" w:hAnsi="宋体"/>
          <w:sz w:val="24"/>
        </w:rPr>
        <w:t>月</w:t>
      </w:r>
      <w:r>
        <w:rPr>
          <w:rFonts w:ascii="宋体" w:hAnsi="宋体" w:hint="eastAsia"/>
          <w:sz w:val="24"/>
        </w:rPr>
        <w:t>21</w:t>
      </w:r>
      <w:r>
        <w:rPr>
          <w:rFonts w:ascii="宋体" w:hAnsi="宋体"/>
          <w:sz w:val="24"/>
        </w:rPr>
        <w:t>日起</w:t>
      </w:r>
      <w:r>
        <w:rPr>
          <w:rFonts w:ascii="宋体" w:hAnsi="宋体" w:hint="eastAsia"/>
          <w:sz w:val="24"/>
        </w:rPr>
        <w:t>开始</w:t>
      </w:r>
      <w:r>
        <w:rPr>
          <w:rFonts w:ascii="宋体" w:hAnsi="宋体"/>
          <w:sz w:val="24"/>
        </w:rPr>
        <w:t>办理</w:t>
      </w:r>
      <w:r>
        <w:rPr>
          <w:rFonts w:ascii="宋体" w:hAnsi="宋体" w:hint="eastAsia"/>
          <w:sz w:val="24"/>
        </w:rPr>
        <w:t>本公司旗下部分基金的</w:t>
      </w:r>
      <w:r>
        <w:rPr>
          <w:rFonts w:ascii="宋体" w:hAnsi="宋体" w:hint="eastAsia"/>
          <w:sz w:val="24"/>
        </w:rPr>
        <w:t>销售相关</w:t>
      </w:r>
      <w:r>
        <w:rPr>
          <w:rFonts w:ascii="宋体" w:hAnsi="宋体"/>
          <w:sz w:val="24"/>
        </w:rPr>
        <w:t>业务。</w:t>
      </w:r>
    </w:p>
    <w:p w:rsidR="00000000" w:rsidRDefault="006162CC">
      <w:pPr>
        <w:numPr>
          <w:ilvl w:val="0"/>
          <w:numId w:val="1"/>
        </w:numPr>
        <w:spacing w:line="360" w:lineRule="auto"/>
        <w:ind w:firstLineChars="200" w:firstLine="480"/>
        <w:jc w:val="both"/>
        <w:rPr>
          <w:rFonts w:ascii="宋体" w:hAnsi="宋体"/>
          <w:sz w:val="24"/>
        </w:rPr>
      </w:pPr>
      <w:r>
        <w:rPr>
          <w:rFonts w:ascii="宋体" w:hAnsi="宋体" w:hint="eastAsia"/>
          <w:sz w:val="24"/>
        </w:rPr>
        <w:t>泰信财富基金销售有限公司</w:t>
      </w:r>
      <w:r>
        <w:rPr>
          <w:rFonts w:ascii="宋体" w:hAnsi="宋体" w:hint="eastAsia"/>
          <w:sz w:val="24"/>
        </w:rPr>
        <w:t>新增销售基金：</w:t>
      </w:r>
    </w:p>
    <w:tbl>
      <w:tblPr>
        <w:tblStyle w:val="a6"/>
        <w:tblW w:w="0" w:type="auto"/>
        <w:tblInd w:w="0" w:type="dxa"/>
        <w:tblCellMar>
          <w:top w:w="0" w:type="dxa"/>
          <w:left w:w="108" w:type="dxa"/>
          <w:bottom w:w="0" w:type="dxa"/>
          <w:right w:w="108" w:type="dxa"/>
        </w:tblCellMar>
        <w:tblLook w:val="0000"/>
      </w:tblPr>
      <w:tblGrid>
        <w:gridCol w:w="1746"/>
        <w:gridCol w:w="6850"/>
      </w:tblGrid>
      <w:tr w:rsidR="00000000">
        <w:tblPrEx>
          <w:tblCellMar>
            <w:top w:w="0" w:type="dxa"/>
            <w:bottom w:w="0" w:type="dxa"/>
          </w:tblCellMar>
        </w:tblPrEx>
        <w:tc>
          <w:tcPr>
            <w:tcW w:w="1746" w:type="dxa"/>
            <w:shd w:val="clear" w:color="auto" w:fill="DCE6F2"/>
            <w:vAlign w:val="center"/>
          </w:tcPr>
          <w:p w:rsidR="00000000" w:rsidRDefault="006162CC">
            <w:pPr>
              <w:jc w:val="center"/>
              <w:rPr>
                <w:rFonts w:ascii="宋体" w:hAnsi="宋体"/>
                <w:b/>
                <w:bCs/>
                <w:sz w:val="24"/>
                <w:szCs w:val="24"/>
              </w:rPr>
            </w:pPr>
            <w:r>
              <w:rPr>
                <w:rFonts w:ascii="宋体" w:hAnsi="宋体" w:hint="eastAsia"/>
                <w:b/>
                <w:bCs/>
                <w:sz w:val="24"/>
                <w:szCs w:val="24"/>
              </w:rPr>
              <w:t>基金代码</w:t>
            </w:r>
          </w:p>
        </w:tc>
        <w:tc>
          <w:tcPr>
            <w:tcW w:w="6850" w:type="dxa"/>
            <w:shd w:val="clear" w:color="auto" w:fill="DCE6F2"/>
            <w:vAlign w:val="center"/>
          </w:tcPr>
          <w:p w:rsidR="00000000" w:rsidRDefault="006162CC">
            <w:pPr>
              <w:jc w:val="center"/>
              <w:rPr>
                <w:rFonts w:ascii="宋体" w:hAnsi="宋体"/>
                <w:b/>
                <w:bCs/>
                <w:sz w:val="24"/>
                <w:szCs w:val="24"/>
              </w:rPr>
            </w:pPr>
            <w:r>
              <w:rPr>
                <w:rFonts w:ascii="宋体" w:hAnsi="宋体" w:hint="eastAsia"/>
                <w:b/>
                <w:bCs/>
                <w:sz w:val="24"/>
                <w:szCs w:val="24"/>
              </w:rPr>
              <w:t>基金名称</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019668</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中航瑞安利率债三个月定期开放债券型证券投资基金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019669</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中航瑞安利率债三个月定期开放债券型证券投资基金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020907</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中航瑞尚</w:t>
            </w:r>
            <w:r>
              <w:rPr>
                <w:rFonts w:ascii="宋体" w:hAnsi="宋体"/>
                <w:sz w:val="24"/>
              </w:rPr>
              <w:t>利率债债券型证券投资基金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020908</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中航瑞尚利率债债券型证券投资基金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021489</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中航趋势领航混合型发起式证券投资基金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021490</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中航趋势领航混合型发起式证券投资基金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021491</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中航远见领航混合型发起式证券投资基金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021492</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中航远见领航混合型发起式证券投资基金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022852</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中航优选领航混合型发起式证券投资基金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022853</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中航优选领航混合型发起式证券投资基金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022854</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中航中证智选均衡配置指数型发起式证券投资基金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022855</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中航中证智选均衡</w:t>
            </w:r>
            <w:r>
              <w:rPr>
                <w:rFonts w:ascii="宋体" w:hAnsi="宋体"/>
                <w:sz w:val="24"/>
              </w:rPr>
              <w:t>配置指数型发起式证券投资基金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024388</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中航智选领航混合型发起式证券投资基金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sz w:val="24"/>
              </w:rPr>
            </w:pPr>
            <w:r>
              <w:rPr>
                <w:rFonts w:ascii="宋体" w:hAnsi="宋体" w:hint="eastAsia"/>
                <w:sz w:val="24"/>
              </w:rPr>
              <w:t>024389</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中航智选领航混合型发起式证券投资基金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024290</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中航月月鑫</w:t>
            </w:r>
            <w:r>
              <w:rPr>
                <w:rFonts w:ascii="宋体" w:hAnsi="宋体"/>
                <w:sz w:val="24"/>
              </w:rPr>
              <w:t>30</w:t>
            </w:r>
            <w:r>
              <w:rPr>
                <w:rFonts w:ascii="宋体" w:hAnsi="宋体"/>
                <w:sz w:val="24"/>
              </w:rPr>
              <w:t>天持有期债券型证券投资基金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024291</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中航月月鑫</w:t>
            </w:r>
            <w:r>
              <w:rPr>
                <w:rFonts w:ascii="宋体" w:hAnsi="宋体"/>
                <w:sz w:val="24"/>
              </w:rPr>
              <w:t>30</w:t>
            </w:r>
            <w:r>
              <w:rPr>
                <w:rFonts w:ascii="宋体" w:hAnsi="宋体"/>
                <w:sz w:val="24"/>
              </w:rPr>
              <w:t>天持有期债券型证券投资基金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017286</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中航祥泰</w:t>
            </w:r>
            <w:r>
              <w:rPr>
                <w:rFonts w:ascii="宋体" w:hAnsi="宋体"/>
                <w:sz w:val="24"/>
              </w:rPr>
              <w:t>6</w:t>
            </w:r>
            <w:r>
              <w:rPr>
                <w:rFonts w:ascii="宋体" w:hAnsi="宋体"/>
                <w:sz w:val="24"/>
              </w:rPr>
              <w:t>个月封闭运作债券型发起式证券投资基金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024999</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中航祥泰</w:t>
            </w:r>
            <w:r>
              <w:rPr>
                <w:rFonts w:ascii="宋体" w:hAnsi="宋体"/>
                <w:sz w:val="24"/>
              </w:rPr>
              <w:t>6</w:t>
            </w:r>
            <w:r>
              <w:rPr>
                <w:rFonts w:ascii="宋体" w:hAnsi="宋体"/>
                <w:sz w:val="24"/>
              </w:rPr>
              <w:t>个月封闭运作债券型发起式证券投资基金</w:t>
            </w:r>
            <w:r>
              <w:rPr>
                <w:rFonts w:ascii="宋体" w:hAnsi="宋体" w:hint="eastAsia"/>
                <w:sz w:val="24"/>
              </w:rPr>
              <w:t>C</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026078</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中航卓越领航混合型发起式证券投资基金</w:t>
            </w:r>
            <w:r>
              <w:rPr>
                <w:rFonts w:ascii="宋体" w:hAnsi="宋体"/>
                <w:sz w:val="24"/>
              </w:rPr>
              <w:t>A</w:t>
            </w:r>
          </w:p>
        </w:tc>
      </w:tr>
      <w:tr w:rsidR="00000000">
        <w:tblPrEx>
          <w:tblCellMar>
            <w:top w:w="0" w:type="dxa"/>
            <w:bottom w:w="0" w:type="dxa"/>
          </w:tblCellMar>
        </w:tblPrEx>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026079</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中航卓越领航混合型发起式证券投资基金</w:t>
            </w:r>
            <w:r>
              <w:rPr>
                <w:rFonts w:ascii="宋体" w:hAnsi="宋体"/>
                <w:sz w:val="24"/>
              </w:rPr>
              <w:t>C</w:t>
            </w:r>
          </w:p>
        </w:tc>
      </w:tr>
      <w:tr w:rsidR="00000000">
        <w:tblPrEx>
          <w:tblCellMar>
            <w:top w:w="0" w:type="dxa"/>
            <w:bottom w:w="0" w:type="dxa"/>
          </w:tblCellMar>
        </w:tblPrEx>
        <w:trPr>
          <w:trHeight w:val="534"/>
        </w:trPr>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t>0</w:t>
            </w:r>
            <w:r>
              <w:rPr>
                <w:rFonts w:ascii="宋体" w:hAnsi="宋体" w:hint="eastAsia"/>
                <w:sz w:val="24"/>
              </w:rPr>
              <w:t>26382</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中航洞见领航混合型证券投资基金</w:t>
            </w:r>
            <w:r>
              <w:rPr>
                <w:rFonts w:ascii="宋体" w:hAnsi="宋体"/>
                <w:sz w:val="24"/>
              </w:rPr>
              <w:t>A</w:t>
            </w:r>
          </w:p>
        </w:tc>
      </w:tr>
      <w:tr w:rsidR="00000000">
        <w:tblPrEx>
          <w:tblCellMar>
            <w:top w:w="0" w:type="dxa"/>
            <w:bottom w:w="0" w:type="dxa"/>
          </w:tblCellMar>
        </w:tblPrEx>
        <w:trPr>
          <w:trHeight w:val="534"/>
        </w:trPr>
        <w:tc>
          <w:tcPr>
            <w:tcW w:w="1746" w:type="dxa"/>
            <w:vAlign w:val="center"/>
          </w:tcPr>
          <w:p w:rsidR="00000000" w:rsidRDefault="006162CC">
            <w:pPr>
              <w:spacing w:line="360" w:lineRule="auto"/>
              <w:jc w:val="center"/>
              <w:rPr>
                <w:rFonts w:ascii="宋体" w:hAnsi="宋体" w:hint="eastAsia"/>
                <w:sz w:val="24"/>
              </w:rPr>
            </w:pPr>
            <w:r>
              <w:rPr>
                <w:rFonts w:ascii="宋体" w:hAnsi="宋体" w:hint="eastAsia"/>
                <w:sz w:val="24"/>
              </w:rPr>
              <w:lastRenderedPageBreak/>
              <w:t>026383</w:t>
            </w:r>
          </w:p>
        </w:tc>
        <w:tc>
          <w:tcPr>
            <w:tcW w:w="6850" w:type="dxa"/>
            <w:vAlign w:val="center"/>
          </w:tcPr>
          <w:p w:rsidR="00000000" w:rsidRDefault="006162CC">
            <w:pPr>
              <w:spacing w:line="360" w:lineRule="auto"/>
              <w:jc w:val="center"/>
              <w:rPr>
                <w:rFonts w:ascii="宋体" w:hAnsi="宋体"/>
                <w:sz w:val="24"/>
              </w:rPr>
            </w:pPr>
            <w:r>
              <w:rPr>
                <w:rFonts w:ascii="宋体" w:hAnsi="宋体"/>
                <w:sz w:val="24"/>
              </w:rPr>
              <w:t>中航洞见领航混合型证券投资基金</w:t>
            </w:r>
            <w:r>
              <w:rPr>
                <w:rFonts w:ascii="宋体" w:hAnsi="宋体" w:hint="eastAsia"/>
                <w:sz w:val="24"/>
              </w:rPr>
              <w:t>C</w:t>
            </w:r>
          </w:p>
        </w:tc>
      </w:tr>
    </w:tbl>
    <w:p w:rsidR="00000000" w:rsidRDefault="006162CC">
      <w:pPr>
        <w:spacing w:line="360" w:lineRule="auto"/>
        <w:rPr>
          <w:rFonts w:ascii="宋体" w:hAnsi="宋体" w:hint="eastAsia"/>
          <w:sz w:val="24"/>
        </w:rPr>
      </w:pPr>
    </w:p>
    <w:p w:rsidR="00000000" w:rsidRDefault="006162CC">
      <w:pPr>
        <w:spacing w:line="360" w:lineRule="auto"/>
        <w:ind w:left="460"/>
        <w:rPr>
          <w:rFonts w:eastAsia="Times New Roman"/>
          <w:sz w:val="24"/>
        </w:rPr>
      </w:pPr>
      <w:r>
        <w:rPr>
          <w:rFonts w:ascii="宋体" w:hAnsi="宋体" w:hint="eastAsia"/>
          <w:sz w:val="24"/>
        </w:rPr>
        <w:t>二</w:t>
      </w:r>
      <w:r>
        <w:rPr>
          <w:rFonts w:ascii="宋体" w:hAnsi="宋体"/>
          <w:sz w:val="24"/>
        </w:rPr>
        <w:t>、投资者可通过以下途径了解或咨询相关情况：</w:t>
      </w:r>
    </w:p>
    <w:p w:rsidR="00000000" w:rsidRDefault="006162CC">
      <w:pPr>
        <w:spacing w:line="360" w:lineRule="auto"/>
        <w:ind w:firstLineChars="200" w:firstLine="480"/>
        <w:rPr>
          <w:rFonts w:ascii="宋体" w:hAnsi="宋体" w:hint="eastAsia"/>
          <w:sz w:val="24"/>
        </w:rPr>
      </w:pPr>
      <w:r>
        <w:rPr>
          <w:rFonts w:ascii="宋体" w:hAnsi="宋体" w:cs="宋体"/>
          <w:sz w:val="24"/>
          <w:szCs w:val="24"/>
        </w:rPr>
        <w:t>1</w:t>
      </w:r>
      <w:r>
        <w:rPr>
          <w:rFonts w:ascii="宋体" w:hAnsi="宋体" w:cs="宋体" w:hint="eastAsia"/>
          <w:sz w:val="24"/>
          <w:szCs w:val="24"/>
        </w:rPr>
        <w:t>、</w:t>
      </w:r>
      <w:r>
        <w:rPr>
          <w:rFonts w:ascii="宋体" w:hAnsi="宋体" w:hint="eastAsia"/>
          <w:sz w:val="24"/>
        </w:rPr>
        <w:t>泰信财富基金销售有限公司</w:t>
      </w:r>
    </w:p>
    <w:p w:rsidR="00000000" w:rsidRDefault="006162CC">
      <w:pPr>
        <w:spacing w:line="360" w:lineRule="auto"/>
        <w:ind w:firstLineChars="200" w:firstLine="480"/>
        <w:rPr>
          <w:rFonts w:ascii="宋体" w:hAnsi="宋体" w:hint="eastAsia"/>
          <w:sz w:val="24"/>
        </w:rPr>
      </w:pPr>
      <w:r>
        <w:rPr>
          <w:rFonts w:ascii="宋体" w:hAnsi="宋体" w:hint="eastAsia"/>
          <w:sz w:val="24"/>
        </w:rPr>
        <w:t>公司网址：</w:t>
      </w:r>
      <w:r>
        <w:rPr>
          <w:rFonts w:ascii="宋体" w:hAnsi="宋体" w:hint="eastAsia"/>
          <w:sz w:val="24"/>
        </w:rPr>
        <w:t>www.taixincf.com</w:t>
      </w:r>
    </w:p>
    <w:p w:rsidR="00000000" w:rsidRDefault="006162CC">
      <w:pPr>
        <w:spacing w:line="360" w:lineRule="auto"/>
        <w:ind w:firstLineChars="200" w:firstLine="480"/>
        <w:rPr>
          <w:rFonts w:ascii="宋体" w:hAnsi="宋体" w:hint="eastAsia"/>
          <w:sz w:val="24"/>
        </w:rPr>
      </w:pPr>
      <w:r>
        <w:rPr>
          <w:rFonts w:ascii="宋体" w:hAnsi="宋体" w:hint="eastAsia"/>
          <w:sz w:val="24"/>
        </w:rPr>
        <w:t>客服电话：</w:t>
      </w:r>
      <w:r>
        <w:rPr>
          <w:rFonts w:ascii="宋体" w:hAnsi="宋体" w:hint="eastAsia"/>
          <w:sz w:val="24"/>
        </w:rPr>
        <w:t>400-004-8821</w:t>
      </w:r>
    </w:p>
    <w:p w:rsidR="00000000" w:rsidRDefault="006162CC">
      <w:pPr>
        <w:spacing w:line="360" w:lineRule="auto"/>
        <w:rPr>
          <w:rFonts w:ascii="宋体" w:hAnsi="宋体" w:cs="宋体" w:hint="eastAsia"/>
          <w:sz w:val="24"/>
          <w:szCs w:val="24"/>
        </w:rPr>
      </w:pPr>
    </w:p>
    <w:p w:rsidR="00000000" w:rsidRDefault="006162CC">
      <w:pPr>
        <w:spacing w:line="360" w:lineRule="auto"/>
        <w:ind w:left="480" w:right="512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中航基金管理有限公司</w:t>
      </w:r>
    </w:p>
    <w:p w:rsidR="00000000" w:rsidRDefault="006162CC">
      <w:pPr>
        <w:spacing w:line="360" w:lineRule="auto"/>
        <w:ind w:left="480"/>
        <w:rPr>
          <w:rFonts w:ascii="宋体" w:hAnsi="宋体" w:hint="eastAsia"/>
          <w:sz w:val="24"/>
          <w:szCs w:val="24"/>
        </w:rPr>
      </w:pPr>
      <w:r>
        <w:rPr>
          <w:rFonts w:ascii="宋体" w:hAnsi="宋体"/>
          <w:sz w:val="24"/>
          <w:szCs w:val="24"/>
        </w:rPr>
        <w:t>公司网址：</w:t>
      </w:r>
      <w:r>
        <w:rPr>
          <w:rFonts w:ascii="宋体" w:hAnsi="宋体"/>
          <w:sz w:val="24"/>
          <w:szCs w:val="24"/>
        </w:rPr>
        <w:t>www.avicfund.cn</w:t>
      </w:r>
    </w:p>
    <w:p w:rsidR="00000000" w:rsidRDefault="006162CC">
      <w:pPr>
        <w:spacing w:line="360" w:lineRule="auto"/>
        <w:ind w:firstLineChars="200" w:firstLine="480"/>
        <w:rPr>
          <w:rFonts w:ascii="宋体" w:hAnsi="宋体"/>
          <w:sz w:val="24"/>
          <w:szCs w:val="24"/>
        </w:rPr>
      </w:pPr>
      <w:r>
        <w:rPr>
          <w:rFonts w:ascii="宋体" w:hAnsi="宋体"/>
          <w:sz w:val="24"/>
          <w:szCs w:val="24"/>
        </w:rPr>
        <w:t>客服电话：</w:t>
      </w:r>
      <w:r>
        <w:rPr>
          <w:rFonts w:ascii="宋体" w:hAnsi="宋体" w:hint="eastAsia"/>
          <w:sz w:val="24"/>
          <w:szCs w:val="24"/>
        </w:rPr>
        <w:t>400-666-2186</w:t>
      </w:r>
    </w:p>
    <w:p w:rsidR="00000000" w:rsidRDefault="006162CC">
      <w:pPr>
        <w:spacing w:line="360" w:lineRule="auto"/>
        <w:ind w:firstLineChars="200" w:firstLine="480"/>
        <w:rPr>
          <w:rFonts w:ascii="宋体" w:hAnsi="宋体"/>
          <w:sz w:val="24"/>
        </w:rPr>
      </w:pPr>
    </w:p>
    <w:p w:rsidR="00000000" w:rsidRDefault="006162CC">
      <w:pPr>
        <w:spacing w:line="360" w:lineRule="auto"/>
        <w:ind w:firstLineChars="200" w:firstLine="480"/>
        <w:rPr>
          <w:rFonts w:eastAsia="Times New Roman"/>
          <w:sz w:val="24"/>
        </w:rPr>
      </w:pPr>
      <w:r>
        <w:rPr>
          <w:rFonts w:ascii="宋体" w:hAnsi="宋体" w:hint="eastAsia"/>
          <w:sz w:val="24"/>
        </w:rPr>
        <w:t>三</w:t>
      </w:r>
      <w:r>
        <w:rPr>
          <w:rFonts w:ascii="宋体" w:hAnsi="宋体"/>
          <w:sz w:val="24"/>
        </w:rPr>
        <w:t>、风险提示</w:t>
      </w:r>
    </w:p>
    <w:p w:rsidR="00000000" w:rsidRDefault="006162CC">
      <w:pPr>
        <w:spacing w:line="360" w:lineRule="auto"/>
        <w:ind w:right="220" w:firstLineChars="200" w:firstLine="480"/>
        <w:jc w:val="both"/>
        <w:rPr>
          <w:rFonts w:ascii="宋体" w:hAnsi="宋体"/>
          <w:sz w:val="24"/>
        </w:rPr>
      </w:pPr>
      <w:r>
        <w:rPr>
          <w:rFonts w:ascii="宋体" w:hAnsi="宋体"/>
          <w:sz w:val="24"/>
        </w:rPr>
        <w:t>基金管理人承诺以诚实信用、勤勉尽责的原则管理和运用基金资产，但不保证基金一定盈利，也不保证最低收益。投资者投资于上述基金时应认真阅读上</w:t>
      </w:r>
      <w:r>
        <w:rPr>
          <w:rFonts w:ascii="宋体" w:hAnsi="宋体"/>
          <w:sz w:val="24"/>
        </w:rPr>
        <w:t>述基金的基金合同、招募说明书</w:t>
      </w:r>
      <w:r>
        <w:rPr>
          <w:rFonts w:ascii="宋体" w:hAnsi="宋体" w:hint="eastAsia"/>
          <w:sz w:val="24"/>
        </w:rPr>
        <w:t>、基金产品资料概要</w:t>
      </w:r>
      <w:r>
        <w:rPr>
          <w:rFonts w:ascii="宋体" w:hAnsi="宋体"/>
          <w:sz w:val="24"/>
        </w:rPr>
        <w:t>等资料。敬请投资者留意投资风险。</w:t>
      </w:r>
    </w:p>
    <w:p w:rsidR="00000000" w:rsidRDefault="006162CC">
      <w:pPr>
        <w:spacing w:line="360" w:lineRule="auto"/>
        <w:ind w:right="220" w:firstLineChars="200" w:firstLine="480"/>
        <w:jc w:val="both"/>
        <w:rPr>
          <w:rFonts w:ascii="宋体" w:hAnsi="宋体"/>
          <w:sz w:val="24"/>
        </w:rPr>
      </w:pPr>
      <w:r>
        <w:rPr>
          <w:rFonts w:ascii="宋体" w:hAnsi="宋体" w:hint="eastAsia"/>
          <w:sz w:val="24"/>
        </w:rPr>
        <w:t>本公告解释权归属本公司。</w:t>
      </w:r>
    </w:p>
    <w:p w:rsidR="00000000" w:rsidRDefault="006162CC">
      <w:pPr>
        <w:spacing w:line="360" w:lineRule="auto"/>
        <w:ind w:firstLineChars="200" w:firstLine="480"/>
        <w:jc w:val="both"/>
        <w:rPr>
          <w:rFonts w:eastAsia="Times New Roman"/>
          <w:sz w:val="24"/>
        </w:rPr>
      </w:pPr>
      <w:r>
        <w:rPr>
          <w:rFonts w:ascii="宋体" w:hAnsi="宋体"/>
          <w:sz w:val="24"/>
        </w:rPr>
        <w:t>特此公告。</w:t>
      </w:r>
    </w:p>
    <w:p w:rsidR="00000000" w:rsidRDefault="006162CC">
      <w:pPr>
        <w:spacing w:line="283" w:lineRule="exact"/>
        <w:rPr>
          <w:rFonts w:eastAsia="Times New Roman"/>
          <w:sz w:val="24"/>
        </w:rPr>
      </w:pPr>
    </w:p>
    <w:p w:rsidR="00000000" w:rsidRDefault="006162CC">
      <w:pPr>
        <w:spacing w:line="0" w:lineRule="atLeast"/>
        <w:ind w:left="5660"/>
        <w:jc w:val="right"/>
        <w:rPr>
          <w:rFonts w:ascii="宋体" w:hAnsi="宋体"/>
          <w:sz w:val="24"/>
        </w:rPr>
      </w:pPr>
      <w:r>
        <w:rPr>
          <w:rFonts w:ascii="宋体" w:hAnsi="宋体"/>
          <w:sz w:val="24"/>
        </w:rPr>
        <w:t>中航基金管理有限公司</w:t>
      </w:r>
    </w:p>
    <w:p w:rsidR="00000000" w:rsidRDefault="006162CC">
      <w:pPr>
        <w:spacing w:line="287" w:lineRule="exact"/>
        <w:jc w:val="right"/>
        <w:rPr>
          <w:rFonts w:eastAsia="Times New Roman"/>
          <w:sz w:val="24"/>
        </w:rPr>
      </w:pPr>
    </w:p>
    <w:p w:rsidR="00000000" w:rsidRDefault="006162CC">
      <w:pPr>
        <w:spacing w:line="0" w:lineRule="atLeast"/>
        <w:ind w:left="5660" w:firstLineChars="100" w:firstLine="240"/>
        <w:jc w:val="right"/>
        <w:rPr>
          <w:rFonts w:ascii="宋体" w:hAnsi="宋体"/>
          <w:sz w:val="24"/>
        </w:rPr>
      </w:pPr>
      <w:r>
        <w:rPr>
          <w:rFonts w:ascii="宋体" w:hAnsi="宋体"/>
          <w:sz w:val="24"/>
        </w:rPr>
        <w:t>202</w:t>
      </w:r>
      <w:r>
        <w:rPr>
          <w:rFonts w:ascii="宋体" w:hAnsi="宋体" w:hint="eastAsia"/>
          <w:sz w:val="24"/>
        </w:rPr>
        <w:t>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21</w:t>
      </w:r>
      <w:r>
        <w:rPr>
          <w:rFonts w:ascii="宋体" w:hAnsi="宋体"/>
          <w:sz w:val="24"/>
        </w:rPr>
        <w:t>日</w:t>
      </w:r>
    </w:p>
    <w:sectPr w:rsidR="00000000">
      <w:footerReference w:type="default" r:id="rId7"/>
      <w:pgSz w:w="11900" w:h="16840"/>
      <w:pgMar w:top="1440" w:right="1720" w:bottom="1440" w:left="180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162CC">
      <w:r>
        <w:separator/>
      </w:r>
    </w:p>
  </w:endnote>
  <w:endnote w:type="continuationSeparator" w:id="0">
    <w:p w:rsidR="00000000" w:rsidRDefault="00616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0F3C52" w:usb2="00000016" w:usb3="00000000" w:csb0="0004001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2CC" w:rsidP="006162CC">
    <w:pPr>
      <w:pStyle w:val="a3"/>
      <w:spacing w:beforeLines="301"/>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v-text-anchor:top" filled="f" stroked="f">
          <v:fill o:detectmouseclick="t"/>
          <v:textbox style="mso-fit-shape-to-text:t" inset="0,0,0,0">
            <w:txbxContent>
              <w:p w:rsidR="00000000" w:rsidRDefault="006162CC">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162CC">
      <w:r>
        <w:separator/>
      </w:r>
    </w:p>
  </w:footnote>
  <w:footnote w:type="continuationSeparator" w:id="0">
    <w:p w:rsidR="00000000" w:rsidRDefault="00616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D7DDA"/>
    <w:multiLevelType w:val="singleLevel"/>
    <w:tmpl w:val="99CD7DD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41E9"/>
    <w:rsid w:val="0006196A"/>
    <w:rsid w:val="000649DD"/>
    <w:rsid w:val="00084067"/>
    <w:rsid w:val="00135B47"/>
    <w:rsid w:val="0014237D"/>
    <w:rsid w:val="0018665C"/>
    <w:rsid w:val="00194FBA"/>
    <w:rsid w:val="0019567D"/>
    <w:rsid w:val="00235B60"/>
    <w:rsid w:val="002E2717"/>
    <w:rsid w:val="00300B9A"/>
    <w:rsid w:val="00366B2B"/>
    <w:rsid w:val="003A0867"/>
    <w:rsid w:val="003A281E"/>
    <w:rsid w:val="003C1D9D"/>
    <w:rsid w:val="00423CCA"/>
    <w:rsid w:val="00444949"/>
    <w:rsid w:val="00505A95"/>
    <w:rsid w:val="0055064C"/>
    <w:rsid w:val="005B3343"/>
    <w:rsid w:val="006162CC"/>
    <w:rsid w:val="00621377"/>
    <w:rsid w:val="007376EB"/>
    <w:rsid w:val="00791135"/>
    <w:rsid w:val="00826A47"/>
    <w:rsid w:val="00827C62"/>
    <w:rsid w:val="0083412E"/>
    <w:rsid w:val="009A7EEE"/>
    <w:rsid w:val="00AC57D0"/>
    <w:rsid w:val="00AF7FED"/>
    <w:rsid w:val="00B328D2"/>
    <w:rsid w:val="00B62C08"/>
    <w:rsid w:val="00C311B1"/>
    <w:rsid w:val="00CD1F9B"/>
    <w:rsid w:val="00DE66A4"/>
    <w:rsid w:val="00E66F8D"/>
    <w:rsid w:val="00E9392F"/>
    <w:rsid w:val="00F20A8F"/>
    <w:rsid w:val="00F44D37"/>
    <w:rsid w:val="00F574E7"/>
    <w:rsid w:val="00F85BB3"/>
    <w:rsid w:val="00FF75BF"/>
    <w:rsid w:val="0238310F"/>
    <w:rsid w:val="02920A2C"/>
    <w:rsid w:val="03E84C02"/>
    <w:rsid w:val="05D061D3"/>
    <w:rsid w:val="061C3E19"/>
    <w:rsid w:val="063D57BB"/>
    <w:rsid w:val="06864DDD"/>
    <w:rsid w:val="08DA0AA8"/>
    <w:rsid w:val="0ACD5574"/>
    <w:rsid w:val="0C521C5A"/>
    <w:rsid w:val="0D197B03"/>
    <w:rsid w:val="0D22364C"/>
    <w:rsid w:val="12163F91"/>
    <w:rsid w:val="131C54D3"/>
    <w:rsid w:val="13DA46CD"/>
    <w:rsid w:val="15CD13FD"/>
    <w:rsid w:val="15D6454C"/>
    <w:rsid w:val="16DC1BA3"/>
    <w:rsid w:val="16E267C1"/>
    <w:rsid w:val="17AD2B0A"/>
    <w:rsid w:val="180A6C91"/>
    <w:rsid w:val="18C65B06"/>
    <w:rsid w:val="1A5679CA"/>
    <w:rsid w:val="1B1C6074"/>
    <w:rsid w:val="1B5C4C07"/>
    <w:rsid w:val="1D0F01B8"/>
    <w:rsid w:val="1D292894"/>
    <w:rsid w:val="1E4A477E"/>
    <w:rsid w:val="1E6819A9"/>
    <w:rsid w:val="1EB40704"/>
    <w:rsid w:val="1EC86302"/>
    <w:rsid w:val="1F1C74D8"/>
    <w:rsid w:val="1F722F7B"/>
    <w:rsid w:val="20B64003"/>
    <w:rsid w:val="21B17076"/>
    <w:rsid w:val="22AA67BD"/>
    <w:rsid w:val="23313263"/>
    <w:rsid w:val="23773588"/>
    <w:rsid w:val="24986E35"/>
    <w:rsid w:val="24D93CA2"/>
    <w:rsid w:val="257B1609"/>
    <w:rsid w:val="262F7960"/>
    <w:rsid w:val="26A86592"/>
    <w:rsid w:val="28550C8F"/>
    <w:rsid w:val="28781D0E"/>
    <w:rsid w:val="29856B91"/>
    <w:rsid w:val="2A1A0E0A"/>
    <w:rsid w:val="2AAF154B"/>
    <w:rsid w:val="2AC248A3"/>
    <w:rsid w:val="2C51213D"/>
    <w:rsid w:val="2CE2393F"/>
    <w:rsid w:val="2D494F81"/>
    <w:rsid w:val="2F0804AE"/>
    <w:rsid w:val="30AF4200"/>
    <w:rsid w:val="313C0221"/>
    <w:rsid w:val="31C85575"/>
    <w:rsid w:val="32C729E0"/>
    <w:rsid w:val="3504065D"/>
    <w:rsid w:val="353C1DA0"/>
    <w:rsid w:val="355C61BF"/>
    <w:rsid w:val="35B95C53"/>
    <w:rsid w:val="37671E32"/>
    <w:rsid w:val="3AD173C0"/>
    <w:rsid w:val="3B2343CE"/>
    <w:rsid w:val="3B2D0FF3"/>
    <w:rsid w:val="3B6432CF"/>
    <w:rsid w:val="3BC22409"/>
    <w:rsid w:val="3C7F5147"/>
    <w:rsid w:val="3E0F5306"/>
    <w:rsid w:val="3E2A1DA5"/>
    <w:rsid w:val="3E8A65BF"/>
    <w:rsid w:val="3E955304"/>
    <w:rsid w:val="3FC347CE"/>
    <w:rsid w:val="416669E5"/>
    <w:rsid w:val="41F45363"/>
    <w:rsid w:val="42C52F70"/>
    <w:rsid w:val="44947F9D"/>
    <w:rsid w:val="44F22F3F"/>
    <w:rsid w:val="466E049A"/>
    <w:rsid w:val="49065E62"/>
    <w:rsid w:val="49253009"/>
    <w:rsid w:val="49501593"/>
    <w:rsid w:val="4AEE6815"/>
    <w:rsid w:val="4B741827"/>
    <w:rsid w:val="4C2053AA"/>
    <w:rsid w:val="4CDB1B6C"/>
    <w:rsid w:val="4F27272F"/>
    <w:rsid w:val="4F460CAD"/>
    <w:rsid w:val="4F856B92"/>
    <w:rsid w:val="4FA76928"/>
    <w:rsid w:val="5259590B"/>
    <w:rsid w:val="55EC5F6C"/>
    <w:rsid w:val="56910609"/>
    <w:rsid w:val="57247295"/>
    <w:rsid w:val="59DA70C1"/>
    <w:rsid w:val="5A302B2D"/>
    <w:rsid w:val="5AE12883"/>
    <w:rsid w:val="5AEE3A67"/>
    <w:rsid w:val="5B1A5DE1"/>
    <w:rsid w:val="5C7416DC"/>
    <w:rsid w:val="5DD2558A"/>
    <w:rsid w:val="60241EDF"/>
    <w:rsid w:val="613E5C59"/>
    <w:rsid w:val="619450FF"/>
    <w:rsid w:val="62CF23BC"/>
    <w:rsid w:val="62D22F9F"/>
    <w:rsid w:val="62D23AE3"/>
    <w:rsid w:val="62D70410"/>
    <w:rsid w:val="62E82852"/>
    <w:rsid w:val="6329776B"/>
    <w:rsid w:val="639B3DB9"/>
    <w:rsid w:val="647E5352"/>
    <w:rsid w:val="648A7BBA"/>
    <w:rsid w:val="66845AEB"/>
    <w:rsid w:val="67F24503"/>
    <w:rsid w:val="691F1B9C"/>
    <w:rsid w:val="693558C3"/>
    <w:rsid w:val="696C6943"/>
    <w:rsid w:val="6C065988"/>
    <w:rsid w:val="6D9B3402"/>
    <w:rsid w:val="6D9C2B57"/>
    <w:rsid w:val="6DE3078B"/>
    <w:rsid w:val="6F4C7DA7"/>
    <w:rsid w:val="6FDF4638"/>
    <w:rsid w:val="704F7A86"/>
    <w:rsid w:val="70773E32"/>
    <w:rsid w:val="70935DCB"/>
    <w:rsid w:val="70C76DC8"/>
    <w:rsid w:val="7156540D"/>
    <w:rsid w:val="717538FA"/>
    <w:rsid w:val="71D476E7"/>
    <w:rsid w:val="72A81245"/>
    <w:rsid w:val="74E1286F"/>
    <w:rsid w:val="74F80A61"/>
    <w:rsid w:val="767D3390"/>
    <w:rsid w:val="768C5AA1"/>
    <w:rsid w:val="77115810"/>
    <w:rsid w:val="77252A96"/>
    <w:rsid w:val="78A37149"/>
    <w:rsid w:val="79E309AD"/>
    <w:rsid w:val="79FA1F5C"/>
    <w:rsid w:val="7A2A1587"/>
    <w:rsid w:val="7ABE1AB5"/>
    <w:rsid w:val="7AF20495"/>
    <w:rsid w:val="7BBB7EF9"/>
    <w:rsid w:val="7C213073"/>
    <w:rsid w:val="7C3354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HTML Acronym" w:semiHidden="0"/>
    <w:lsdException w:name="HTML Cite" w:semiHidden="0"/>
    <w:lsdException w:name="HTML Code" w:semiHidden="0"/>
    <w:lsdException w:name="HTML Definition" w:semiHidden="0"/>
    <w:lsdException w:name="HTML Keyboard" w:semiHidden="0"/>
    <w:lsdException w:name="HTML Sample" w:semiHidden="0"/>
    <w:lsdException w:name="HTML Typewriter" w:semiHidden="0"/>
    <w:lsdException w:name="HTML Variable"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uiPriority w:val="9"/>
    <w:qFormat/>
    <w:pPr>
      <w:outlineLvl w:val="1"/>
    </w:pPr>
    <w:rPr>
      <w:rFonts w:ascii="宋体" w:hAnsi="宋体" w:hint="eastAsia"/>
      <w:b/>
      <w:sz w:val="36"/>
      <w:szCs w:val="36"/>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0" w:type="dxa"/>
        <w:bottom w:w="0" w:type="dxa"/>
        <w:right w:w="0"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styleId="a5">
    <w:name w:val="Normal (Web)"/>
    <w:basedOn w:val="a"/>
    <w:uiPriority w:val="99"/>
    <w:unhideWhenUsed/>
    <w:rPr>
      <w:sz w:val="24"/>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Strong"/>
    <w:uiPriority w:val="22"/>
    <w:qFormat/>
    <w:rPr>
      <w:b w:val="0"/>
      <w:i w:val="0"/>
    </w:rPr>
  </w:style>
  <w:style w:type="character" w:styleId="a8">
    <w:name w:val="FollowedHyperlink"/>
    <w:uiPriority w:val="99"/>
    <w:unhideWhenUsed/>
    <w:rPr>
      <w:color w:val="333333"/>
      <w:sz w:val="18"/>
      <w:szCs w:val="18"/>
      <w:u w:val="none"/>
    </w:rPr>
  </w:style>
  <w:style w:type="character" w:styleId="a9">
    <w:name w:val="Emphasis"/>
    <w:uiPriority w:val="20"/>
    <w:qFormat/>
    <w:rPr>
      <w:i w:val="0"/>
      <w:color w:val="CC0000"/>
    </w:rPr>
  </w:style>
  <w:style w:type="character" w:styleId="HTML">
    <w:name w:val="HTML Definition"/>
    <w:uiPriority w:val="99"/>
    <w:unhideWhenUsed/>
    <w:rPr>
      <w:b w:val="0"/>
      <w:i w:val="0"/>
    </w:rPr>
  </w:style>
  <w:style w:type="character" w:styleId="HTML0">
    <w:name w:val="HTML Typewriter"/>
    <w:uiPriority w:val="99"/>
    <w:unhideWhenUsed/>
    <w:rPr>
      <w:rFonts w:ascii="monospace" w:eastAsia="monospace" w:hAnsi="monospace" w:cs="monospace" w:hint="default"/>
      <w:sz w:val="20"/>
    </w:rPr>
  </w:style>
  <w:style w:type="character" w:styleId="HTML1">
    <w:name w:val="HTML Acronym"/>
    <w:basedOn w:val="a0"/>
    <w:uiPriority w:val="99"/>
    <w:unhideWhenUsed/>
  </w:style>
  <w:style w:type="character" w:styleId="HTML2">
    <w:name w:val="HTML Variable"/>
    <w:uiPriority w:val="99"/>
    <w:unhideWhenUsed/>
    <w:rPr>
      <w:b w:val="0"/>
      <w:i w:val="0"/>
    </w:rPr>
  </w:style>
  <w:style w:type="character" w:styleId="aa">
    <w:name w:val="Hyperlink"/>
    <w:uiPriority w:val="99"/>
    <w:unhideWhenUsed/>
    <w:rPr>
      <w:color w:val="333333"/>
      <w:sz w:val="18"/>
      <w:szCs w:val="18"/>
      <w:u w:val="none"/>
    </w:rPr>
  </w:style>
  <w:style w:type="character" w:styleId="HTML3">
    <w:name w:val="HTML Code"/>
    <w:uiPriority w:val="99"/>
    <w:unhideWhenUsed/>
    <w:rPr>
      <w:rFonts w:ascii="monospace" w:eastAsia="monospace" w:hAnsi="monospace" w:cs="monospace" w:hint="default"/>
      <w:b w:val="0"/>
      <w:i w:val="0"/>
      <w:sz w:val="20"/>
    </w:rPr>
  </w:style>
  <w:style w:type="character" w:styleId="HTML4">
    <w:name w:val="HTML Cite"/>
    <w:uiPriority w:val="99"/>
    <w:unhideWhenUsed/>
    <w:rPr>
      <w:i w:val="0"/>
      <w:color w:val="008000"/>
    </w:rPr>
  </w:style>
  <w:style w:type="character" w:styleId="HTML5">
    <w:name w:val="HTML Keyboard"/>
    <w:uiPriority w:val="99"/>
    <w:unhideWhenUsed/>
    <w:rPr>
      <w:rFonts w:ascii="monospace" w:eastAsia="monospace" w:hAnsi="monospace" w:cs="monospace" w:hint="default"/>
      <w:sz w:val="20"/>
    </w:rPr>
  </w:style>
  <w:style w:type="character" w:styleId="HTML6">
    <w:name w:val="HTML Sample"/>
    <w:uiPriority w:val="99"/>
    <w:unhideWhenUsed/>
    <w:rPr>
      <w:rFonts w:ascii="monospace" w:eastAsia="monospace" w:hAnsi="monospace" w:cs="monospace"/>
    </w:rPr>
  </w:style>
  <w:style w:type="character" w:customStyle="1" w:styleId="nopadding">
    <w:name w:val="no_padding"/>
    <w:basedOn w:val="a0"/>
  </w:style>
  <w:style w:type="character" w:customStyle="1" w:styleId="this3">
    <w:name w:val="this3"/>
    <w:basedOn w:val="a0"/>
  </w:style>
  <w:style w:type="character" w:customStyle="1" w:styleId="this1">
    <w:name w:val="this1"/>
    <w:rPr>
      <w:color w:val="004B99"/>
      <w:sz w:val="33"/>
      <w:szCs w:val="33"/>
    </w:rPr>
  </w:style>
  <w:style w:type="character" w:customStyle="1" w:styleId="con">
    <w:name w:val="con"/>
    <w:rPr>
      <w:rFonts w:ascii="微软雅黑" w:eastAsia="微软雅黑" w:hAnsi="微软雅黑" w:cs="微软雅黑" w:hint="eastAsia"/>
      <w:color w:val="555555"/>
      <w:sz w:val="21"/>
      <w:szCs w:val="21"/>
    </w:rPr>
  </w:style>
  <w:style w:type="character" w:customStyle="1" w:styleId="tit">
    <w:name w:val="tit"/>
    <w:rPr>
      <w:rFonts w:ascii="微软雅黑" w:eastAsia="微软雅黑" w:hAnsi="微软雅黑" w:cs="微软雅黑" w:hint="eastAsia"/>
      <w:color w:val="666666"/>
      <w:sz w:val="21"/>
      <w:szCs w:val="21"/>
    </w:rPr>
  </w:style>
  <w:style w:type="character" w:customStyle="1" w:styleId="lclist3title">
    <w:name w:val="lc_list3_title"/>
    <w:basedOn w:val="a0"/>
  </w:style>
  <w:style w:type="character" w:customStyle="1" w:styleId="this">
    <w:name w:val="this"/>
    <w:basedOn w:val="a0"/>
  </w:style>
  <w:style w:type="character" w:customStyle="1" w:styleId="lclist3money">
    <w:name w:val="lc_list3_money"/>
    <w:rPr>
      <w:color w:val="EE8000"/>
    </w:rPr>
  </w:style>
  <w:style w:type="character" w:customStyle="1" w:styleId="lclist2money">
    <w:name w:val="lc_list2_money"/>
    <w:basedOn w:val="a0"/>
  </w:style>
  <w:style w:type="character" w:customStyle="1" w:styleId="lclist2title">
    <w:name w:val="lc_list2_title"/>
    <w:basedOn w:val="a0"/>
  </w:style>
  <w:style w:type="character" w:customStyle="1" w:styleId="lclist1money">
    <w:name w:val="lc_list1_money"/>
    <w:basedOn w:val="a0"/>
  </w:style>
  <w:style w:type="character" w:customStyle="1" w:styleId="lclist1title">
    <w:name w:val="lc_list1_title"/>
    <w:basedOn w:val="a0"/>
  </w:style>
  <w:style w:type="character" w:customStyle="1" w:styleId="this4">
    <w:name w:val="this4"/>
    <w:rPr>
      <w:color w:val="004B99"/>
      <w:sz w:val="33"/>
      <w:szCs w:val="33"/>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4</DocSecurity>
  <Lines>7</Lines>
  <Paragraphs>2</Paragraphs>
  <ScaleCrop>false</ScaleCrop>
  <Company>china</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2018-04-10T06:16:00Z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C7F13326331B4EA4A98595DE25DDE9A6_13</vt:lpwstr>
  </property>
  <property fmtid="{D5CDD505-2E9C-101B-9397-08002B2CF9AE}" pid="4" name="KSOTemplateDocerSaveRecord">
    <vt:lpwstr>eyJoZGlkIjoiNDQ5ZTdjNGQwNDFkMDhlZmFhNTUwYTgzMWRmNzRmOWQiLCJ1c2VySWQiOiIxMDAxODQxMjk4In0=</vt:lpwstr>
  </property>
</Properties>
</file>