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A10140">
      <w:pPr>
        <w:pStyle w:val="a7"/>
        <w:jc w:val="center"/>
        <w:rPr>
          <w:rFonts w:hint="eastAsia"/>
          <w:b/>
          <w:sz w:val="30"/>
          <w:szCs w:val="30"/>
        </w:rPr>
      </w:pPr>
      <w:r>
        <w:rPr>
          <w:rFonts w:hint="eastAsia"/>
          <w:b/>
          <w:sz w:val="30"/>
          <w:szCs w:val="30"/>
        </w:rPr>
        <w:t>国泰海通低碳经济睿选混合型发起式证券投资基金</w:t>
      </w:r>
    </w:p>
    <w:p w:rsidR="00000000" w:rsidRDefault="00A10140">
      <w:pPr>
        <w:pStyle w:val="a7"/>
        <w:jc w:val="center"/>
        <w:rPr>
          <w:rFonts w:hint="eastAsia"/>
          <w:sz w:val="30"/>
          <w:szCs w:val="30"/>
        </w:rPr>
      </w:pPr>
      <w:r>
        <w:rPr>
          <w:b/>
          <w:sz w:val="30"/>
          <w:szCs w:val="30"/>
        </w:rPr>
        <w:t>基金合同生效公告</w:t>
      </w:r>
    </w:p>
    <w:p w:rsidR="00000000" w:rsidRDefault="00A10140">
      <w:pPr>
        <w:pStyle w:val="a7"/>
        <w:jc w:val="center"/>
      </w:pPr>
    </w:p>
    <w:p w:rsidR="00000000" w:rsidRDefault="00A10140">
      <w:pPr>
        <w:pStyle w:val="a7"/>
        <w:jc w:val="center"/>
      </w:pPr>
      <w:r>
        <w:rPr>
          <w:rFonts w:hint="eastAsia"/>
        </w:rPr>
        <w:t>公告</w:t>
      </w:r>
      <w:r>
        <w:t>送出日期：</w:t>
      </w:r>
      <w:r>
        <w:t>202</w:t>
      </w:r>
      <w:r>
        <w:rPr>
          <w:rFonts w:hint="eastAsia"/>
        </w:rPr>
        <w:t>6</w:t>
      </w:r>
      <w:r>
        <w:t>年</w:t>
      </w:r>
      <w:r>
        <w:t>0</w:t>
      </w:r>
      <w:r>
        <w:rPr>
          <w:rFonts w:hint="eastAsia"/>
        </w:rPr>
        <w:t>1</w:t>
      </w:r>
      <w:r>
        <w:t>月</w:t>
      </w:r>
      <w:r>
        <w:rPr>
          <w:rFonts w:hint="eastAsia"/>
        </w:rPr>
        <w:t>21</w:t>
      </w:r>
      <w:r>
        <w:t>日</w:t>
      </w:r>
    </w:p>
    <w:p w:rsidR="00000000" w:rsidRDefault="00A10140">
      <w:pPr>
        <w:widowControl/>
        <w:jc w:val="left"/>
      </w:pPr>
    </w:p>
    <w:p w:rsidR="00000000" w:rsidRDefault="00A10140">
      <w:pPr>
        <w:pStyle w:val="dazhangjie"/>
      </w:pPr>
      <w:r>
        <w:rPr>
          <w:rFonts w:hAnsi="Calibri" w:cs="宋体" w:hint="eastAsia"/>
          <w:b/>
          <w:color w:val="000000"/>
        </w:rPr>
        <w:t xml:space="preserve">1 </w:t>
      </w:r>
      <w:r>
        <w:rPr>
          <w:rFonts w:hAnsi="Calibri" w:cs="宋体" w:hint="eastAsia"/>
          <w:b/>
          <w:color w:val="000000"/>
        </w:rPr>
        <w:t>公告基本信息</w:t>
      </w:r>
    </w:p>
    <w:p w:rsidR="00000000" w:rsidRDefault="00A10140">
      <w:pPr>
        <w:widowControl/>
        <w:jc w:val="left"/>
      </w:pPr>
    </w:p>
    <w:tbl>
      <w:tblPr>
        <w:tblW w:w="9214" w:type="dxa"/>
        <w:tblInd w:w="108" w:type="dxa"/>
        <w:tblLayout w:type="fixed"/>
        <w:tblLook w:val="0000"/>
      </w:tblPr>
      <w:tblGrid>
        <w:gridCol w:w="3300"/>
        <w:gridCol w:w="2937"/>
        <w:gridCol w:w="2977"/>
      </w:tblGrid>
      <w:tr w:rsidR="00000000">
        <w:tc>
          <w:tcPr>
            <w:tcW w:w="3300"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pPr>
            <w:r>
              <w:t>基金名称</w:t>
            </w:r>
          </w:p>
        </w:tc>
        <w:tc>
          <w:tcPr>
            <w:tcW w:w="5914"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rPr>
                <w:rFonts w:hint="eastAsia"/>
              </w:rPr>
            </w:pPr>
            <w:r>
              <w:rPr>
                <w:rFonts w:hint="eastAsia"/>
              </w:rPr>
              <w:t>国泰海通低碳经济睿选混合型发起式证券投资基金</w:t>
            </w:r>
          </w:p>
        </w:tc>
      </w:tr>
      <w:tr w:rsidR="00000000">
        <w:tc>
          <w:tcPr>
            <w:tcW w:w="3300"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pPr>
            <w:r>
              <w:t>基金简称</w:t>
            </w:r>
          </w:p>
        </w:tc>
        <w:tc>
          <w:tcPr>
            <w:tcW w:w="5914" w:type="dxa"/>
            <w:gridSpan w:val="2"/>
            <w:tcBorders>
              <w:top w:val="single" w:sz="8" w:space="0" w:color="000000"/>
              <w:left w:val="single" w:sz="8" w:space="0" w:color="000000"/>
              <w:bottom w:val="single" w:sz="6" w:space="0" w:color="000000"/>
              <w:right w:val="single" w:sz="8" w:space="0" w:color="000000"/>
            </w:tcBorders>
          </w:tcPr>
          <w:p w:rsidR="00000000" w:rsidRDefault="00A10140">
            <w:pPr>
              <w:pStyle w:val="a7"/>
              <w:wordWrap w:val="0"/>
              <w:rPr>
                <w:rFonts w:hint="eastAsia"/>
              </w:rPr>
            </w:pPr>
            <w:r>
              <w:rPr>
                <w:rFonts w:hint="eastAsia"/>
              </w:rPr>
              <w:t>国泰海通低碳经济睿选混合发起</w:t>
            </w:r>
          </w:p>
        </w:tc>
      </w:tr>
      <w:tr w:rsidR="00000000">
        <w:tc>
          <w:tcPr>
            <w:tcW w:w="3300"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pPr>
            <w:r>
              <w:t>基金主代码</w:t>
            </w:r>
          </w:p>
        </w:tc>
        <w:tc>
          <w:tcPr>
            <w:tcW w:w="5914" w:type="dxa"/>
            <w:gridSpan w:val="2"/>
            <w:tcBorders>
              <w:top w:val="single" w:sz="8" w:space="0" w:color="000000"/>
              <w:left w:val="single" w:sz="8" w:space="0" w:color="000000"/>
              <w:bottom w:val="single" w:sz="6" w:space="0" w:color="000000"/>
              <w:right w:val="single" w:sz="8" w:space="0" w:color="000000"/>
            </w:tcBorders>
          </w:tcPr>
          <w:p w:rsidR="00000000" w:rsidRDefault="00A10140">
            <w:pPr>
              <w:pStyle w:val="a7"/>
              <w:wordWrap w:val="0"/>
            </w:pPr>
            <w:r>
              <w:rPr>
                <w:rFonts w:hint="eastAsia"/>
              </w:rPr>
              <w:t>026560</w:t>
            </w:r>
          </w:p>
        </w:tc>
      </w:tr>
      <w:tr w:rsidR="00000000">
        <w:tc>
          <w:tcPr>
            <w:tcW w:w="3300"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pPr>
            <w:r>
              <w:t>基金运作方式</w:t>
            </w:r>
          </w:p>
        </w:tc>
        <w:tc>
          <w:tcPr>
            <w:tcW w:w="5914"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pPr>
            <w:r>
              <w:t>契约型开放式</w:t>
            </w:r>
          </w:p>
        </w:tc>
      </w:tr>
      <w:tr w:rsidR="00000000">
        <w:tc>
          <w:tcPr>
            <w:tcW w:w="3300"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pPr>
            <w:r>
              <w:t>基金合同生效日</w:t>
            </w:r>
          </w:p>
        </w:tc>
        <w:tc>
          <w:tcPr>
            <w:tcW w:w="5914"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pPr>
            <w:r>
              <w:rPr>
                <w:rFonts w:hint="eastAsia"/>
              </w:rPr>
              <w:t>2026</w:t>
            </w:r>
            <w:r>
              <w:rPr>
                <w:rFonts w:hint="eastAsia"/>
              </w:rPr>
              <w:t>年</w:t>
            </w:r>
            <w:r>
              <w:rPr>
                <w:rFonts w:hint="eastAsia"/>
              </w:rPr>
              <w:t>1</w:t>
            </w:r>
            <w:r>
              <w:rPr>
                <w:rFonts w:hint="eastAsia"/>
              </w:rPr>
              <w:t>月</w:t>
            </w:r>
            <w:r>
              <w:rPr>
                <w:rFonts w:hint="eastAsia"/>
              </w:rPr>
              <w:t>20</w:t>
            </w:r>
            <w:r>
              <w:rPr>
                <w:rFonts w:hint="eastAsia"/>
              </w:rPr>
              <w:t>日</w:t>
            </w:r>
          </w:p>
        </w:tc>
      </w:tr>
      <w:tr w:rsidR="00000000">
        <w:tc>
          <w:tcPr>
            <w:tcW w:w="3300"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pPr>
            <w:r>
              <w:t>基金管理人名称</w:t>
            </w:r>
          </w:p>
        </w:tc>
        <w:tc>
          <w:tcPr>
            <w:tcW w:w="5914"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pPr>
            <w:r>
              <w:t>上海</w:t>
            </w:r>
            <w:r>
              <w:rPr>
                <w:rFonts w:hint="eastAsia"/>
              </w:rPr>
              <w:t>国泰海通</w:t>
            </w:r>
            <w:r>
              <w:t>证券资产管理有限公司</w:t>
            </w:r>
          </w:p>
        </w:tc>
      </w:tr>
      <w:tr w:rsidR="00000000">
        <w:tc>
          <w:tcPr>
            <w:tcW w:w="3300"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pPr>
            <w:r>
              <w:t>基金托管人名称</w:t>
            </w:r>
          </w:p>
        </w:tc>
        <w:tc>
          <w:tcPr>
            <w:tcW w:w="5914"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rPr>
                <w:rFonts w:hint="eastAsia"/>
              </w:rPr>
            </w:pPr>
            <w:r>
              <w:rPr>
                <w:rFonts w:hint="eastAsia"/>
              </w:rPr>
              <w:t>中国工商银行股份有限公司</w:t>
            </w:r>
          </w:p>
        </w:tc>
      </w:tr>
      <w:tr w:rsidR="00000000">
        <w:tc>
          <w:tcPr>
            <w:tcW w:w="3300"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pPr>
            <w:r>
              <w:t>公告依据</w:t>
            </w:r>
          </w:p>
        </w:tc>
        <w:tc>
          <w:tcPr>
            <w:tcW w:w="5914"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pPr>
            <w:r>
              <w:rPr>
                <w:rFonts w:hint="eastAsia"/>
              </w:rPr>
              <w:t>《中华人民共和国证券投资基金法》、《公开募集证券投资基金信息披露管理办法》、</w:t>
            </w:r>
            <w:r>
              <w:rPr>
                <w:rFonts w:cs="宋体" w:hint="eastAsia"/>
                <w:color w:val="222222"/>
                <w:szCs w:val="21"/>
              </w:rPr>
              <w:t>《公开</w:t>
            </w:r>
            <w:r>
              <w:rPr>
                <w:rFonts w:cs="宋体" w:hint="eastAsia"/>
                <w:color w:val="222222"/>
                <w:szCs w:val="21"/>
              </w:rPr>
              <w:t>募集证券投资基金运作管理办法》</w:t>
            </w:r>
            <w:r>
              <w:rPr>
                <w:rFonts w:hint="eastAsia"/>
              </w:rPr>
              <w:t>、《国泰海通低碳经济睿选混合型发起式证券投资基金基金合同》及《国泰海通低碳经济睿选混合型发起式证券投资基金招募说明书》等</w:t>
            </w:r>
          </w:p>
        </w:tc>
      </w:tr>
      <w:tr w:rsidR="00000000">
        <w:tc>
          <w:tcPr>
            <w:tcW w:w="3300"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pPr>
            <w:r>
              <w:t>下属分级基金的基金简称</w:t>
            </w:r>
          </w:p>
        </w:tc>
        <w:tc>
          <w:tcPr>
            <w:tcW w:w="2937" w:type="dxa"/>
            <w:tcBorders>
              <w:top w:val="single" w:sz="8" w:space="0" w:color="000000"/>
              <w:left w:val="single" w:sz="8" w:space="0" w:color="000000"/>
              <w:bottom w:val="single" w:sz="6" w:space="0" w:color="000000"/>
              <w:right w:val="single" w:sz="8" w:space="0" w:color="000000"/>
            </w:tcBorders>
          </w:tcPr>
          <w:p w:rsidR="00000000" w:rsidRDefault="00A10140">
            <w:pPr>
              <w:pStyle w:val="a7"/>
              <w:wordWrap w:val="0"/>
            </w:pPr>
            <w:r>
              <w:rPr>
                <w:rFonts w:hint="eastAsia"/>
              </w:rPr>
              <w:t>国泰海通低碳经济睿选混合发起</w:t>
            </w:r>
            <w:r>
              <w:rPr>
                <w:rFonts w:hint="eastAsia"/>
              </w:rPr>
              <w:t>A</w:t>
            </w:r>
          </w:p>
        </w:tc>
        <w:tc>
          <w:tcPr>
            <w:tcW w:w="2977" w:type="dxa"/>
            <w:tcBorders>
              <w:top w:val="single" w:sz="8" w:space="0" w:color="000000"/>
              <w:left w:val="single" w:sz="8" w:space="0" w:color="000000"/>
              <w:bottom w:val="single" w:sz="6" w:space="0" w:color="000000"/>
              <w:right w:val="single" w:sz="8" w:space="0" w:color="000000"/>
            </w:tcBorders>
          </w:tcPr>
          <w:p w:rsidR="00000000" w:rsidRDefault="00A10140">
            <w:pPr>
              <w:pStyle w:val="a7"/>
              <w:wordWrap w:val="0"/>
            </w:pPr>
            <w:r>
              <w:rPr>
                <w:rFonts w:hint="eastAsia"/>
              </w:rPr>
              <w:t>国泰海通低碳经济睿选混合发起</w:t>
            </w:r>
            <w:r>
              <w:t>C</w:t>
            </w:r>
          </w:p>
        </w:tc>
      </w:tr>
      <w:tr w:rsidR="00000000">
        <w:tc>
          <w:tcPr>
            <w:tcW w:w="3300"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pPr>
            <w:r>
              <w:t>下属分级基金的交易代码</w:t>
            </w:r>
          </w:p>
        </w:tc>
        <w:tc>
          <w:tcPr>
            <w:tcW w:w="2937" w:type="dxa"/>
            <w:tcBorders>
              <w:top w:val="single" w:sz="8" w:space="0" w:color="000000"/>
              <w:left w:val="single" w:sz="8" w:space="0" w:color="000000"/>
              <w:bottom w:val="single" w:sz="6" w:space="0" w:color="000000"/>
              <w:right w:val="single" w:sz="8" w:space="0" w:color="000000"/>
            </w:tcBorders>
          </w:tcPr>
          <w:p w:rsidR="00000000" w:rsidRDefault="00A10140">
            <w:pPr>
              <w:pStyle w:val="a7"/>
              <w:wordWrap w:val="0"/>
            </w:pPr>
            <w:r>
              <w:rPr>
                <w:rFonts w:hint="eastAsia"/>
              </w:rPr>
              <w:t>026560</w:t>
            </w:r>
          </w:p>
        </w:tc>
        <w:tc>
          <w:tcPr>
            <w:tcW w:w="2977" w:type="dxa"/>
            <w:tcBorders>
              <w:top w:val="single" w:sz="8" w:space="0" w:color="000000"/>
              <w:left w:val="single" w:sz="8" w:space="0" w:color="000000"/>
              <w:bottom w:val="single" w:sz="6" w:space="0" w:color="000000"/>
              <w:right w:val="single" w:sz="8" w:space="0" w:color="000000"/>
            </w:tcBorders>
          </w:tcPr>
          <w:p w:rsidR="00000000" w:rsidRDefault="00A10140">
            <w:pPr>
              <w:pStyle w:val="a7"/>
              <w:wordWrap w:val="0"/>
            </w:pPr>
            <w:r>
              <w:rPr>
                <w:rFonts w:hint="eastAsia"/>
              </w:rPr>
              <w:t>026561</w:t>
            </w:r>
          </w:p>
        </w:tc>
      </w:tr>
    </w:tbl>
    <w:p w:rsidR="00000000" w:rsidRDefault="00A10140">
      <w:pPr>
        <w:widowControl/>
        <w:jc w:val="left"/>
      </w:pPr>
    </w:p>
    <w:p w:rsidR="00000000" w:rsidRDefault="00A10140">
      <w:pPr>
        <w:pStyle w:val="dazhangjie"/>
      </w:pPr>
      <w:r>
        <w:rPr>
          <w:rFonts w:hAnsi="Calibri" w:cs="宋体" w:hint="eastAsia"/>
          <w:b/>
          <w:color w:val="000000"/>
        </w:rPr>
        <w:t xml:space="preserve">2 </w:t>
      </w:r>
      <w:r>
        <w:rPr>
          <w:rFonts w:hAnsi="Calibri" w:cs="宋体" w:hint="eastAsia"/>
          <w:b/>
          <w:color w:val="000000"/>
        </w:rPr>
        <w:t>基金募集情况</w:t>
      </w:r>
    </w:p>
    <w:p w:rsidR="00000000" w:rsidRDefault="00A10140">
      <w:pPr>
        <w:widowControl/>
        <w:jc w:val="left"/>
      </w:pPr>
    </w:p>
    <w:tbl>
      <w:tblPr>
        <w:tblW w:w="9214" w:type="dxa"/>
        <w:tblInd w:w="108" w:type="dxa"/>
        <w:tblLayout w:type="fixed"/>
        <w:tblLook w:val="0000"/>
      </w:tblPr>
      <w:tblGrid>
        <w:gridCol w:w="1650"/>
        <w:gridCol w:w="1650"/>
        <w:gridCol w:w="1945"/>
        <w:gridCol w:w="1985"/>
        <w:gridCol w:w="1984"/>
      </w:tblGrid>
      <w:tr w:rsidR="00000000">
        <w:tc>
          <w:tcPr>
            <w:tcW w:w="3300"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pPr>
            <w:r>
              <w:t>基金募集申请获中国证监会核准的文号</w:t>
            </w:r>
          </w:p>
        </w:tc>
        <w:tc>
          <w:tcPr>
            <w:tcW w:w="5914" w:type="dxa"/>
            <w:gridSpan w:val="3"/>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rPr>
                <w:rFonts w:hint="eastAsia"/>
              </w:rPr>
            </w:pPr>
            <w:r>
              <w:rPr>
                <w:rFonts w:hint="eastAsia"/>
              </w:rPr>
              <w:t>证监许可</w:t>
            </w:r>
            <w:r>
              <w:t>[202</w:t>
            </w:r>
            <w:r>
              <w:rPr>
                <w:rFonts w:hint="eastAsia"/>
              </w:rPr>
              <w:t>5</w:t>
            </w:r>
            <w:r>
              <w:t>]</w:t>
            </w:r>
            <w:r>
              <w:rPr>
                <w:rFonts w:hint="eastAsia"/>
              </w:rPr>
              <w:t>2848</w:t>
            </w:r>
            <w:r>
              <w:rPr>
                <w:rFonts w:hint="eastAsia"/>
              </w:rPr>
              <w:t>号</w:t>
            </w:r>
          </w:p>
        </w:tc>
      </w:tr>
      <w:tr w:rsidR="00000000">
        <w:tc>
          <w:tcPr>
            <w:tcW w:w="3300"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pPr>
            <w:r>
              <w:t>基金募集期间</w:t>
            </w:r>
          </w:p>
        </w:tc>
        <w:tc>
          <w:tcPr>
            <w:tcW w:w="5914" w:type="dxa"/>
            <w:gridSpan w:val="3"/>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pPr>
            <w:r>
              <w:rPr>
                <w:rFonts w:hint="eastAsia"/>
              </w:rPr>
              <w:t>自</w:t>
            </w:r>
            <w:r>
              <w:rPr>
                <w:rFonts w:hint="eastAsia"/>
              </w:rPr>
              <w:t>2026</w:t>
            </w:r>
            <w:r>
              <w:rPr>
                <w:rFonts w:hint="eastAsia"/>
              </w:rPr>
              <w:t>年</w:t>
            </w:r>
            <w:r>
              <w:rPr>
                <w:rFonts w:hint="eastAsia"/>
              </w:rPr>
              <w:t>1</w:t>
            </w:r>
            <w:r>
              <w:rPr>
                <w:rFonts w:hint="eastAsia"/>
              </w:rPr>
              <w:t>月</w:t>
            </w:r>
            <w:r>
              <w:rPr>
                <w:rFonts w:hint="eastAsia"/>
              </w:rPr>
              <w:t>16</w:t>
            </w:r>
            <w:r>
              <w:rPr>
                <w:rFonts w:hint="eastAsia"/>
              </w:rPr>
              <w:t>日至</w:t>
            </w:r>
            <w:r>
              <w:rPr>
                <w:rFonts w:hint="eastAsia"/>
              </w:rPr>
              <w:t>2026</w:t>
            </w:r>
            <w:r>
              <w:rPr>
                <w:rFonts w:hint="eastAsia"/>
              </w:rPr>
              <w:t>年</w:t>
            </w:r>
            <w:r>
              <w:rPr>
                <w:rFonts w:hint="eastAsia"/>
              </w:rPr>
              <w:t>1</w:t>
            </w:r>
            <w:r>
              <w:rPr>
                <w:rFonts w:hint="eastAsia"/>
              </w:rPr>
              <w:t>月</w:t>
            </w:r>
            <w:r>
              <w:rPr>
                <w:rFonts w:hint="eastAsia"/>
              </w:rPr>
              <w:t>16</w:t>
            </w:r>
            <w:r>
              <w:rPr>
                <w:rFonts w:hint="eastAsia"/>
              </w:rPr>
              <w:t>日止</w:t>
            </w:r>
          </w:p>
        </w:tc>
      </w:tr>
      <w:tr w:rsidR="00000000">
        <w:tc>
          <w:tcPr>
            <w:tcW w:w="3300"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pPr>
            <w:r>
              <w:t>验资机构名称</w:t>
            </w:r>
          </w:p>
        </w:tc>
        <w:tc>
          <w:tcPr>
            <w:tcW w:w="5914" w:type="dxa"/>
            <w:gridSpan w:val="3"/>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pPr>
            <w:r>
              <w:rPr>
                <w:rFonts w:hint="eastAsia"/>
              </w:rPr>
              <w:t>毕马威华振会计师事务所（特殊普通合伙）</w:t>
            </w:r>
          </w:p>
        </w:tc>
      </w:tr>
      <w:tr w:rsidR="00000000">
        <w:tc>
          <w:tcPr>
            <w:tcW w:w="3300"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pPr>
            <w:r>
              <w:t>募</w:t>
            </w:r>
            <w:r>
              <w:t>集资金划入基金托管专户的日期</w:t>
            </w:r>
          </w:p>
        </w:tc>
        <w:tc>
          <w:tcPr>
            <w:tcW w:w="5914" w:type="dxa"/>
            <w:gridSpan w:val="3"/>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rPr>
                <w:rFonts w:hint="eastAsia"/>
              </w:rPr>
            </w:pPr>
            <w:r>
              <w:rPr>
                <w:rFonts w:hint="eastAsia"/>
              </w:rPr>
              <w:t>2026</w:t>
            </w:r>
            <w:r>
              <w:rPr>
                <w:rFonts w:hint="eastAsia"/>
              </w:rPr>
              <w:t>年</w:t>
            </w:r>
            <w:r>
              <w:rPr>
                <w:rFonts w:hint="eastAsia"/>
              </w:rPr>
              <w:t>1</w:t>
            </w:r>
            <w:r>
              <w:rPr>
                <w:rFonts w:hint="eastAsia"/>
              </w:rPr>
              <w:t>月</w:t>
            </w:r>
            <w:r>
              <w:rPr>
                <w:rFonts w:hint="eastAsia"/>
              </w:rPr>
              <w:t>20</w:t>
            </w:r>
            <w:r>
              <w:rPr>
                <w:rFonts w:hint="eastAsia"/>
              </w:rPr>
              <w:t>日</w:t>
            </w:r>
          </w:p>
        </w:tc>
      </w:tr>
      <w:tr w:rsidR="00000000">
        <w:tc>
          <w:tcPr>
            <w:tcW w:w="3300"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pPr>
            <w:r>
              <w:t>募集有效认购总户数（单位：户）</w:t>
            </w:r>
          </w:p>
        </w:tc>
        <w:tc>
          <w:tcPr>
            <w:tcW w:w="5914" w:type="dxa"/>
            <w:gridSpan w:val="3"/>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pPr>
            <w:r>
              <w:rPr>
                <w:rFonts w:hint="eastAsia"/>
              </w:rPr>
              <w:t>3</w:t>
            </w:r>
          </w:p>
        </w:tc>
      </w:tr>
      <w:tr w:rsidR="00000000">
        <w:tc>
          <w:tcPr>
            <w:tcW w:w="3300"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pPr>
            <w:r>
              <w:t>份额级别</w:t>
            </w:r>
          </w:p>
        </w:tc>
        <w:tc>
          <w:tcPr>
            <w:tcW w:w="1945" w:type="dxa"/>
            <w:tcBorders>
              <w:top w:val="single" w:sz="8" w:space="0" w:color="000000"/>
              <w:left w:val="single" w:sz="8" w:space="0" w:color="000000"/>
              <w:bottom w:val="single" w:sz="6" w:space="0" w:color="000000"/>
              <w:right w:val="single" w:sz="8" w:space="0" w:color="000000"/>
            </w:tcBorders>
          </w:tcPr>
          <w:p w:rsidR="00000000" w:rsidRDefault="00A10140">
            <w:pPr>
              <w:pStyle w:val="a7"/>
              <w:wordWrap w:val="0"/>
            </w:pPr>
            <w:r>
              <w:rPr>
                <w:rFonts w:hint="eastAsia"/>
              </w:rPr>
              <w:t>国泰海通低碳经济睿选混合发起</w:t>
            </w:r>
            <w:r>
              <w:rPr>
                <w:rFonts w:hint="eastAsia"/>
              </w:rPr>
              <w:t>A</w:t>
            </w:r>
          </w:p>
        </w:tc>
        <w:tc>
          <w:tcPr>
            <w:tcW w:w="1985" w:type="dxa"/>
            <w:tcBorders>
              <w:top w:val="single" w:sz="8" w:space="0" w:color="000000"/>
              <w:left w:val="single" w:sz="8" w:space="0" w:color="000000"/>
              <w:bottom w:val="single" w:sz="6" w:space="0" w:color="000000"/>
              <w:right w:val="single" w:sz="8" w:space="0" w:color="000000"/>
            </w:tcBorders>
          </w:tcPr>
          <w:p w:rsidR="00000000" w:rsidRDefault="00A10140">
            <w:pPr>
              <w:pStyle w:val="a7"/>
              <w:wordWrap w:val="0"/>
            </w:pPr>
            <w:r>
              <w:rPr>
                <w:rFonts w:hint="eastAsia"/>
              </w:rPr>
              <w:t>国泰海通低碳经济睿选混合发起</w:t>
            </w:r>
            <w:r>
              <w:t>C</w:t>
            </w:r>
          </w:p>
        </w:tc>
        <w:tc>
          <w:tcPr>
            <w:tcW w:w="1984"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biaogecenter"/>
              <w:wordWrap w:val="0"/>
            </w:pPr>
            <w:r>
              <w:rPr>
                <w:rFonts w:hAnsi="Calibri" w:cs="宋体" w:hint="eastAsia"/>
                <w:color w:val="000000"/>
              </w:rPr>
              <w:t>合计</w:t>
            </w:r>
          </w:p>
        </w:tc>
      </w:tr>
      <w:tr w:rsidR="00000000">
        <w:tc>
          <w:tcPr>
            <w:tcW w:w="3300"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pPr>
            <w:r>
              <w:t>募集期间净认购金额（单位：人民币元</w:t>
            </w:r>
            <w:r>
              <w:t xml:space="preserve"> </w:t>
            </w:r>
            <w:r>
              <w:t>）</w:t>
            </w:r>
          </w:p>
        </w:tc>
        <w:tc>
          <w:tcPr>
            <w:tcW w:w="1945" w:type="dxa"/>
            <w:tcBorders>
              <w:top w:val="single" w:sz="4" w:space="0" w:color="auto"/>
              <w:left w:val="single" w:sz="4" w:space="0" w:color="auto"/>
              <w:bottom w:val="single" w:sz="4" w:space="0" w:color="auto"/>
              <w:right w:val="single" w:sz="4" w:space="0" w:color="auto"/>
            </w:tcBorders>
            <w:vAlign w:val="center"/>
          </w:tcPr>
          <w:p w:rsidR="00000000" w:rsidRDefault="00A10140">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 xml:space="preserve">8,010,992.06 </w:t>
            </w:r>
          </w:p>
        </w:tc>
        <w:tc>
          <w:tcPr>
            <w:tcW w:w="1985" w:type="dxa"/>
            <w:tcBorders>
              <w:top w:val="single" w:sz="4" w:space="0" w:color="auto"/>
              <w:left w:val="nil"/>
              <w:bottom w:val="single" w:sz="4" w:space="0" w:color="auto"/>
              <w:right w:val="single" w:sz="4" w:space="0" w:color="auto"/>
            </w:tcBorders>
            <w:vAlign w:val="center"/>
          </w:tcPr>
          <w:p w:rsidR="00000000" w:rsidRDefault="00A10140">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 xml:space="preserve">2,000,010.00 </w:t>
            </w:r>
          </w:p>
        </w:tc>
        <w:tc>
          <w:tcPr>
            <w:tcW w:w="1984" w:type="dxa"/>
            <w:tcBorders>
              <w:top w:val="single" w:sz="4" w:space="0" w:color="auto"/>
              <w:left w:val="nil"/>
              <w:bottom w:val="single" w:sz="4" w:space="0" w:color="auto"/>
              <w:right w:val="single" w:sz="4" w:space="0" w:color="auto"/>
            </w:tcBorders>
            <w:vAlign w:val="center"/>
          </w:tcPr>
          <w:p w:rsidR="00000000" w:rsidRDefault="00A10140">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 xml:space="preserve">10,011,002.06 </w:t>
            </w:r>
          </w:p>
        </w:tc>
      </w:tr>
      <w:tr w:rsidR="00000000">
        <w:tc>
          <w:tcPr>
            <w:tcW w:w="3300"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pPr>
            <w:r>
              <w:lastRenderedPageBreak/>
              <w:t>认购资金在募集期间产生的利息（单位：人民币元</w:t>
            </w:r>
            <w:r>
              <w:t xml:space="preserve"> </w:t>
            </w:r>
            <w:r>
              <w:t>）</w:t>
            </w:r>
          </w:p>
        </w:tc>
        <w:tc>
          <w:tcPr>
            <w:tcW w:w="1945" w:type="dxa"/>
            <w:tcBorders>
              <w:top w:val="nil"/>
              <w:left w:val="single" w:sz="4" w:space="0" w:color="auto"/>
              <w:bottom w:val="single" w:sz="4" w:space="0" w:color="auto"/>
              <w:right w:val="single" w:sz="4" w:space="0" w:color="auto"/>
            </w:tcBorders>
            <w:vAlign w:val="center"/>
          </w:tcPr>
          <w:p w:rsidR="00000000" w:rsidRDefault="00A10140">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 xml:space="preserve">311.50 </w:t>
            </w:r>
          </w:p>
        </w:tc>
        <w:tc>
          <w:tcPr>
            <w:tcW w:w="1985" w:type="dxa"/>
            <w:tcBorders>
              <w:top w:val="nil"/>
              <w:left w:val="nil"/>
              <w:bottom w:val="single" w:sz="4" w:space="0" w:color="auto"/>
              <w:right w:val="single" w:sz="4" w:space="0" w:color="auto"/>
            </w:tcBorders>
            <w:vAlign w:val="center"/>
          </w:tcPr>
          <w:p w:rsidR="00000000" w:rsidRDefault="00A10140">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 xml:space="preserve">0.00 </w:t>
            </w:r>
          </w:p>
        </w:tc>
        <w:tc>
          <w:tcPr>
            <w:tcW w:w="1984" w:type="dxa"/>
            <w:tcBorders>
              <w:top w:val="nil"/>
              <w:left w:val="nil"/>
              <w:bottom w:val="single" w:sz="4" w:space="0" w:color="auto"/>
              <w:right w:val="single" w:sz="4" w:space="0" w:color="auto"/>
            </w:tcBorders>
            <w:vAlign w:val="center"/>
          </w:tcPr>
          <w:p w:rsidR="00000000" w:rsidRDefault="00A10140">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311.50</w:t>
            </w:r>
          </w:p>
        </w:tc>
      </w:tr>
      <w:tr w:rsidR="00000000">
        <w:tc>
          <w:tcPr>
            <w:tcW w:w="1650" w:type="dxa"/>
            <w:vMerge w:val="restart"/>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pPr>
            <w:r>
              <w:t>募集份额（单位：</w:t>
            </w:r>
            <w:r>
              <w:t xml:space="preserve"> </w:t>
            </w:r>
            <w:r>
              <w:t>份</w:t>
            </w:r>
            <w:r>
              <w:t xml:space="preserve"> </w:t>
            </w:r>
            <w:r>
              <w:t>）</w:t>
            </w:r>
          </w:p>
        </w:tc>
        <w:tc>
          <w:tcPr>
            <w:tcW w:w="1650"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pPr>
            <w:r>
              <w:t>有效认购份额</w:t>
            </w:r>
          </w:p>
        </w:tc>
        <w:tc>
          <w:tcPr>
            <w:tcW w:w="1945" w:type="dxa"/>
            <w:tcBorders>
              <w:top w:val="single" w:sz="4" w:space="0" w:color="auto"/>
              <w:left w:val="single" w:sz="4" w:space="0" w:color="auto"/>
              <w:bottom w:val="single" w:sz="4" w:space="0" w:color="auto"/>
              <w:right w:val="single" w:sz="4" w:space="0" w:color="auto"/>
            </w:tcBorders>
            <w:vAlign w:val="center"/>
          </w:tcPr>
          <w:p w:rsidR="00000000" w:rsidRDefault="00A10140">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 xml:space="preserve">8,010,992.06 </w:t>
            </w:r>
          </w:p>
        </w:tc>
        <w:tc>
          <w:tcPr>
            <w:tcW w:w="1985" w:type="dxa"/>
            <w:tcBorders>
              <w:top w:val="single" w:sz="4" w:space="0" w:color="auto"/>
              <w:left w:val="nil"/>
              <w:bottom w:val="single" w:sz="4" w:space="0" w:color="auto"/>
              <w:right w:val="single" w:sz="4" w:space="0" w:color="auto"/>
            </w:tcBorders>
            <w:vAlign w:val="center"/>
          </w:tcPr>
          <w:p w:rsidR="00000000" w:rsidRDefault="00A10140">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 xml:space="preserve">2,000,010.00 </w:t>
            </w:r>
          </w:p>
        </w:tc>
        <w:tc>
          <w:tcPr>
            <w:tcW w:w="1984" w:type="dxa"/>
            <w:tcBorders>
              <w:top w:val="single" w:sz="4" w:space="0" w:color="auto"/>
              <w:left w:val="nil"/>
              <w:bottom w:val="single" w:sz="4" w:space="0" w:color="auto"/>
              <w:right w:val="single" w:sz="4" w:space="0" w:color="auto"/>
            </w:tcBorders>
            <w:vAlign w:val="center"/>
          </w:tcPr>
          <w:p w:rsidR="00000000" w:rsidRDefault="00A10140">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10,011,002</w:t>
            </w:r>
            <w:r>
              <w:rPr>
                <w:rFonts w:ascii="宋体" w:hAnsi="宋体" w:cs="宋体" w:hint="eastAsia"/>
                <w:color w:val="000000"/>
                <w:kern w:val="0"/>
                <w:sz w:val="24"/>
                <w:szCs w:val="24"/>
                <w:lang/>
              </w:rPr>
              <w:t xml:space="preserve">.06 </w:t>
            </w:r>
          </w:p>
        </w:tc>
      </w:tr>
      <w:tr w:rsidR="00000000">
        <w:tc>
          <w:tcPr>
            <w:tcW w:w="1650" w:type="dxa"/>
            <w:vMerge/>
            <w:tcBorders>
              <w:top w:val="single" w:sz="8" w:space="0" w:color="000000"/>
              <w:left w:val="single" w:sz="8" w:space="0" w:color="000000"/>
              <w:bottom w:val="single" w:sz="6" w:space="0" w:color="000000"/>
              <w:right w:val="single" w:sz="8" w:space="0" w:color="000000"/>
            </w:tcBorders>
            <w:vAlign w:val="center"/>
          </w:tcPr>
          <w:p w:rsidR="00000000" w:rsidRDefault="00A10140">
            <w:pPr>
              <w:rPr>
                <w:rFonts w:ascii="宋体" w:hint="eastAsia"/>
                <w:sz w:val="24"/>
                <w:szCs w:val="24"/>
              </w:rPr>
            </w:pPr>
          </w:p>
        </w:tc>
        <w:tc>
          <w:tcPr>
            <w:tcW w:w="1650"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pPr>
            <w:r>
              <w:t>利息结转的份额</w:t>
            </w:r>
          </w:p>
        </w:tc>
        <w:tc>
          <w:tcPr>
            <w:tcW w:w="1945" w:type="dxa"/>
            <w:tcBorders>
              <w:top w:val="nil"/>
              <w:left w:val="single" w:sz="4" w:space="0" w:color="auto"/>
              <w:bottom w:val="single" w:sz="4" w:space="0" w:color="auto"/>
              <w:right w:val="single" w:sz="4" w:space="0" w:color="auto"/>
            </w:tcBorders>
            <w:vAlign w:val="center"/>
          </w:tcPr>
          <w:p w:rsidR="00000000" w:rsidRDefault="00A10140">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 xml:space="preserve">311.50 </w:t>
            </w:r>
          </w:p>
        </w:tc>
        <w:tc>
          <w:tcPr>
            <w:tcW w:w="1985" w:type="dxa"/>
            <w:tcBorders>
              <w:top w:val="nil"/>
              <w:left w:val="nil"/>
              <w:bottom w:val="single" w:sz="4" w:space="0" w:color="auto"/>
              <w:right w:val="single" w:sz="4" w:space="0" w:color="auto"/>
            </w:tcBorders>
            <w:vAlign w:val="center"/>
          </w:tcPr>
          <w:p w:rsidR="00000000" w:rsidRDefault="00A10140">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 xml:space="preserve">0.00 </w:t>
            </w:r>
          </w:p>
        </w:tc>
        <w:tc>
          <w:tcPr>
            <w:tcW w:w="1984" w:type="dxa"/>
            <w:tcBorders>
              <w:top w:val="nil"/>
              <w:left w:val="nil"/>
              <w:bottom w:val="single" w:sz="4" w:space="0" w:color="auto"/>
              <w:right w:val="single" w:sz="4" w:space="0" w:color="auto"/>
            </w:tcBorders>
            <w:vAlign w:val="center"/>
          </w:tcPr>
          <w:p w:rsidR="00000000" w:rsidRDefault="00A10140">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311.50</w:t>
            </w:r>
          </w:p>
        </w:tc>
      </w:tr>
      <w:tr w:rsidR="00000000">
        <w:tc>
          <w:tcPr>
            <w:tcW w:w="1650" w:type="dxa"/>
            <w:vMerge/>
            <w:tcBorders>
              <w:top w:val="single" w:sz="8" w:space="0" w:color="000000"/>
              <w:left w:val="single" w:sz="8" w:space="0" w:color="000000"/>
              <w:bottom w:val="single" w:sz="6" w:space="0" w:color="000000"/>
              <w:right w:val="single" w:sz="8" w:space="0" w:color="000000"/>
            </w:tcBorders>
            <w:vAlign w:val="center"/>
          </w:tcPr>
          <w:p w:rsidR="00000000" w:rsidRDefault="00A10140">
            <w:pPr>
              <w:rPr>
                <w:rFonts w:ascii="宋体" w:hint="eastAsia"/>
                <w:sz w:val="24"/>
                <w:szCs w:val="24"/>
              </w:rPr>
            </w:pPr>
          </w:p>
        </w:tc>
        <w:tc>
          <w:tcPr>
            <w:tcW w:w="1650"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pPr>
            <w:r>
              <w:t>合计</w:t>
            </w:r>
          </w:p>
        </w:tc>
        <w:tc>
          <w:tcPr>
            <w:tcW w:w="1945" w:type="dxa"/>
            <w:tcBorders>
              <w:top w:val="nil"/>
              <w:left w:val="single" w:sz="4" w:space="0" w:color="auto"/>
              <w:bottom w:val="single" w:sz="4" w:space="0" w:color="auto"/>
              <w:right w:val="single" w:sz="4" w:space="0" w:color="auto"/>
            </w:tcBorders>
            <w:vAlign w:val="center"/>
          </w:tcPr>
          <w:p w:rsidR="00000000" w:rsidRDefault="00A10140">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 xml:space="preserve">8,011,303.56 </w:t>
            </w:r>
          </w:p>
        </w:tc>
        <w:tc>
          <w:tcPr>
            <w:tcW w:w="1985" w:type="dxa"/>
            <w:tcBorders>
              <w:top w:val="nil"/>
              <w:left w:val="nil"/>
              <w:bottom w:val="single" w:sz="4" w:space="0" w:color="auto"/>
              <w:right w:val="single" w:sz="4" w:space="0" w:color="auto"/>
            </w:tcBorders>
            <w:vAlign w:val="center"/>
          </w:tcPr>
          <w:p w:rsidR="00000000" w:rsidRDefault="00A10140">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2,000,010.00</w:t>
            </w:r>
          </w:p>
        </w:tc>
        <w:tc>
          <w:tcPr>
            <w:tcW w:w="1984" w:type="dxa"/>
            <w:tcBorders>
              <w:top w:val="nil"/>
              <w:left w:val="nil"/>
              <w:bottom w:val="single" w:sz="4" w:space="0" w:color="auto"/>
              <w:right w:val="single" w:sz="4" w:space="0" w:color="auto"/>
            </w:tcBorders>
            <w:vAlign w:val="center"/>
          </w:tcPr>
          <w:p w:rsidR="00000000" w:rsidRDefault="00A10140">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 xml:space="preserve">10,011,313.56 </w:t>
            </w:r>
          </w:p>
        </w:tc>
      </w:tr>
      <w:tr w:rsidR="00000000">
        <w:tc>
          <w:tcPr>
            <w:tcW w:w="1650" w:type="dxa"/>
            <w:vMerge w:val="restart"/>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pPr>
            <w:r>
              <w:t>其中：募集期间基金管理人运用固有资金认购本基金情况</w:t>
            </w:r>
          </w:p>
        </w:tc>
        <w:tc>
          <w:tcPr>
            <w:tcW w:w="1650"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pPr>
            <w:r>
              <w:t>认购的基金份额（单位：份</w:t>
            </w:r>
            <w:r>
              <w:t xml:space="preserve"> </w:t>
            </w:r>
            <w:r>
              <w:t>）</w:t>
            </w:r>
          </w:p>
        </w:tc>
        <w:tc>
          <w:tcPr>
            <w:tcW w:w="1945" w:type="dxa"/>
            <w:tcBorders>
              <w:top w:val="single" w:sz="8" w:space="0" w:color="000000"/>
              <w:left w:val="single" w:sz="8" w:space="0" w:color="000000"/>
              <w:bottom w:val="single" w:sz="6" w:space="0" w:color="000000"/>
              <w:right w:val="single" w:sz="8" w:space="0" w:color="000000"/>
            </w:tcBorders>
          </w:tcPr>
          <w:p w:rsidR="00000000" w:rsidRDefault="00A10140">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8,010,311.50</w:t>
            </w:r>
          </w:p>
        </w:tc>
        <w:tc>
          <w:tcPr>
            <w:tcW w:w="1985" w:type="dxa"/>
            <w:tcBorders>
              <w:top w:val="single" w:sz="8" w:space="0" w:color="000000"/>
              <w:left w:val="single" w:sz="8" w:space="0" w:color="000000"/>
              <w:bottom w:val="single" w:sz="6" w:space="0" w:color="000000"/>
              <w:right w:val="single" w:sz="8" w:space="0" w:color="000000"/>
            </w:tcBorders>
          </w:tcPr>
          <w:p w:rsidR="00000000" w:rsidRDefault="00A10140">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2,000,000.00</w:t>
            </w:r>
          </w:p>
        </w:tc>
        <w:tc>
          <w:tcPr>
            <w:tcW w:w="1984" w:type="dxa"/>
            <w:tcBorders>
              <w:top w:val="single" w:sz="8" w:space="0" w:color="000000"/>
              <w:left w:val="single" w:sz="8" w:space="0" w:color="000000"/>
              <w:bottom w:val="single" w:sz="6" w:space="0" w:color="000000"/>
              <w:right w:val="single" w:sz="8" w:space="0" w:color="000000"/>
            </w:tcBorders>
          </w:tcPr>
          <w:p w:rsidR="00000000" w:rsidRDefault="00A10140">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10,010,311.50</w:t>
            </w:r>
          </w:p>
        </w:tc>
      </w:tr>
      <w:tr w:rsidR="00000000">
        <w:tc>
          <w:tcPr>
            <w:tcW w:w="1650" w:type="dxa"/>
            <w:vMerge/>
            <w:tcBorders>
              <w:top w:val="single" w:sz="8" w:space="0" w:color="000000"/>
              <w:left w:val="single" w:sz="8" w:space="0" w:color="000000"/>
              <w:bottom w:val="single" w:sz="6" w:space="0" w:color="000000"/>
              <w:right w:val="single" w:sz="8" w:space="0" w:color="000000"/>
            </w:tcBorders>
            <w:vAlign w:val="center"/>
          </w:tcPr>
          <w:p w:rsidR="00000000" w:rsidRDefault="00A10140">
            <w:pPr>
              <w:rPr>
                <w:rFonts w:ascii="宋体" w:hint="eastAsia"/>
                <w:sz w:val="24"/>
                <w:szCs w:val="24"/>
              </w:rPr>
            </w:pPr>
          </w:p>
        </w:tc>
        <w:tc>
          <w:tcPr>
            <w:tcW w:w="1650"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pPr>
            <w:r>
              <w:t>占基金总份额比例</w:t>
            </w:r>
          </w:p>
        </w:tc>
        <w:tc>
          <w:tcPr>
            <w:tcW w:w="1945" w:type="dxa"/>
            <w:tcBorders>
              <w:top w:val="single" w:sz="8" w:space="0" w:color="000000"/>
              <w:left w:val="single" w:sz="8" w:space="0" w:color="000000"/>
              <w:bottom w:val="single" w:sz="6" w:space="0" w:color="000000"/>
              <w:right w:val="single" w:sz="8" w:space="0" w:color="000000"/>
            </w:tcBorders>
            <w:vAlign w:val="center"/>
          </w:tcPr>
          <w:p w:rsidR="00000000" w:rsidRDefault="00A10140">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99.9876%</w:t>
            </w:r>
          </w:p>
        </w:tc>
        <w:tc>
          <w:tcPr>
            <w:tcW w:w="1985" w:type="dxa"/>
            <w:tcBorders>
              <w:top w:val="single" w:sz="8" w:space="0" w:color="000000"/>
              <w:left w:val="single" w:sz="8" w:space="0" w:color="000000"/>
              <w:bottom w:val="single" w:sz="6" w:space="0" w:color="000000"/>
              <w:right w:val="single" w:sz="8" w:space="0" w:color="000000"/>
            </w:tcBorders>
            <w:vAlign w:val="center"/>
          </w:tcPr>
          <w:p w:rsidR="00000000" w:rsidRDefault="00A10140">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99.9995%</w:t>
            </w:r>
          </w:p>
        </w:tc>
        <w:tc>
          <w:tcPr>
            <w:tcW w:w="1984" w:type="dxa"/>
            <w:tcBorders>
              <w:top w:val="single" w:sz="8" w:space="0" w:color="000000"/>
              <w:left w:val="single" w:sz="8" w:space="0" w:color="000000"/>
              <w:bottom w:val="single" w:sz="6" w:space="0" w:color="000000"/>
              <w:right w:val="single" w:sz="8" w:space="0" w:color="000000"/>
            </w:tcBorders>
            <w:vAlign w:val="center"/>
          </w:tcPr>
          <w:p w:rsidR="00000000" w:rsidRDefault="00A10140">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99.99</w:t>
            </w:r>
            <w:r>
              <w:rPr>
                <w:rFonts w:ascii="宋体" w:hAnsi="宋体" w:cs="宋体" w:hint="eastAsia"/>
                <w:color w:val="000000"/>
                <w:kern w:val="0"/>
                <w:sz w:val="24"/>
                <w:szCs w:val="24"/>
                <w:lang/>
              </w:rPr>
              <w:t>00</w:t>
            </w:r>
            <w:r>
              <w:rPr>
                <w:rFonts w:ascii="宋体" w:hAnsi="宋体" w:cs="宋体" w:hint="eastAsia"/>
                <w:color w:val="000000"/>
                <w:kern w:val="0"/>
                <w:sz w:val="24"/>
                <w:szCs w:val="24"/>
                <w:lang/>
              </w:rPr>
              <w:t>%</w:t>
            </w:r>
          </w:p>
        </w:tc>
      </w:tr>
      <w:tr w:rsidR="00000000">
        <w:tc>
          <w:tcPr>
            <w:tcW w:w="1650" w:type="dxa"/>
            <w:vMerge/>
            <w:tcBorders>
              <w:top w:val="single" w:sz="8" w:space="0" w:color="000000"/>
              <w:left w:val="single" w:sz="8" w:space="0" w:color="000000"/>
              <w:bottom w:val="single" w:sz="6" w:space="0" w:color="000000"/>
              <w:right w:val="single" w:sz="8" w:space="0" w:color="000000"/>
            </w:tcBorders>
            <w:vAlign w:val="center"/>
          </w:tcPr>
          <w:p w:rsidR="00000000" w:rsidRDefault="00A10140">
            <w:pPr>
              <w:rPr>
                <w:rFonts w:ascii="宋体" w:hint="eastAsia"/>
                <w:sz w:val="24"/>
                <w:szCs w:val="24"/>
              </w:rPr>
            </w:pPr>
          </w:p>
        </w:tc>
        <w:tc>
          <w:tcPr>
            <w:tcW w:w="1650"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pPr>
            <w:r>
              <w:t>其他需要说明的事项</w:t>
            </w:r>
          </w:p>
        </w:tc>
        <w:tc>
          <w:tcPr>
            <w:tcW w:w="1945" w:type="dxa"/>
            <w:tcBorders>
              <w:top w:val="single" w:sz="8" w:space="0" w:color="000000"/>
              <w:left w:val="single" w:sz="8" w:space="0" w:color="000000"/>
              <w:bottom w:val="single" w:sz="6" w:space="0" w:color="000000"/>
              <w:right w:val="single" w:sz="8" w:space="0" w:color="000000"/>
            </w:tcBorders>
          </w:tcPr>
          <w:p w:rsidR="00000000" w:rsidRDefault="00A10140">
            <w:pPr>
              <w:pStyle w:val="biaogecenter"/>
              <w:wordWrap w:val="0"/>
              <w:rPr>
                <w:rFonts w:cs="宋体" w:hint="eastAsia"/>
                <w:color w:val="000000"/>
              </w:rPr>
            </w:pPr>
            <w:r>
              <w:rPr>
                <w:rFonts w:hint="eastAsia"/>
                <w:color w:val="000000"/>
              </w:rPr>
              <w:t>-</w:t>
            </w:r>
          </w:p>
        </w:tc>
        <w:tc>
          <w:tcPr>
            <w:tcW w:w="1985" w:type="dxa"/>
            <w:tcBorders>
              <w:top w:val="single" w:sz="8" w:space="0" w:color="000000"/>
              <w:left w:val="single" w:sz="8" w:space="0" w:color="000000"/>
              <w:bottom w:val="single" w:sz="6" w:space="0" w:color="000000"/>
              <w:right w:val="single" w:sz="8" w:space="0" w:color="000000"/>
            </w:tcBorders>
          </w:tcPr>
          <w:p w:rsidR="00000000" w:rsidRDefault="00A10140">
            <w:pPr>
              <w:pStyle w:val="biaogecenter"/>
              <w:wordWrap w:val="0"/>
              <w:rPr>
                <w:rFonts w:cs="宋体" w:hint="eastAsia"/>
                <w:color w:val="000000"/>
              </w:rPr>
            </w:pPr>
            <w:r>
              <w:rPr>
                <w:rFonts w:hint="eastAsia"/>
                <w:color w:val="000000"/>
              </w:rPr>
              <w:t>-</w:t>
            </w:r>
          </w:p>
        </w:tc>
        <w:tc>
          <w:tcPr>
            <w:tcW w:w="1984" w:type="dxa"/>
            <w:tcBorders>
              <w:top w:val="single" w:sz="8" w:space="0" w:color="000000"/>
              <w:left w:val="single" w:sz="8" w:space="0" w:color="000000"/>
              <w:bottom w:val="single" w:sz="6" w:space="0" w:color="000000"/>
              <w:right w:val="single" w:sz="8" w:space="0" w:color="000000"/>
            </w:tcBorders>
          </w:tcPr>
          <w:p w:rsidR="00000000" w:rsidRDefault="00A10140">
            <w:pPr>
              <w:pStyle w:val="biaogecenter"/>
              <w:wordWrap w:val="0"/>
              <w:rPr>
                <w:rFonts w:cs="宋体" w:hint="eastAsia"/>
                <w:color w:val="000000"/>
              </w:rPr>
            </w:pPr>
            <w:r>
              <w:rPr>
                <w:rFonts w:hint="eastAsia"/>
                <w:color w:val="000000"/>
              </w:rPr>
              <w:t>-</w:t>
            </w:r>
          </w:p>
        </w:tc>
      </w:tr>
      <w:tr w:rsidR="00000000">
        <w:tc>
          <w:tcPr>
            <w:tcW w:w="1650" w:type="dxa"/>
            <w:vMerge w:val="restart"/>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pPr>
            <w:r>
              <w:t>其中：募集期间基金管理人的从业人员认购本基金情况</w:t>
            </w:r>
          </w:p>
        </w:tc>
        <w:tc>
          <w:tcPr>
            <w:tcW w:w="1650"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pPr>
            <w:r>
              <w:t>认购的基金份额（单</w:t>
            </w:r>
            <w:r>
              <w:t>位：份</w:t>
            </w:r>
            <w:r>
              <w:t xml:space="preserve"> </w:t>
            </w:r>
            <w:r>
              <w:t>）</w:t>
            </w:r>
          </w:p>
        </w:tc>
        <w:tc>
          <w:tcPr>
            <w:tcW w:w="1945" w:type="dxa"/>
            <w:tcBorders>
              <w:top w:val="single" w:sz="4" w:space="0" w:color="auto"/>
              <w:left w:val="single" w:sz="4" w:space="0" w:color="auto"/>
              <w:bottom w:val="single" w:sz="4" w:space="0" w:color="auto"/>
              <w:right w:val="single" w:sz="4" w:space="0" w:color="auto"/>
            </w:tcBorders>
            <w:vAlign w:val="center"/>
          </w:tcPr>
          <w:p w:rsidR="00000000" w:rsidRDefault="00A10140">
            <w:pPr>
              <w:pStyle w:val="biaogecenter"/>
              <w:wordWrap w:val="0"/>
              <w:rPr>
                <w:rFonts w:cs="宋体"/>
                <w:color w:val="000000"/>
              </w:rPr>
            </w:pPr>
            <w:r>
              <w:rPr>
                <w:rFonts w:cs="宋体" w:hint="eastAsia"/>
                <w:color w:val="000000"/>
                <w:lang/>
              </w:rPr>
              <w:t>-</w:t>
            </w:r>
          </w:p>
        </w:tc>
        <w:tc>
          <w:tcPr>
            <w:tcW w:w="1985" w:type="dxa"/>
            <w:tcBorders>
              <w:top w:val="single" w:sz="4" w:space="0" w:color="auto"/>
              <w:left w:val="nil"/>
              <w:bottom w:val="single" w:sz="4" w:space="0" w:color="auto"/>
              <w:right w:val="single" w:sz="4" w:space="0" w:color="auto"/>
            </w:tcBorders>
            <w:vAlign w:val="center"/>
          </w:tcPr>
          <w:p w:rsidR="00000000" w:rsidRDefault="00A10140">
            <w:pPr>
              <w:pStyle w:val="biaogecenter"/>
              <w:wordWrap w:val="0"/>
              <w:rPr>
                <w:rFonts w:cs="宋体"/>
                <w:color w:val="000000"/>
              </w:rPr>
            </w:pPr>
            <w:r>
              <w:rPr>
                <w:rFonts w:cs="宋体" w:hint="eastAsia"/>
                <w:color w:val="000000"/>
                <w:lang/>
              </w:rPr>
              <w:t>-</w:t>
            </w:r>
          </w:p>
        </w:tc>
        <w:tc>
          <w:tcPr>
            <w:tcW w:w="1984" w:type="dxa"/>
            <w:tcBorders>
              <w:top w:val="single" w:sz="4" w:space="0" w:color="auto"/>
              <w:left w:val="nil"/>
              <w:bottom w:val="single" w:sz="4" w:space="0" w:color="auto"/>
              <w:right w:val="single" w:sz="4" w:space="0" w:color="auto"/>
            </w:tcBorders>
            <w:vAlign w:val="center"/>
          </w:tcPr>
          <w:p w:rsidR="00000000" w:rsidRDefault="00A10140">
            <w:pPr>
              <w:pStyle w:val="biaogecenter"/>
              <w:wordWrap w:val="0"/>
              <w:rPr>
                <w:rFonts w:cs="宋体" w:hint="eastAsia"/>
                <w:color w:val="000000"/>
              </w:rPr>
            </w:pPr>
            <w:r>
              <w:rPr>
                <w:rFonts w:cs="宋体" w:hint="eastAsia"/>
                <w:color w:val="000000"/>
                <w:lang/>
              </w:rPr>
              <w:t>-</w:t>
            </w:r>
          </w:p>
        </w:tc>
      </w:tr>
      <w:tr w:rsidR="00000000">
        <w:tc>
          <w:tcPr>
            <w:tcW w:w="1650" w:type="dxa"/>
            <w:vMerge/>
            <w:tcBorders>
              <w:top w:val="single" w:sz="8" w:space="0" w:color="000000"/>
              <w:left w:val="single" w:sz="8" w:space="0" w:color="000000"/>
              <w:bottom w:val="single" w:sz="6" w:space="0" w:color="000000"/>
              <w:right w:val="single" w:sz="8" w:space="0" w:color="000000"/>
            </w:tcBorders>
            <w:vAlign w:val="center"/>
          </w:tcPr>
          <w:p w:rsidR="00000000" w:rsidRDefault="00A10140">
            <w:pPr>
              <w:rPr>
                <w:rFonts w:ascii="宋体" w:hint="eastAsia"/>
                <w:sz w:val="24"/>
                <w:szCs w:val="24"/>
              </w:rPr>
            </w:pPr>
          </w:p>
        </w:tc>
        <w:tc>
          <w:tcPr>
            <w:tcW w:w="1650"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pPr>
            <w:r>
              <w:t>占基金总份额比例</w:t>
            </w:r>
          </w:p>
        </w:tc>
        <w:tc>
          <w:tcPr>
            <w:tcW w:w="1945" w:type="dxa"/>
            <w:tcBorders>
              <w:top w:val="nil"/>
              <w:left w:val="nil"/>
              <w:bottom w:val="single" w:sz="8" w:space="0" w:color="000000"/>
              <w:right w:val="single" w:sz="8" w:space="0" w:color="000000"/>
            </w:tcBorders>
            <w:vAlign w:val="center"/>
          </w:tcPr>
          <w:p w:rsidR="00000000" w:rsidRDefault="00A10140">
            <w:pPr>
              <w:pStyle w:val="biaogecenter"/>
              <w:wordWrap w:val="0"/>
              <w:rPr>
                <w:rFonts w:cs="宋体" w:hint="eastAsia"/>
                <w:color w:val="000000"/>
              </w:rPr>
            </w:pPr>
            <w:r>
              <w:rPr>
                <w:rFonts w:cs="宋体" w:hint="eastAsia"/>
                <w:color w:val="000000"/>
                <w:lang/>
              </w:rPr>
              <w:t>-</w:t>
            </w:r>
          </w:p>
        </w:tc>
        <w:tc>
          <w:tcPr>
            <w:tcW w:w="1985" w:type="dxa"/>
            <w:tcBorders>
              <w:top w:val="nil"/>
              <w:left w:val="nil"/>
              <w:bottom w:val="single" w:sz="8" w:space="0" w:color="000000"/>
              <w:right w:val="single" w:sz="8" w:space="0" w:color="000000"/>
            </w:tcBorders>
            <w:vAlign w:val="center"/>
          </w:tcPr>
          <w:p w:rsidR="00000000" w:rsidRDefault="00A10140">
            <w:pPr>
              <w:pStyle w:val="biaogecenter"/>
              <w:wordWrap w:val="0"/>
              <w:rPr>
                <w:rFonts w:cs="宋体" w:hint="eastAsia"/>
                <w:color w:val="000000"/>
              </w:rPr>
            </w:pPr>
            <w:r>
              <w:rPr>
                <w:rFonts w:cs="宋体" w:hint="eastAsia"/>
                <w:color w:val="000000"/>
                <w:lang/>
              </w:rPr>
              <w:t>-</w:t>
            </w:r>
          </w:p>
        </w:tc>
        <w:tc>
          <w:tcPr>
            <w:tcW w:w="1984" w:type="dxa"/>
            <w:tcBorders>
              <w:top w:val="nil"/>
              <w:left w:val="nil"/>
              <w:bottom w:val="single" w:sz="8" w:space="0" w:color="000000"/>
              <w:right w:val="single" w:sz="8" w:space="0" w:color="000000"/>
            </w:tcBorders>
            <w:vAlign w:val="center"/>
          </w:tcPr>
          <w:p w:rsidR="00000000" w:rsidRDefault="00A10140">
            <w:pPr>
              <w:pStyle w:val="biaogecenter"/>
              <w:wordWrap w:val="0"/>
              <w:rPr>
                <w:rFonts w:cs="宋体" w:hint="eastAsia"/>
                <w:color w:val="000000"/>
              </w:rPr>
            </w:pPr>
            <w:r>
              <w:rPr>
                <w:rFonts w:cs="宋体" w:hint="eastAsia"/>
                <w:color w:val="000000"/>
                <w:lang/>
              </w:rPr>
              <w:t>-</w:t>
            </w:r>
          </w:p>
        </w:tc>
      </w:tr>
      <w:tr w:rsidR="00000000">
        <w:tc>
          <w:tcPr>
            <w:tcW w:w="3300"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pPr>
            <w:r>
              <w:t>募集期限届满基金是否符合法律法规规定的办理基金备案手续的条件</w:t>
            </w:r>
          </w:p>
        </w:tc>
        <w:tc>
          <w:tcPr>
            <w:tcW w:w="5914" w:type="dxa"/>
            <w:gridSpan w:val="3"/>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rPr>
                <w:rFonts w:hint="eastAsia"/>
              </w:rPr>
            </w:pPr>
            <w:r>
              <w:rPr>
                <w:rFonts w:hint="eastAsia"/>
              </w:rPr>
              <w:t>是</w:t>
            </w:r>
          </w:p>
        </w:tc>
      </w:tr>
      <w:tr w:rsidR="00000000">
        <w:tc>
          <w:tcPr>
            <w:tcW w:w="3300"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pPr>
            <w:r>
              <w:t>向中国证监会办理基金备案手续获得书面确认的日期</w:t>
            </w:r>
          </w:p>
        </w:tc>
        <w:tc>
          <w:tcPr>
            <w:tcW w:w="5914" w:type="dxa"/>
            <w:gridSpan w:val="3"/>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rPr>
                <w:rFonts w:hint="eastAsia"/>
              </w:rPr>
            </w:pPr>
            <w:r>
              <w:rPr>
                <w:rFonts w:hint="eastAsia"/>
              </w:rPr>
              <w:t>2026</w:t>
            </w:r>
            <w:r>
              <w:rPr>
                <w:rFonts w:hint="eastAsia"/>
              </w:rPr>
              <w:t>年</w:t>
            </w:r>
            <w:r>
              <w:rPr>
                <w:rFonts w:hint="eastAsia"/>
              </w:rPr>
              <w:t>1</w:t>
            </w:r>
            <w:r>
              <w:rPr>
                <w:rFonts w:hint="eastAsia"/>
              </w:rPr>
              <w:t>月</w:t>
            </w:r>
            <w:r>
              <w:rPr>
                <w:rFonts w:hint="eastAsia"/>
              </w:rPr>
              <w:t>20</w:t>
            </w:r>
            <w:r>
              <w:rPr>
                <w:rFonts w:hint="eastAsia"/>
              </w:rPr>
              <w:t>日</w:t>
            </w:r>
          </w:p>
        </w:tc>
      </w:tr>
    </w:tbl>
    <w:p w:rsidR="00000000" w:rsidRDefault="00A10140">
      <w:pPr>
        <w:widowControl/>
        <w:ind w:firstLineChars="200" w:firstLine="420"/>
        <w:jc w:val="left"/>
      </w:pPr>
      <w:r>
        <w:rPr>
          <w:rFonts w:hint="eastAsia"/>
        </w:rPr>
        <w:t>注：（</w:t>
      </w:r>
      <w:r>
        <w:rPr>
          <w:rFonts w:hint="eastAsia"/>
        </w:rPr>
        <w:t>1</w:t>
      </w:r>
      <w:r>
        <w:rPr>
          <w:rFonts w:hint="eastAsia"/>
        </w:rPr>
        <w:t>）根据有关法律规定，本基金合同生效前的信息披露费、会计师费及律师费等费用不从基金资产中列支，由本基金管理人承担。</w:t>
      </w:r>
    </w:p>
    <w:p w:rsidR="00000000" w:rsidRDefault="00A10140">
      <w:pPr>
        <w:widowControl/>
        <w:ind w:firstLineChars="200" w:firstLine="420"/>
        <w:jc w:val="left"/>
        <w:rPr>
          <w:rFonts w:hint="eastAsia"/>
        </w:rPr>
      </w:pPr>
      <w:r>
        <w:rPr>
          <w:rFonts w:hint="eastAsia"/>
        </w:rPr>
        <w:t>（</w:t>
      </w:r>
      <w:r>
        <w:rPr>
          <w:rFonts w:hint="eastAsia"/>
        </w:rPr>
        <w:t>2</w:t>
      </w:r>
      <w:r>
        <w:rPr>
          <w:rFonts w:hint="eastAsia"/>
        </w:rPr>
        <w:t>）本基金管理人高级管理人员、基金投资和研究部门负责人认购本基金份额总量的数量区间为</w:t>
      </w:r>
      <w:r>
        <w:rPr>
          <w:rFonts w:hint="eastAsia"/>
        </w:rPr>
        <w:t>0</w:t>
      </w:r>
      <w:r>
        <w:rPr>
          <w:rFonts w:hint="eastAsia"/>
        </w:rPr>
        <w:t>；本基金的基金经理认购本基金份额总量的数量区间为</w:t>
      </w:r>
      <w:r>
        <w:rPr>
          <w:rFonts w:hint="eastAsia"/>
        </w:rPr>
        <w:t>0</w:t>
      </w:r>
      <w:r>
        <w:rPr>
          <w:rFonts w:hint="eastAsia"/>
        </w:rPr>
        <w:t>。</w:t>
      </w:r>
    </w:p>
    <w:p w:rsidR="00000000" w:rsidRDefault="00A10140">
      <w:pPr>
        <w:widowControl/>
        <w:jc w:val="left"/>
        <w:rPr>
          <w:rFonts w:hint="eastAsia"/>
          <w:b/>
        </w:rPr>
      </w:pPr>
    </w:p>
    <w:p w:rsidR="00000000" w:rsidRDefault="00A10140">
      <w:pPr>
        <w:pStyle w:val="a7"/>
        <w:rPr>
          <w:b/>
        </w:rPr>
      </w:pPr>
      <w:r>
        <w:rPr>
          <w:b/>
        </w:rPr>
        <w:t xml:space="preserve">3 </w:t>
      </w:r>
      <w:r>
        <w:rPr>
          <w:rFonts w:hint="eastAsia"/>
          <w:b/>
        </w:rPr>
        <w:t>发起式基金发起资金持有份额情况</w:t>
      </w:r>
    </w:p>
    <w:tbl>
      <w:tblPr>
        <w:tblW w:w="9498" w:type="dxa"/>
        <w:tblInd w:w="108" w:type="dxa"/>
        <w:tblLayout w:type="fixed"/>
        <w:tblLook w:val="0000"/>
      </w:tblPr>
      <w:tblGrid>
        <w:gridCol w:w="2295"/>
        <w:gridCol w:w="1215"/>
        <w:gridCol w:w="1350"/>
        <w:gridCol w:w="1095"/>
        <w:gridCol w:w="1275"/>
        <w:gridCol w:w="2268"/>
      </w:tblGrid>
      <w:tr w:rsidR="00000000">
        <w:tc>
          <w:tcPr>
            <w:tcW w:w="2295"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jc w:val="center"/>
            </w:pPr>
            <w:r>
              <w:t>项目</w:t>
            </w:r>
          </w:p>
        </w:tc>
        <w:tc>
          <w:tcPr>
            <w:tcW w:w="1215"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jc w:val="center"/>
            </w:pPr>
            <w:r>
              <w:t>持有</w:t>
            </w:r>
            <w:r>
              <w:t>份额总数</w:t>
            </w:r>
          </w:p>
        </w:tc>
        <w:tc>
          <w:tcPr>
            <w:tcW w:w="1350"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jc w:val="center"/>
            </w:pPr>
            <w:r>
              <w:t>持有份额占基金总份额比例</w:t>
            </w:r>
          </w:p>
        </w:tc>
        <w:tc>
          <w:tcPr>
            <w:tcW w:w="1095"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jc w:val="center"/>
            </w:pPr>
            <w:r>
              <w:t>发起份额总数</w:t>
            </w:r>
          </w:p>
        </w:tc>
        <w:tc>
          <w:tcPr>
            <w:tcW w:w="1275"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jc w:val="center"/>
            </w:pPr>
            <w:r>
              <w:t>发起份额占基金总份额比例</w:t>
            </w:r>
          </w:p>
        </w:tc>
        <w:tc>
          <w:tcPr>
            <w:tcW w:w="2268"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jc w:val="center"/>
            </w:pPr>
            <w:r>
              <w:t>发起份额承诺持有期限</w:t>
            </w:r>
          </w:p>
        </w:tc>
      </w:tr>
      <w:tr w:rsidR="00000000">
        <w:tc>
          <w:tcPr>
            <w:tcW w:w="2295"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jc w:val="center"/>
            </w:pPr>
            <w:r>
              <w:t>基金管理人固有资金</w:t>
            </w:r>
          </w:p>
        </w:tc>
        <w:tc>
          <w:tcPr>
            <w:tcW w:w="1215" w:type="dxa"/>
            <w:tcBorders>
              <w:top w:val="single" w:sz="8" w:space="0" w:color="000000"/>
              <w:left w:val="single" w:sz="8" w:space="0" w:color="000000"/>
              <w:bottom w:val="single" w:sz="6" w:space="0" w:color="000000"/>
              <w:right w:val="single" w:sz="8" w:space="0" w:color="000000"/>
            </w:tcBorders>
          </w:tcPr>
          <w:p w:rsidR="00000000" w:rsidRDefault="00A10140">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10,010,311.50</w:t>
            </w:r>
          </w:p>
        </w:tc>
        <w:tc>
          <w:tcPr>
            <w:tcW w:w="1350" w:type="dxa"/>
            <w:tcBorders>
              <w:top w:val="single" w:sz="8" w:space="0" w:color="000000"/>
              <w:left w:val="single" w:sz="8" w:space="0" w:color="000000"/>
              <w:bottom w:val="single" w:sz="6" w:space="0" w:color="000000"/>
              <w:right w:val="single" w:sz="8" w:space="0" w:color="000000"/>
            </w:tcBorders>
            <w:vAlign w:val="center"/>
          </w:tcPr>
          <w:p w:rsidR="00000000" w:rsidRDefault="00A10140">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99.99%</w:t>
            </w:r>
          </w:p>
        </w:tc>
        <w:tc>
          <w:tcPr>
            <w:tcW w:w="1095" w:type="dxa"/>
            <w:tcBorders>
              <w:top w:val="single" w:sz="8" w:space="0" w:color="000000"/>
              <w:left w:val="single" w:sz="8" w:space="0" w:color="000000"/>
              <w:bottom w:val="single" w:sz="6" w:space="0" w:color="000000"/>
              <w:right w:val="single" w:sz="8" w:space="0" w:color="000000"/>
            </w:tcBorders>
          </w:tcPr>
          <w:p w:rsidR="00000000" w:rsidRDefault="00A10140">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10,010,311.50</w:t>
            </w:r>
          </w:p>
        </w:tc>
        <w:tc>
          <w:tcPr>
            <w:tcW w:w="1275" w:type="dxa"/>
            <w:tcBorders>
              <w:top w:val="single" w:sz="8" w:space="0" w:color="000000"/>
              <w:left w:val="single" w:sz="8" w:space="0" w:color="000000"/>
              <w:bottom w:val="single" w:sz="6" w:space="0" w:color="000000"/>
              <w:right w:val="single" w:sz="8" w:space="0" w:color="000000"/>
            </w:tcBorders>
            <w:vAlign w:val="center"/>
          </w:tcPr>
          <w:p w:rsidR="00000000" w:rsidRDefault="00A10140">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99.99%</w:t>
            </w:r>
          </w:p>
        </w:tc>
        <w:tc>
          <w:tcPr>
            <w:tcW w:w="2268"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jc w:val="center"/>
            </w:pPr>
            <w:r>
              <w:rPr>
                <w:rFonts w:hint="eastAsia"/>
              </w:rPr>
              <w:t>自基金合同生效日起不少于</w:t>
            </w:r>
            <w:r>
              <w:t>3</w:t>
            </w:r>
            <w:r>
              <w:rPr>
                <w:rFonts w:hint="eastAsia"/>
              </w:rPr>
              <w:t>年</w:t>
            </w:r>
          </w:p>
        </w:tc>
      </w:tr>
      <w:tr w:rsidR="00000000">
        <w:tc>
          <w:tcPr>
            <w:tcW w:w="2295"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jc w:val="center"/>
            </w:pPr>
            <w:r>
              <w:t>基金管理人高级管理人员</w:t>
            </w:r>
          </w:p>
        </w:tc>
        <w:tc>
          <w:tcPr>
            <w:tcW w:w="1215"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jc w:val="center"/>
            </w:pPr>
            <w:r>
              <w:t>-</w:t>
            </w:r>
          </w:p>
        </w:tc>
        <w:tc>
          <w:tcPr>
            <w:tcW w:w="1350"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jc w:val="center"/>
            </w:pPr>
            <w:r>
              <w:t>-</w:t>
            </w:r>
          </w:p>
        </w:tc>
        <w:tc>
          <w:tcPr>
            <w:tcW w:w="1095"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jc w:val="center"/>
            </w:pPr>
            <w:r>
              <w:t>-</w:t>
            </w:r>
          </w:p>
        </w:tc>
        <w:tc>
          <w:tcPr>
            <w:tcW w:w="1275"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jc w:val="center"/>
            </w:pPr>
            <w:r>
              <w:t>-</w:t>
            </w:r>
          </w:p>
        </w:tc>
        <w:tc>
          <w:tcPr>
            <w:tcW w:w="2268"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jc w:val="center"/>
            </w:pPr>
            <w:r>
              <w:t>-</w:t>
            </w:r>
          </w:p>
        </w:tc>
      </w:tr>
      <w:tr w:rsidR="00000000">
        <w:tc>
          <w:tcPr>
            <w:tcW w:w="2295"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jc w:val="center"/>
            </w:pPr>
            <w:r>
              <w:t>基金经理等人员</w:t>
            </w:r>
          </w:p>
        </w:tc>
        <w:tc>
          <w:tcPr>
            <w:tcW w:w="1215"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jc w:val="center"/>
            </w:pPr>
            <w:r>
              <w:t>-</w:t>
            </w:r>
          </w:p>
        </w:tc>
        <w:tc>
          <w:tcPr>
            <w:tcW w:w="1350"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jc w:val="center"/>
            </w:pPr>
            <w:r>
              <w:t>-</w:t>
            </w:r>
          </w:p>
        </w:tc>
        <w:tc>
          <w:tcPr>
            <w:tcW w:w="1095"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jc w:val="center"/>
            </w:pPr>
            <w:r>
              <w:t>-</w:t>
            </w:r>
          </w:p>
        </w:tc>
        <w:tc>
          <w:tcPr>
            <w:tcW w:w="1275"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jc w:val="center"/>
            </w:pPr>
            <w:r>
              <w:t>-</w:t>
            </w:r>
          </w:p>
        </w:tc>
        <w:tc>
          <w:tcPr>
            <w:tcW w:w="2268"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jc w:val="center"/>
            </w:pPr>
            <w:r>
              <w:t>-</w:t>
            </w:r>
          </w:p>
        </w:tc>
      </w:tr>
      <w:tr w:rsidR="00000000">
        <w:tc>
          <w:tcPr>
            <w:tcW w:w="2295"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biaogecenter"/>
              <w:wordWrap w:val="0"/>
            </w:pPr>
            <w:r>
              <w:rPr>
                <w:rFonts w:hAnsi="Calibri" w:cs="宋体" w:hint="eastAsia"/>
                <w:color w:val="000000"/>
              </w:rPr>
              <w:t>基金管理人股东</w:t>
            </w:r>
          </w:p>
        </w:tc>
        <w:tc>
          <w:tcPr>
            <w:tcW w:w="1215"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jc w:val="center"/>
            </w:pPr>
            <w:r>
              <w:t>-</w:t>
            </w:r>
          </w:p>
        </w:tc>
        <w:tc>
          <w:tcPr>
            <w:tcW w:w="1350"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jc w:val="center"/>
            </w:pPr>
            <w:r>
              <w:t>-</w:t>
            </w:r>
          </w:p>
        </w:tc>
        <w:tc>
          <w:tcPr>
            <w:tcW w:w="1095"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jc w:val="center"/>
            </w:pPr>
            <w:r>
              <w:t>-</w:t>
            </w:r>
          </w:p>
        </w:tc>
        <w:tc>
          <w:tcPr>
            <w:tcW w:w="1275"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jc w:val="center"/>
            </w:pPr>
            <w:r>
              <w:t>-</w:t>
            </w:r>
          </w:p>
        </w:tc>
        <w:tc>
          <w:tcPr>
            <w:tcW w:w="2268"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jc w:val="center"/>
            </w:pPr>
            <w:r>
              <w:t>-</w:t>
            </w:r>
          </w:p>
        </w:tc>
      </w:tr>
      <w:tr w:rsidR="00000000">
        <w:tc>
          <w:tcPr>
            <w:tcW w:w="2295"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biaogecenter"/>
              <w:wordWrap w:val="0"/>
            </w:pPr>
            <w:r>
              <w:rPr>
                <w:rFonts w:hAnsi="Calibri" w:cs="宋体" w:hint="eastAsia"/>
                <w:color w:val="000000"/>
              </w:rPr>
              <w:t>其他</w:t>
            </w:r>
          </w:p>
        </w:tc>
        <w:tc>
          <w:tcPr>
            <w:tcW w:w="1215"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jc w:val="center"/>
            </w:pPr>
            <w:r>
              <w:t>-</w:t>
            </w:r>
          </w:p>
        </w:tc>
        <w:tc>
          <w:tcPr>
            <w:tcW w:w="1350"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jc w:val="center"/>
            </w:pPr>
            <w:r>
              <w:t>-</w:t>
            </w:r>
          </w:p>
        </w:tc>
        <w:tc>
          <w:tcPr>
            <w:tcW w:w="1095"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jc w:val="center"/>
            </w:pPr>
            <w:r>
              <w:t>-</w:t>
            </w:r>
          </w:p>
        </w:tc>
        <w:tc>
          <w:tcPr>
            <w:tcW w:w="1275"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jc w:val="center"/>
            </w:pPr>
            <w:r>
              <w:t>-</w:t>
            </w:r>
          </w:p>
        </w:tc>
        <w:tc>
          <w:tcPr>
            <w:tcW w:w="2268"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jc w:val="center"/>
            </w:pPr>
            <w:r>
              <w:t>-</w:t>
            </w:r>
          </w:p>
        </w:tc>
      </w:tr>
      <w:tr w:rsidR="00000000">
        <w:tc>
          <w:tcPr>
            <w:tcW w:w="2295"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biaogecenter"/>
              <w:wordWrap w:val="0"/>
            </w:pPr>
            <w:r>
              <w:rPr>
                <w:rFonts w:hAnsi="Calibri" w:cs="宋体" w:hint="eastAsia"/>
                <w:color w:val="000000"/>
              </w:rPr>
              <w:lastRenderedPageBreak/>
              <w:t>合计</w:t>
            </w:r>
          </w:p>
        </w:tc>
        <w:tc>
          <w:tcPr>
            <w:tcW w:w="1215" w:type="dxa"/>
            <w:tcBorders>
              <w:top w:val="single" w:sz="8" w:space="0" w:color="000000"/>
              <w:left w:val="single" w:sz="8" w:space="0" w:color="000000"/>
              <w:bottom w:val="single" w:sz="6" w:space="0" w:color="000000"/>
              <w:right w:val="single" w:sz="8" w:space="0" w:color="000000"/>
            </w:tcBorders>
          </w:tcPr>
          <w:p w:rsidR="00000000" w:rsidRDefault="00A10140">
            <w:pPr>
              <w:widowControl/>
              <w:jc w:val="center"/>
              <w:textAlignment w:val="center"/>
            </w:pPr>
            <w:r>
              <w:rPr>
                <w:rFonts w:ascii="宋体" w:hAnsi="宋体" w:cs="宋体" w:hint="eastAsia"/>
                <w:color w:val="000000"/>
                <w:kern w:val="0"/>
                <w:sz w:val="24"/>
                <w:szCs w:val="24"/>
                <w:lang/>
              </w:rPr>
              <w:t>10,010,311.50</w:t>
            </w:r>
          </w:p>
        </w:tc>
        <w:tc>
          <w:tcPr>
            <w:tcW w:w="1350" w:type="dxa"/>
            <w:tcBorders>
              <w:top w:val="single" w:sz="8" w:space="0" w:color="000000"/>
              <w:left w:val="single" w:sz="8" w:space="0" w:color="000000"/>
              <w:bottom w:val="single" w:sz="6" w:space="0" w:color="000000"/>
              <w:right w:val="single" w:sz="8" w:space="0" w:color="000000"/>
            </w:tcBorders>
            <w:vAlign w:val="center"/>
          </w:tcPr>
          <w:p w:rsidR="00000000" w:rsidRDefault="00A10140">
            <w:pPr>
              <w:widowControl/>
              <w:jc w:val="center"/>
              <w:textAlignment w:val="center"/>
            </w:pPr>
            <w:r>
              <w:rPr>
                <w:rFonts w:ascii="宋体" w:hAnsi="宋体" w:cs="宋体" w:hint="eastAsia"/>
                <w:color w:val="000000"/>
                <w:kern w:val="0"/>
                <w:sz w:val="24"/>
                <w:szCs w:val="24"/>
                <w:lang/>
              </w:rPr>
              <w:t>99.99%</w:t>
            </w:r>
          </w:p>
        </w:tc>
        <w:tc>
          <w:tcPr>
            <w:tcW w:w="1095" w:type="dxa"/>
            <w:tcBorders>
              <w:top w:val="single" w:sz="8" w:space="0" w:color="000000"/>
              <w:left w:val="single" w:sz="8" w:space="0" w:color="000000"/>
              <w:bottom w:val="single" w:sz="6" w:space="0" w:color="000000"/>
              <w:right w:val="single" w:sz="8" w:space="0" w:color="000000"/>
            </w:tcBorders>
          </w:tcPr>
          <w:p w:rsidR="00000000" w:rsidRDefault="00A10140">
            <w:pPr>
              <w:widowControl/>
              <w:jc w:val="center"/>
              <w:textAlignment w:val="center"/>
            </w:pPr>
            <w:r>
              <w:rPr>
                <w:rFonts w:ascii="宋体" w:hAnsi="宋体" w:cs="宋体" w:hint="eastAsia"/>
                <w:color w:val="000000"/>
                <w:kern w:val="0"/>
                <w:sz w:val="24"/>
                <w:szCs w:val="24"/>
                <w:lang/>
              </w:rPr>
              <w:t>10,010,311.50</w:t>
            </w:r>
          </w:p>
        </w:tc>
        <w:tc>
          <w:tcPr>
            <w:tcW w:w="1275" w:type="dxa"/>
            <w:tcBorders>
              <w:top w:val="single" w:sz="8" w:space="0" w:color="000000"/>
              <w:left w:val="single" w:sz="8" w:space="0" w:color="000000"/>
              <w:bottom w:val="single" w:sz="6" w:space="0" w:color="000000"/>
              <w:right w:val="single" w:sz="8" w:space="0" w:color="000000"/>
            </w:tcBorders>
            <w:vAlign w:val="center"/>
          </w:tcPr>
          <w:p w:rsidR="00000000" w:rsidRDefault="00A10140">
            <w:pPr>
              <w:widowControl/>
              <w:jc w:val="center"/>
              <w:textAlignment w:val="center"/>
            </w:pPr>
            <w:r>
              <w:rPr>
                <w:rFonts w:ascii="宋体" w:hAnsi="宋体" w:cs="宋体" w:hint="eastAsia"/>
                <w:color w:val="000000"/>
                <w:kern w:val="0"/>
                <w:sz w:val="24"/>
                <w:szCs w:val="24"/>
                <w:lang/>
              </w:rPr>
              <w:t>99.99%</w:t>
            </w:r>
          </w:p>
        </w:tc>
        <w:tc>
          <w:tcPr>
            <w:tcW w:w="2268" w:type="dxa"/>
            <w:tcBorders>
              <w:top w:val="single" w:sz="8" w:space="0" w:color="000000"/>
              <w:left w:val="single" w:sz="8" w:space="0" w:color="000000"/>
              <w:bottom w:val="single" w:sz="6" w:space="0" w:color="000000"/>
              <w:right w:val="single" w:sz="8" w:space="0" w:color="000000"/>
            </w:tcBorders>
            <w:vAlign w:val="center"/>
          </w:tcPr>
          <w:p w:rsidR="00000000" w:rsidRDefault="00A10140">
            <w:pPr>
              <w:pStyle w:val="a7"/>
              <w:wordWrap w:val="0"/>
              <w:jc w:val="center"/>
            </w:pPr>
            <w:r>
              <w:rPr>
                <w:rFonts w:hint="eastAsia"/>
              </w:rPr>
              <w:t>自基金合同生效日起不少于</w:t>
            </w:r>
            <w:r>
              <w:t>3</w:t>
            </w:r>
            <w:r>
              <w:rPr>
                <w:rFonts w:hint="eastAsia"/>
              </w:rPr>
              <w:t>年</w:t>
            </w:r>
          </w:p>
        </w:tc>
      </w:tr>
    </w:tbl>
    <w:p w:rsidR="00000000" w:rsidRDefault="00A10140">
      <w:pPr>
        <w:widowControl/>
        <w:jc w:val="left"/>
        <w:rPr>
          <w:rFonts w:hint="eastAsia"/>
          <w:b/>
        </w:rPr>
      </w:pPr>
    </w:p>
    <w:p w:rsidR="00000000" w:rsidRDefault="00A10140">
      <w:pPr>
        <w:pStyle w:val="a7"/>
      </w:pPr>
      <w:r>
        <w:rPr>
          <w:rFonts w:hint="eastAsia"/>
          <w:b/>
        </w:rPr>
        <w:t>4</w:t>
      </w:r>
      <w:r>
        <w:rPr>
          <w:rFonts w:hint="eastAsia"/>
          <w:b/>
        </w:rPr>
        <w:t xml:space="preserve"> </w:t>
      </w:r>
      <w:r>
        <w:rPr>
          <w:b/>
        </w:rPr>
        <w:t>其他需要提示的事项</w:t>
      </w:r>
    </w:p>
    <w:p w:rsidR="00000000" w:rsidRDefault="00A10140">
      <w:pPr>
        <w:pStyle w:val="-"/>
        <w:ind w:firstLine="480"/>
        <w:rPr>
          <w:rFonts w:hint="eastAsia"/>
          <w:sz w:val="24"/>
          <w:szCs w:val="24"/>
        </w:rPr>
      </w:pPr>
      <w:r>
        <w:rPr>
          <w:rFonts w:hint="eastAsia"/>
          <w:sz w:val="24"/>
          <w:szCs w:val="24"/>
        </w:rPr>
        <w:t>（</w:t>
      </w:r>
      <w:r>
        <w:rPr>
          <w:rFonts w:hint="eastAsia"/>
          <w:sz w:val="24"/>
          <w:szCs w:val="24"/>
        </w:rPr>
        <w:t>1</w:t>
      </w:r>
      <w:r>
        <w:rPr>
          <w:rFonts w:hint="eastAsia"/>
          <w:sz w:val="24"/>
          <w:szCs w:val="24"/>
        </w:rPr>
        <w:t>）基金份额持有人可以到销售机构的网点进行交易确认单的查询和打印，也可以通过本公司的网站</w:t>
      </w:r>
      <w:r>
        <w:rPr>
          <w:rFonts w:hint="eastAsia"/>
          <w:sz w:val="24"/>
          <w:szCs w:val="24"/>
        </w:rPr>
        <w:t>(www.gthtzg.com)</w:t>
      </w:r>
      <w:r>
        <w:rPr>
          <w:rFonts w:hint="eastAsia"/>
          <w:sz w:val="24"/>
          <w:szCs w:val="24"/>
        </w:rPr>
        <w:t>或客户服务电话</w:t>
      </w:r>
      <w:r>
        <w:rPr>
          <w:rFonts w:hint="eastAsia"/>
          <w:sz w:val="24"/>
          <w:szCs w:val="24"/>
        </w:rPr>
        <w:t>(95521)</w:t>
      </w:r>
      <w:r>
        <w:rPr>
          <w:rFonts w:hint="eastAsia"/>
          <w:sz w:val="24"/>
          <w:szCs w:val="24"/>
        </w:rPr>
        <w:t>查询交易确认情况。</w:t>
      </w:r>
    </w:p>
    <w:p w:rsidR="00000000" w:rsidRDefault="00A10140">
      <w:pPr>
        <w:pStyle w:val="-"/>
        <w:ind w:firstLine="480"/>
        <w:rPr>
          <w:rFonts w:hint="eastAsia"/>
          <w:sz w:val="24"/>
          <w:szCs w:val="24"/>
        </w:rPr>
      </w:pPr>
      <w:r>
        <w:rPr>
          <w:rFonts w:hint="eastAsia"/>
          <w:sz w:val="24"/>
          <w:szCs w:val="24"/>
        </w:rPr>
        <w:t>（</w:t>
      </w:r>
      <w:r>
        <w:rPr>
          <w:rFonts w:hint="eastAsia"/>
          <w:sz w:val="24"/>
          <w:szCs w:val="24"/>
        </w:rPr>
        <w:t>2</w:t>
      </w:r>
      <w:r>
        <w:rPr>
          <w:rFonts w:hint="eastAsia"/>
          <w:sz w:val="24"/>
          <w:szCs w:val="24"/>
        </w:rPr>
        <w:t>）基金管理人可根据实际情况依法决定本基金开始办理申购的具体日期，基金管理人自基金合同生效之日起不超过三个月开始办理赎回。在确定了本基金开放申购、开放赎回的日期后，本基金管理人将于开始办理日前依照《公开募集证券投资基金信息披露管理办法》的有关规定在规定媒介上予以披露。</w:t>
      </w:r>
    </w:p>
    <w:p w:rsidR="00000000" w:rsidRDefault="00A10140">
      <w:pPr>
        <w:pStyle w:val="-"/>
        <w:ind w:firstLine="480"/>
        <w:rPr>
          <w:sz w:val="24"/>
          <w:szCs w:val="24"/>
        </w:rPr>
      </w:pPr>
    </w:p>
    <w:p w:rsidR="00000000" w:rsidRDefault="00A10140">
      <w:pPr>
        <w:pStyle w:val="-"/>
        <w:ind w:firstLine="480"/>
        <w:rPr>
          <w:rFonts w:hint="eastAsia"/>
          <w:sz w:val="24"/>
          <w:szCs w:val="24"/>
        </w:rPr>
      </w:pPr>
      <w:r>
        <w:rPr>
          <w:rFonts w:hint="eastAsia"/>
          <w:sz w:val="24"/>
          <w:szCs w:val="24"/>
        </w:rPr>
        <w:t>风险提示：</w:t>
      </w:r>
    </w:p>
    <w:p w:rsidR="00000000" w:rsidRDefault="00A10140">
      <w:pPr>
        <w:pStyle w:val="-"/>
        <w:ind w:firstLine="480"/>
        <w:rPr>
          <w:rFonts w:hint="eastAsia"/>
          <w:sz w:val="24"/>
          <w:szCs w:val="24"/>
        </w:rPr>
      </w:pPr>
      <w:r>
        <w:rPr>
          <w:rFonts w:hint="eastAsia"/>
          <w:sz w:val="24"/>
          <w:szCs w:val="24"/>
        </w:rPr>
        <w:t>本基金为发起式基金，在基金募集时，</w:t>
      </w:r>
      <w:r>
        <w:rPr>
          <w:rFonts w:hint="eastAsia"/>
          <w:sz w:val="24"/>
          <w:szCs w:val="24"/>
        </w:rPr>
        <w:t>发起资金提供方将认购本基金的金额不低于</w:t>
      </w:r>
      <w:r>
        <w:rPr>
          <w:rFonts w:hint="eastAsia"/>
          <w:sz w:val="24"/>
          <w:szCs w:val="24"/>
        </w:rPr>
        <w:t>1000</w:t>
      </w:r>
      <w:r>
        <w:rPr>
          <w:rFonts w:hint="eastAsia"/>
          <w:sz w:val="24"/>
          <w:szCs w:val="24"/>
        </w:rPr>
        <w:t>万元，且持有期限将不少于</w:t>
      </w:r>
      <w:r>
        <w:rPr>
          <w:rFonts w:hint="eastAsia"/>
          <w:sz w:val="24"/>
          <w:szCs w:val="24"/>
        </w:rPr>
        <w:t>3</w:t>
      </w:r>
      <w:r>
        <w:rPr>
          <w:rFonts w:hint="eastAsia"/>
          <w:sz w:val="24"/>
          <w:szCs w:val="24"/>
        </w:rPr>
        <w:t>年。发起资金提供方认购的基金份额持有期限满三年后，发起资金提供方将根据自身情况决定是否继续持有，届时，发起资金提供方有可能赎回认购的本基金份额。另外，《基金合同》生效之日起</w:t>
      </w:r>
      <w:r>
        <w:rPr>
          <w:rFonts w:hint="eastAsia"/>
          <w:sz w:val="24"/>
          <w:szCs w:val="24"/>
        </w:rPr>
        <w:t>3</w:t>
      </w:r>
      <w:r>
        <w:rPr>
          <w:rFonts w:hint="eastAsia"/>
          <w:sz w:val="24"/>
          <w:szCs w:val="24"/>
        </w:rPr>
        <w:t>年后的对应日，若基金资产净值低于</w:t>
      </w:r>
      <w:r>
        <w:rPr>
          <w:rFonts w:hint="eastAsia"/>
          <w:sz w:val="24"/>
          <w:szCs w:val="24"/>
        </w:rPr>
        <w:t>2</w:t>
      </w:r>
      <w:r>
        <w:rPr>
          <w:rFonts w:hint="eastAsia"/>
          <w:sz w:val="24"/>
          <w:szCs w:val="24"/>
        </w:rPr>
        <w:t>亿元，《基金合同》自动终止，且不得通过召开基金份额持有人大会的方式延续基金合同期限。《基金合同》生效满三年后，连续</w:t>
      </w:r>
      <w:r>
        <w:rPr>
          <w:rFonts w:hint="eastAsia"/>
          <w:sz w:val="24"/>
          <w:szCs w:val="24"/>
        </w:rPr>
        <w:t>50</w:t>
      </w:r>
      <w:r>
        <w:rPr>
          <w:rFonts w:hint="eastAsia"/>
          <w:sz w:val="24"/>
          <w:szCs w:val="24"/>
        </w:rPr>
        <w:t>个工作日出现基金份额持有人数量不满</w:t>
      </w:r>
      <w:r>
        <w:rPr>
          <w:rFonts w:hint="eastAsia"/>
          <w:sz w:val="24"/>
          <w:szCs w:val="24"/>
        </w:rPr>
        <w:t>200</w:t>
      </w:r>
      <w:r>
        <w:rPr>
          <w:rFonts w:hint="eastAsia"/>
          <w:sz w:val="24"/>
          <w:szCs w:val="24"/>
        </w:rPr>
        <w:t>人或者基金资产净值低于</w:t>
      </w:r>
      <w:r>
        <w:rPr>
          <w:rFonts w:hint="eastAsia"/>
          <w:sz w:val="24"/>
          <w:szCs w:val="24"/>
        </w:rPr>
        <w:t>5000</w:t>
      </w:r>
      <w:r>
        <w:rPr>
          <w:rFonts w:hint="eastAsia"/>
          <w:sz w:val="24"/>
          <w:szCs w:val="24"/>
        </w:rPr>
        <w:t>万元情形的，本基金将依据《基金合同》的约定进</w:t>
      </w:r>
      <w:r>
        <w:rPr>
          <w:rFonts w:hint="eastAsia"/>
          <w:sz w:val="24"/>
          <w:szCs w:val="24"/>
        </w:rPr>
        <w:t>入基金财产清算程序并终止，不需召开基金份额持有人大会。因此基金份额持有人将可能面临《基金合同》自动终止的风险。</w:t>
      </w:r>
    </w:p>
    <w:p w:rsidR="00000000" w:rsidRDefault="00A10140">
      <w:pPr>
        <w:pStyle w:val="-"/>
        <w:ind w:firstLine="480"/>
        <w:rPr>
          <w:rFonts w:hint="eastAsia"/>
          <w:sz w:val="24"/>
          <w:szCs w:val="24"/>
        </w:rPr>
      </w:pPr>
      <w:r>
        <w:rPr>
          <w:rFonts w:hint="eastAsia"/>
          <w:sz w:val="24"/>
          <w:szCs w:val="24"/>
        </w:rPr>
        <w:t>本基金管理人依照恪尽职守、诚实信用、谨慎勤勉的原则管理和运用本基金资产，但不保证本基金一定盈利，也不保证最低收益。本基金不提供任何保证。投资者可能损失投资本金。投资有风险，投资者购买基金时应认真阅读本基金的《基金合同》、《招募说明书》和《产品资料概要》等销售文件。</w:t>
      </w:r>
    </w:p>
    <w:p w:rsidR="00000000" w:rsidRDefault="00A10140">
      <w:pPr>
        <w:pStyle w:val="-"/>
        <w:ind w:firstLine="420"/>
        <w:rPr>
          <w:rFonts w:hint="eastAsia"/>
        </w:rPr>
      </w:pPr>
      <w:r>
        <w:rPr>
          <w:rFonts w:hint="eastAsia"/>
        </w:rPr>
        <w:t xml:space="preserve">    </w:t>
      </w:r>
    </w:p>
    <w:p w:rsidR="00000000" w:rsidRDefault="00A10140">
      <w:pPr>
        <w:widowControl/>
        <w:ind w:left="720"/>
        <w:jc w:val="left"/>
        <w:rPr>
          <w:rFonts w:hint="eastAsia"/>
          <w:bCs/>
          <w:color w:val="000000"/>
          <w:szCs w:val="21"/>
        </w:rPr>
      </w:pPr>
    </w:p>
    <w:p w:rsidR="00000000" w:rsidRDefault="00A10140">
      <w:pPr>
        <w:pStyle w:val="biaogeright"/>
      </w:pPr>
      <w:r>
        <w:rPr>
          <w:rFonts w:hAnsi="Calibri" w:cs="宋体" w:hint="eastAsia"/>
          <w:b/>
          <w:color w:val="000000"/>
        </w:rPr>
        <w:t>上海国泰海通证券资产管理有限公司</w:t>
      </w:r>
    </w:p>
    <w:p w:rsidR="005462E3" w:rsidRDefault="00A10140">
      <w:pPr>
        <w:widowControl/>
        <w:spacing w:after="240"/>
        <w:jc w:val="right"/>
        <w:rPr>
          <w:sz w:val="24"/>
          <w:szCs w:val="28"/>
        </w:rPr>
      </w:pPr>
      <w:r>
        <w:rPr>
          <w:rFonts w:cs="宋体" w:hint="eastAsia"/>
          <w:b/>
          <w:color w:val="000000"/>
          <w:szCs w:val="28"/>
        </w:rPr>
        <w:t>2026</w:t>
      </w:r>
      <w:r>
        <w:rPr>
          <w:rFonts w:cs="宋体" w:hint="eastAsia"/>
          <w:b/>
          <w:color w:val="000000"/>
          <w:szCs w:val="28"/>
        </w:rPr>
        <w:t>年</w:t>
      </w:r>
      <w:r>
        <w:rPr>
          <w:rFonts w:cs="宋体" w:hint="eastAsia"/>
          <w:b/>
          <w:color w:val="000000"/>
          <w:szCs w:val="28"/>
        </w:rPr>
        <w:t>01</w:t>
      </w:r>
      <w:r>
        <w:rPr>
          <w:rFonts w:cs="宋体" w:hint="eastAsia"/>
          <w:b/>
          <w:color w:val="000000"/>
          <w:szCs w:val="28"/>
        </w:rPr>
        <w:t>月</w:t>
      </w:r>
      <w:r>
        <w:rPr>
          <w:rFonts w:cs="宋体" w:hint="eastAsia"/>
          <w:b/>
          <w:color w:val="000000"/>
          <w:szCs w:val="28"/>
        </w:rPr>
        <w:t>21</w:t>
      </w:r>
      <w:r>
        <w:rPr>
          <w:rFonts w:cs="宋体" w:hint="eastAsia"/>
          <w:b/>
          <w:color w:val="000000"/>
          <w:szCs w:val="28"/>
        </w:rPr>
        <w:t>日</w:t>
      </w:r>
      <w:r>
        <w:rPr>
          <w:rFonts w:ascii="宋体" w:hAnsi="宋体" w:cs="宋体"/>
          <w:sz w:val="32"/>
          <w:szCs w:val="32"/>
        </w:rPr>
        <w:br/>
      </w:r>
    </w:p>
    <w:sectPr w:rsidR="005462E3">
      <w:headerReference w:type="even" r:id="rId7"/>
      <w:headerReference w:type="default" r:id="rId8"/>
      <w:headerReference w:type="first" r:id="rId9"/>
      <w:pgSz w:w="11926" w:h="15840"/>
      <w:pgMar w:top="1418" w:right="1418" w:bottom="853" w:left="1418"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A10140">
      <w:r>
        <w:separator/>
      </w:r>
    </w:p>
  </w:endnote>
  <w:endnote w:type="continuationSeparator" w:id="0">
    <w:p w:rsidR="00000000" w:rsidRDefault="00A101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A10140">
      <w:r>
        <w:separator/>
      </w:r>
    </w:p>
  </w:footnote>
  <w:footnote w:type="continuationSeparator" w:id="0">
    <w:p w:rsidR="00000000" w:rsidRDefault="00A101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1014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width:375pt;height:450pt;z-index:251656704;mso-position-horizontal:center;mso-position-horizontal-relative:page;mso-position-vertical:center;mso-position-vertical-relative:page">
          <v:imagedata r:id="rId1" o:title=""/>
          <o:lock v:ext="edit" aspectratio="f"/>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1014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0;width:375pt;height:450pt;z-index:251657728;mso-position-horizontal:center;mso-position-horizontal-relative:page;mso-position-vertical:center;mso-position-vertical-relative:page">
          <v:imagedata r:id="rId1" o:title=""/>
          <o:lock v:ext="edit" aspectratio="f"/>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1014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0;width:375pt;height:450pt;z-index:251658752;mso-position-horizontal:center;mso-position-horizontal-relative:page;mso-position-vertical:center;mso-position-vertical-relative:page">
          <v:imagedata r:id="rId1" o:title=""/>
          <o:lock v:ext="edit" aspectratio="f"/>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doNotExpandShiftReturn/>
    <w:doNotBreakWrappedTables/>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05586"/>
    <w:rsid w:val="00A10140"/>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qFormat/>
    <w:pPr>
      <w:widowControl/>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qFormat/>
    <w:pPr>
      <w:widowControl/>
      <w:spacing w:before="100" w:beforeAutospacing="1" w:after="100" w:afterAutospacing="1"/>
      <w:jc w:val="left"/>
      <w:outlineLvl w:val="1"/>
    </w:pPr>
    <w:rPr>
      <w:rFonts w:ascii="宋体" w:hAnsi="宋体" w:hint="eastAsia"/>
      <w:b/>
      <w:kern w:val="0"/>
      <w:sz w:val="36"/>
      <w:szCs w:val="36"/>
    </w:rPr>
  </w:style>
  <w:style w:type="paragraph" w:styleId="3">
    <w:name w:val="heading 3"/>
    <w:basedOn w:val="a"/>
    <w:next w:val="a"/>
    <w:qFormat/>
    <w:pPr>
      <w:widowControl/>
      <w:spacing w:before="100" w:beforeAutospacing="1" w:after="100" w:afterAutospacing="1"/>
      <w:jc w:val="left"/>
      <w:outlineLvl w:val="2"/>
    </w:pPr>
    <w:rPr>
      <w:rFonts w:ascii="宋体" w:hAnsi="宋体" w:hint="eastAsia"/>
      <w:b/>
      <w:kern w:val="0"/>
      <w:sz w:val="27"/>
      <w:szCs w:val="27"/>
    </w:rPr>
  </w:style>
  <w:style w:type="paragraph" w:styleId="4">
    <w:name w:val="heading 4"/>
    <w:basedOn w:val="a"/>
    <w:next w:val="a"/>
    <w:qFormat/>
    <w:pPr>
      <w:widowControl/>
      <w:spacing w:before="100" w:beforeAutospacing="1" w:after="100" w:afterAutospacing="1"/>
      <w:jc w:val="left"/>
      <w:outlineLvl w:val="3"/>
    </w:pPr>
    <w:rPr>
      <w:rFonts w:ascii="宋体" w:hAnsi="宋体" w:hint="eastAsia"/>
      <w:b/>
      <w:kern w:val="0"/>
      <w:sz w:val="24"/>
      <w:szCs w:val="24"/>
    </w:rPr>
  </w:style>
  <w:style w:type="paragraph" w:styleId="5">
    <w:name w:val="heading 5"/>
    <w:basedOn w:val="a"/>
    <w:next w:val="a"/>
    <w:qFormat/>
    <w:pPr>
      <w:widowControl/>
      <w:spacing w:before="100" w:beforeAutospacing="1" w:after="100" w:afterAutospacing="1"/>
      <w:jc w:val="left"/>
      <w:outlineLvl w:val="4"/>
    </w:pPr>
    <w:rPr>
      <w:rFonts w:ascii="宋体" w:hAnsi="宋体" w:hint="eastAsia"/>
      <w:b/>
      <w:kern w:val="0"/>
      <w:sz w:val="20"/>
      <w:szCs w:val="20"/>
    </w:rPr>
  </w:style>
  <w:style w:type="paragraph" w:styleId="6">
    <w:name w:val="heading 6"/>
    <w:basedOn w:val="a"/>
    <w:next w:val="a"/>
    <w:qFormat/>
    <w:pPr>
      <w:widowControl/>
      <w:spacing w:before="100" w:beforeAutospacing="1" w:after="100" w:afterAutospacing="1"/>
      <w:jc w:val="left"/>
      <w:outlineLvl w:val="5"/>
    </w:pPr>
    <w:rPr>
      <w:rFonts w:ascii="宋体" w:hAnsi="宋体" w:hint="eastAsia"/>
      <w:b/>
      <w:kern w:val="0"/>
      <w:sz w:val="15"/>
      <w:szCs w:val="15"/>
    </w:rPr>
  </w:style>
  <w:style w:type="character" w:default="1" w:styleId="a1">
    <w:name w:val="Default Paragraph Font"/>
    <w:semiHidden/>
  </w:style>
  <w:style w:type="table" w:default="1" w:styleId="a2">
    <w:name w:val="Normal Table"/>
    <w:semiHidden/>
    <w:tblPr>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semiHidden/>
    <w:qFormat/>
    <w:rPr>
      <w:sz w:val="18"/>
      <w:szCs w:val="18"/>
    </w:rPr>
  </w:style>
  <w:style w:type="paragraph" w:styleId="a4">
    <w:name w:val="annotation text"/>
    <w:basedOn w:val="a"/>
    <w:link w:val="Char"/>
    <w:pPr>
      <w:jc w:val="left"/>
    </w:pPr>
  </w:style>
  <w:style w:type="character" w:customStyle="1" w:styleId="Char">
    <w:name w:val="批注文字 Char"/>
    <w:link w:val="a4"/>
    <w:rPr>
      <w:rFonts w:cs="Times New Roman"/>
      <w:kern w:val="2"/>
      <w:sz w:val="21"/>
      <w:szCs w:val="22"/>
    </w:rPr>
  </w:style>
  <w:style w:type="paragraph" w:styleId="a5">
    <w:name w:val="footer"/>
    <w:basedOn w:val="a"/>
    <w:link w:val="Char0"/>
    <w:pPr>
      <w:tabs>
        <w:tab w:val="center" w:pos="4153"/>
        <w:tab w:val="right" w:pos="8306"/>
      </w:tabs>
      <w:snapToGrid w:val="0"/>
      <w:jc w:val="left"/>
    </w:pPr>
    <w:rPr>
      <w:rFonts w:ascii="Calibri" w:hAnsi="Calibri"/>
      <w:sz w:val="18"/>
      <w:szCs w:val="18"/>
    </w:rPr>
  </w:style>
  <w:style w:type="character" w:customStyle="1" w:styleId="Char0">
    <w:name w:val="页脚 Char"/>
    <w:link w:val="a5"/>
    <w:locked/>
    <w:rPr>
      <w:rFonts w:ascii="Times New Roman" w:hAnsi="Times New Roman" w:cs="Times New Roman" w:hint="default"/>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1">
    <w:name w:val="页眉 Char"/>
    <w:link w:val="a6"/>
    <w:locked/>
    <w:rPr>
      <w:rFonts w:ascii="Times New Roman" w:hAnsi="Times New Roman" w:cs="Times New Roman" w:hint="default"/>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7">
    <w:name w:val="Normal (Web)"/>
    <w:basedOn w:val="a"/>
    <w:pPr>
      <w:widowControl/>
      <w:spacing w:before="100" w:beforeAutospacing="1" w:after="100" w:afterAutospacing="1"/>
      <w:jc w:val="left"/>
    </w:pPr>
    <w:rPr>
      <w:rFonts w:ascii="宋体" w:hAnsi="宋体"/>
      <w:kern w:val="0"/>
      <w:sz w:val="24"/>
      <w:szCs w:val="24"/>
    </w:rPr>
  </w:style>
  <w:style w:type="paragraph" w:styleId="a8">
    <w:name w:val="annotation subject"/>
    <w:basedOn w:val="a4"/>
    <w:next w:val="a4"/>
    <w:link w:val="Char2"/>
    <w:rPr>
      <w:b/>
      <w:bCs/>
    </w:rPr>
  </w:style>
  <w:style w:type="character" w:customStyle="1" w:styleId="Char2">
    <w:name w:val="批注主题 Char"/>
    <w:link w:val="a8"/>
    <w:rPr>
      <w:rFonts w:cs="Times New Roman"/>
      <w:b/>
      <w:bCs/>
      <w:kern w:val="2"/>
      <w:sz w:val="21"/>
      <w:szCs w:val="22"/>
    </w:rPr>
  </w:style>
  <w:style w:type="character" w:styleId="a9">
    <w:name w:val="annotation reference"/>
    <w:rPr>
      <w:sz w:val="21"/>
      <w:szCs w:val="21"/>
    </w:rPr>
  </w:style>
  <w:style w:type="paragraph" w:customStyle="1" w:styleId="zhongyaotishi">
    <w:name w:val="zhongyaotishi"/>
    <w:basedOn w:val="a"/>
    <w:pPr>
      <w:widowControl/>
      <w:autoSpaceDE w:val="0"/>
      <w:autoSpaceDN w:val="0"/>
      <w:adjustRightInd w:val="0"/>
      <w:spacing w:before="30" w:line="288" w:lineRule="auto"/>
      <w:ind w:left="15" w:firstLine="482"/>
      <w:jc w:val="left"/>
    </w:pPr>
    <w:rPr>
      <w:rFonts w:ascii="宋体" w:hAnsi="宋体"/>
      <w:kern w:val="0"/>
      <w:sz w:val="24"/>
      <w:szCs w:val="24"/>
    </w:rPr>
  </w:style>
  <w:style w:type="paragraph" w:customStyle="1" w:styleId="biaogeright1">
    <w:name w:val="biaoge_right1"/>
    <w:basedOn w:val="a"/>
    <w:pPr>
      <w:widowControl/>
      <w:autoSpaceDE w:val="0"/>
      <w:autoSpaceDN w:val="0"/>
      <w:adjustRightInd w:val="0"/>
      <w:spacing w:before="29" w:line="288" w:lineRule="auto"/>
      <w:ind w:left="15"/>
      <w:jc w:val="right"/>
    </w:pPr>
    <w:rPr>
      <w:rFonts w:ascii="宋体" w:hAnsi="宋体"/>
      <w:kern w:val="0"/>
      <w:sz w:val="24"/>
      <w:szCs w:val="24"/>
    </w:rPr>
  </w:style>
  <w:style w:type="paragraph" w:customStyle="1" w:styleId="biaogeleft11">
    <w:name w:val="biaoge_left11"/>
    <w:basedOn w:val="a"/>
    <w:pPr>
      <w:widowControl/>
      <w:autoSpaceDE w:val="0"/>
      <w:autoSpaceDN w:val="0"/>
      <w:adjustRightInd w:val="0"/>
      <w:spacing w:before="29" w:line="288" w:lineRule="auto"/>
      <w:ind w:left="15"/>
      <w:jc w:val="left"/>
    </w:pPr>
    <w:rPr>
      <w:rFonts w:ascii="宋体" w:hAnsi="宋体"/>
      <w:kern w:val="0"/>
      <w:sz w:val="24"/>
      <w:szCs w:val="24"/>
    </w:rPr>
  </w:style>
  <w:style w:type="paragraph" w:customStyle="1" w:styleId="msonormalfy">
    <w:name w:val="msonormalfy"/>
    <w:basedOn w:val="a"/>
    <w:pPr>
      <w:jc w:val="center"/>
    </w:pPr>
    <w:rPr>
      <w:rFonts w:ascii="Calibri" w:hAnsi="Calibri"/>
      <w:sz w:val="33"/>
    </w:rPr>
  </w:style>
  <w:style w:type="paragraph" w:customStyle="1" w:styleId="zhangjiep2">
    <w:name w:val="zhangjie_p2"/>
    <w:basedOn w:val="a"/>
    <w:pPr>
      <w:widowControl/>
      <w:autoSpaceDE w:val="0"/>
      <w:autoSpaceDN w:val="0"/>
      <w:adjustRightInd w:val="0"/>
      <w:spacing w:before="24" w:line="288" w:lineRule="auto"/>
      <w:ind w:left="15"/>
      <w:jc w:val="left"/>
    </w:pPr>
    <w:rPr>
      <w:rFonts w:ascii="宋体" w:hAnsi="宋体"/>
      <w:kern w:val="0"/>
      <w:sz w:val="24"/>
      <w:szCs w:val="24"/>
    </w:rPr>
  </w:style>
  <w:style w:type="paragraph" w:customStyle="1" w:styleId="biaogeright">
    <w:name w:val="biaoge_right"/>
    <w:basedOn w:val="a"/>
    <w:pPr>
      <w:widowControl/>
      <w:autoSpaceDE w:val="0"/>
      <w:autoSpaceDN w:val="0"/>
      <w:adjustRightInd w:val="0"/>
      <w:spacing w:before="29" w:line="288" w:lineRule="auto"/>
      <w:ind w:left="15"/>
      <w:jc w:val="right"/>
    </w:pPr>
    <w:rPr>
      <w:rFonts w:ascii="宋体" w:hAnsi="宋体"/>
      <w:kern w:val="0"/>
      <w:sz w:val="24"/>
      <w:szCs w:val="24"/>
    </w:rPr>
  </w:style>
  <w:style w:type="paragraph" w:customStyle="1" w:styleId="msonormalnone">
    <w:name w:val="msonormal_none"/>
    <w:basedOn w:val="a"/>
    <w:pPr>
      <w:jc w:val="left"/>
    </w:pPr>
    <w:rPr>
      <w:rFonts w:ascii="Calibri" w:hAnsi="Calibri"/>
    </w:rPr>
  </w:style>
  <w:style w:type="paragraph" w:customStyle="1" w:styleId="biaogecenter">
    <w:name w:val="biaoge_center"/>
    <w:basedOn w:val="a"/>
    <w:pPr>
      <w:widowControl/>
      <w:autoSpaceDE w:val="0"/>
      <w:autoSpaceDN w:val="0"/>
      <w:adjustRightInd w:val="0"/>
      <w:spacing w:before="29" w:line="288" w:lineRule="auto"/>
      <w:ind w:left="15"/>
      <w:jc w:val="center"/>
    </w:pPr>
    <w:rPr>
      <w:rFonts w:ascii="宋体" w:hAnsi="宋体"/>
      <w:kern w:val="0"/>
      <w:sz w:val="24"/>
      <w:szCs w:val="24"/>
    </w:rPr>
  </w:style>
  <w:style w:type="paragraph" w:customStyle="1" w:styleId="neirong">
    <w:name w:val="neirong"/>
    <w:basedOn w:val="a"/>
    <w:pPr>
      <w:widowControl/>
      <w:autoSpaceDE w:val="0"/>
      <w:autoSpaceDN w:val="0"/>
      <w:adjustRightInd w:val="0"/>
      <w:spacing w:before="29" w:line="288" w:lineRule="auto"/>
      <w:ind w:left="15"/>
      <w:jc w:val="left"/>
    </w:pPr>
    <w:rPr>
      <w:rFonts w:ascii="宋体" w:hAnsi="宋体"/>
      <w:kern w:val="0"/>
      <w:sz w:val="24"/>
      <w:szCs w:val="24"/>
    </w:rPr>
  </w:style>
  <w:style w:type="paragraph" w:customStyle="1" w:styleId="dazhangjie">
    <w:name w:val="dazhangjie"/>
    <w:basedOn w:val="a"/>
    <w:pPr>
      <w:widowControl/>
      <w:autoSpaceDE w:val="0"/>
      <w:autoSpaceDN w:val="0"/>
      <w:adjustRightInd w:val="0"/>
      <w:spacing w:before="30" w:line="288" w:lineRule="auto"/>
      <w:ind w:left="15"/>
      <w:jc w:val="left"/>
      <w:outlineLvl w:val="0"/>
    </w:pPr>
    <w:rPr>
      <w:rFonts w:ascii="宋体" w:hAnsi="宋体"/>
      <w:kern w:val="0"/>
      <w:sz w:val="24"/>
      <w:szCs w:val="24"/>
    </w:rPr>
  </w:style>
  <w:style w:type="paragraph" w:customStyle="1" w:styleId="msonormal1">
    <w:name w:val="msonormal1"/>
    <w:basedOn w:val="a"/>
    <w:rPr>
      <w:rFonts w:ascii="Calibri" w:hAnsi="Calibri"/>
    </w:rPr>
  </w:style>
  <w:style w:type="paragraph" w:customStyle="1" w:styleId="zhangjiep">
    <w:name w:val="zhangjie_p"/>
    <w:basedOn w:val="a"/>
    <w:pPr>
      <w:widowControl/>
      <w:autoSpaceDE w:val="0"/>
      <w:autoSpaceDN w:val="0"/>
      <w:adjustRightInd w:val="0"/>
      <w:spacing w:before="24" w:line="288" w:lineRule="auto"/>
      <w:ind w:left="15"/>
      <w:jc w:val="left"/>
      <w:outlineLvl w:val="1"/>
    </w:pPr>
    <w:rPr>
      <w:rFonts w:ascii="宋体" w:hAnsi="宋体"/>
      <w:kern w:val="0"/>
      <w:sz w:val="24"/>
      <w:szCs w:val="24"/>
    </w:rPr>
  </w:style>
  <w:style w:type="paragraph" w:customStyle="1" w:styleId="show">
    <w:name w:val="show"/>
    <w:basedOn w:val="a"/>
    <w:pPr>
      <w:widowControl/>
      <w:jc w:val="left"/>
    </w:pPr>
    <w:rPr>
      <w:rFonts w:ascii="宋体" w:hAnsi="宋体"/>
      <w:kern w:val="0"/>
      <w:sz w:val="24"/>
      <w:szCs w:val="24"/>
    </w:rPr>
  </w:style>
  <w:style w:type="paragraph" w:customStyle="1" w:styleId="hide">
    <w:name w:val="hide"/>
    <w:basedOn w:val="a"/>
    <w:pPr>
      <w:widowControl/>
      <w:jc w:val="left"/>
    </w:pPr>
    <w:rPr>
      <w:rFonts w:ascii="宋体" w:hAnsi="宋体"/>
      <w:vanish/>
      <w:kern w:val="0"/>
      <w:sz w:val="24"/>
      <w:szCs w:val="24"/>
    </w:rPr>
  </w:style>
  <w:style w:type="paragraph" w:customStyle="1" w:styleId="biaogeleft">
    <w:name w:val="biaoge_left"/>
    <w:basedOn w:val="a"/>
    <w:pPr>
      <w:widowControl/>
      <w:autoSpaceDE w:val="0"/>
      <w:autoSpaceDN w:val="0"/>
      <w:adjustRightInd w:val="0"/>
      <w:spacing w:before="29" w:line="288" w:lineRule="auto"/>
      <w:ind w:left="15"/>
      <w:jc w:val="left"/>
    </w:pPr>
    <w:rPr>
      <w:rFonts w:ascii="宋体" w:hAnsi="宋体"/>
      <w:kern w:val="0"/>
      <w:sz w:val="24"/>
      <w:szCs w:val="24"/>
    </w:rPr>
  </w:style>
  <w:style w:type="paragraph" w:customStyle="1" w:styleId="-">
    <w:name w:val="模板-正文"/>
    <w:basedOn w:val="a7"/>
    <w:qFormat/>
    <w:pPr>
      <w:shd w:val="clear" w:color="auto" w:fill="FFFFFF"/>
      <w:snapToGrid w:val="0"/>
      <w:spacing w:before="0" w:beforeAutospacing="0" w:after="0" w:afterAutospacing="0" w:line="360" w:lineRule="auto"/>
      <w:ind w:firstLineChars="200" w:firstLine="200"/>
      <w:jc w:val="both"/>
    </w:pPr>
    <w:rPr>
      <w:color w:val="222222"/>
      <w:sz w:val="21"/>
      <w:szCs w:val="21"/>
    </w:rPr>
  </w:style>
  <w:style w:type="paragraph" w:styleId="aa">
    <w:name w:val="Revision"/>
    <w:uiPriority w:val="99"/>
    <w:unhideWhenUsed/>
    <w:rPr>
      <w:kern w:val="2"/>
      <w:sz w:val="21"/>
      <w:szCs w:val="22"/>
    </w:rPr>
  </w:style>
  <w:style w:type="character" w:customStyle="1" w:styleId="da">
    <w:name w:val="da"/>
    <w:qFormat/>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339</Words>
  <Characters>1934</Characters>
  <Application>Microsoft Office Word</Application>
  <DocSecurity>4</DocSecurity>
  <Lines>16</Lines>
  <Paragraphs>4</Paragraphs>
  <ScaleCrop>false</ScaleCrop>
  <Manager/>
  <Company/>
  <LinksUpToDate>false</LinksUpToDate>
  <CharactersWithSpaces>2269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ZHONGM</cp:lastModifiedBy>
  <cp:revision>2</cp:revision>
  <cp:lastPrinted>1601-01-01T00:00:00Z</cp:lastPrinted>
  <dcterms:created xsi:type="dcterms:W3CDTF">2026-01-20T16:03:00Z</dcterms:created>
  <dcterms:modified xsi:type="dcterms:W3CDTF">2026-01-20T16:03:00Z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JA">
    <vt:lpwstr>国泰君安证券股份有限公司*国泰海通证券资产管理公司：国泰海通低碳经济睿选混合型发起式证券投资基金基金合同生效公告，烦请于明天（2026年1月21日）发布，谢谢*zhanghaowen@gtht.com*lkl@ssnews.com.cn * *chengang5@gtht.com,liyan11@gtht.com *2026-01-20 20:07:57;</vt:lpwstr>
  </property>
  <property fmtid="{D5CDD505-2E9C-101B-9397-08002B2CF9AE}" pid="3" name="ICV">
    <vt:lpwstr>791541A1FDFA40CF90FCC63FB46ECA50_13</vt:lpwstr>
  </property>
  <property fmtid="{D5CDD505-2E9C-101B-9397-08002B2CF9AE}" pid="4" name="KSOProductBuildVer">
    <vt:lpwstr>2052-12.8.2.18606</vt:lpwstr>
  </property>
</Properties>
</file>