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A91AB7"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汇添富科技领先混合型证券投资基金基金合同生效公告</w:t>
      </w:r>
    </w:p>
    <w:p w:rsidR="00BA11B5" w:rsidRPr="006E6164" w:rsidRDefault="00A91AB7"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2026</w:t>
      </w:r>
      <w:r w:rsidRPr="006E6164">
        <w:rPr>
          <w:rFonts w:asciiTheme="minorEastAsia" w:hAnsiTheme="minorEastAsia"/>
          <w:sz w:val="24"/>
          <w:szCs w:val="24"/>
        </w:rPr>
        <w:t>年</w:t>
      </w:r>
      <w:r w:rsidRPr="006E6164">
        <w:rPr>
          <w:rFonts w:asciiTheme="minorEastAsia" w:hAnsiTheme="minorEastAsia"/>
          <w:sz w:val="24"/>
          <w:szCs w:val="24"/>
        </w:rPr>
        <w:t>01</w:t>
      </w:r>
      <w:r w:rsidRPr="006E6164">
        <w:rPr>
          <w:rFonts w:asciiTheme="minorEastAsia" w:hAnsiTheme="minorEastAsia"/>
          <w:sz w:val="24"/>
          <w:szCs w:val="24"/>
        </w:rPr>
        <w:t>月</w:t>
      </w:r>
      <w:r w:rsidRPr="006E6164">
        <w:rPr>
          <w:rFonts w:asciiTheme="minorEastAsia" w:hAnsiTheme="minorEastAsia"/>
          <w:sz w:val="24"/>
          <w:szCs w:val="24"/>
        </w:rPr>
        <w:t>21</w:t>
      </w:r>
      <w:r w:rsidRPr="006E6164">
        <w:rPr>
          <w:rFonts w:asciiTheme="minorEastAsia" w:hAnsiTheme="minorEastAsia"/>
          <w:sz w:val="24"/>
          <w:szCs w:val="24"/>
        </w:rPr>
        <w:t>日</w:t>
      </w:r>
    </w:p>
    <w:p w:rsidR="00BA11B5" w:rsidRPr="006E6164" w:rsidRDefault="00A91AB7"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360"/>
        <w:gridCol w:w="3360"/>
      </w:tblGrid>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汇添富科技领先混合型证券投资基金</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汇添富科技领先混合</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025880</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01</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20</w:t>
            </w:r>
            <w:r w:rsidRPr="006E6164">
              <w:rPr>
                <w:rFonts w:ascii="宋体" w:eastAsia="宋体" w:hAnsi="宋体" w:cs="宋体"/>
                <w:color w:val="000000"/>
                <w:sz w:val="24"/>
                <w:szCs w:val="24"/>
              </w:rPr>
              <w:t>日</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中国工商银行股份有限公司</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2"/>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根据《中华人民共和国证券投资基金法》及其配套法规和《汇添富科技领先混合型证券投资基金基金合同》的有关规定。</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336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汇添富科技领先混合</w:t>
            </w:r>
            <w:r w:rsidRPr="006E6164">
              <w:rPr>
                <w:rFonts w:ascii="宋体" w:eastAsia="宋体" w:hAnsi="宋体" w:cs="宋体"/>
                <w:color w:val="000000"/>
                <w:sz w:val="24"/>
                <w:szCs w:val="24"/>
              </w:rPr>
              <w:t>A</w:t>
            </w:r>
          </w:p>
        </w:tc>
        <w:tc>
          <w:tcPr>
            <w:tcW w:w="336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汇添富科技领先混合</w:t>
            </w:r>
            <w:r w:rsidRPr="006E6164">
              <w:rPr>
                <w:rFonts w:ascii="宋体" w:eastAsia="宋体" w:hAnsi="宋体" w:cs="宋体"/>
                <w:color w:val="000000"/>
                <w:sz w:val="24"/>
                <w:szCs w:val="24"/>
              </w:rPr>
              <w:t>C</w:t>
            </w:r>
          </w:p>
        </w:tc>
      </w:tr>
      <w:tr w:rsidR="002C7193">
        <w:tc>
          <w:tcPr>
            <w:tcW w:w="288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336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025880</w:t>
            </w:r>
          </w:p>
        </w:tc>
        <w:tc>
          <w:tcPr>
            <w:tcW w:w="3360" w:type="dxa"/>
            <w:tcBorders>
              <w:left w:val="single" w:sz="4" w:space="0" w:color="000000"/>
              <w:right w:val="single" w:sz="4" w:space="0" w:color="000000"/>
            </w:tcBorders>
            <w:shd w:val="clear" w:color="auto" w:fill="FFFFFF"/>
            <w:vAlign w:val="center"/>
          </w:tcPr>
          <w:p w:rsidR="002C7193"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025881</w:t>
            </w:r>
          </w:p>
        </w:tc>
      </w:tr>
    </w:tbl>
    <w:p w:rsidR="002C7193" w:rsidRPr="006E6164" w:rsidRDefault="002C7193" w:rsidP="006E6164">
      <w:pPr>
        <w:rPr>
          <w:rFonts w:asciiTheme="minorEastAsia" w:hAnsiTheme="minorEastAsia"/>
          <w:sz w:val="24"/>
          <w:szCs w:val="24"/>
        </w:rPr>
      </w:pPr>
      <w:bookmarkStart w:id="0" w:name="_GoBack"/>
      <w:bookmarkEnd w:id="0"/>
    </w:p>
    <w:p w:rsidR="006E6164" w:rsidRPr="006E6164" w:rsidRDefault="006E6164" w:rsidP="006E6164">
      <w:pPr>
        <w:spacing w:line="360" w:lineRule="auto"/>
        <w:rPr>
          <w:rFonts w:asciiTheme="minorEastAsia" w:hAnsiTheme="minorEastAsia"/>
          <w:szCs w:val="21"/>
        </w:rPr>
      </w:pPr>
    </w:p>
    <w:p w:rsidR="00BA11B5" w:rsidRPr="006E6164" w:rsidRDefault="00A91AB7"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2400"/>
        <w:gridCol w:w="2400"/>
        <w:gridCol w:w="2400"/>
      </w:tblGrid>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2233</w:t>
            </w:r>
            <w:r w:rsidRPr="006E6164">
              <w:rPr>
                <w:rFonts w:ascii="宋体" w:eastAsia="宋体" w:hAnsi="宋体" w:cs="宋体"/>
                <w:color w:val="000000"/>
                <w:sz w:val="24"/>
                <w:szCs w:val="24"/>
              </w:rPr>
              <w:t>号</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400" w:type="dxa"/>
            <w:tcBorders>
              <w:left w:val="single" w:sz="4" w:space="0" w:color="000000"/>
              <w:right w:val="single" w:sz="4" w:space="0" w:color="FFFFFF"/>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01</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05</w:t>
            </w:r>
            <w:r w:rsidRPr="006E6164">
              <w:rPr>
                <w:rFonts w:ascii="宋体" w:eastAsia="宋体" w:hAnsi="宋体" w:cs="宋体"/>
                <w:color w:val="000000"/>
                <w:sz w:val="24"/>
                <w:szCs w:val="24"/>
              </w:rPr>
              <w:t>日</w:t>
            </w:r>
          </w:p>
        </w:tc>
        <w:tc>
          <w:tcPr>
            <w:tcW w:w="4800" w:type="dxa"/>
            <w:gridSpan w:val="2"/>
            <w:tcBorders>
              <w:left w:val="single" w:sz="4" w:space="0" w:color="FFFFFF"/>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01</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16</w:t>
            </w:r>
            <w:r w:rsidRPr="006E6164">
              <w:rPr>
                <w:rFonts w:ascii="宋体" w:eastAsia="宋体" w:hAnsi="宋体" w:cs="宋体"/>
                <w:color w:val="000000"/>
                <w:sz w:val="24"/>
                <w:szCs w:val="24"/>
              </w:rPr>
              <w:t>日</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01</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20</w:t>
            </w:r>
            <w:r w:rsidRPr="006E6164">
              <w:rPr>
                <w:rFonts w:ascii="宋体" w:eastAsia="宋体" w:hAnsi="宋体" w:cs="宋体"/>
                <w:color w:val="000000"/>
                <w:sz w:val="24"/>
                <w:szCs w:val="24"/>
              </w:rPr>
              <w:t>日</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198,552</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1,714,831,147.40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988,197,725.81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2,703,028,873.21 </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418,316.39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131,080.38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549,396.77 </w:t>
            </w:r>
          </w:p>
        </w:tc>
      </w:tr>
      <w:tr w:rsidR="002C7193">
        <w:tc>
          <w:tcPr>
            <w:tcW w:w="1200" w:type="dxa"/>
            <w:vMerge w:val="restart"/>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1,714,831,147.40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988,197,725.81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2,703,028,873.21 </w:t>
            </w:r>
          </w:p>
        </w:tc>
      </w:tr>
      <w:tr w:rsidR="002C7193">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418,316.39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131,080.38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549,396.77 </w:t>
            </w:r>
          </w:p>
        </w:tc>
      </w:tr>
      <w:tr w:rsidR="002C7193">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1,715,249,463.79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988,328,806.19 </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 xml:space="preserve"> 2,703,578,269.98 </w:t>
            </w:r>
          </w:p>
        </w:tc>
      </w:tr>
      <w:tr w:rsidR="002C7193">
        <w:tc>
          <w:tcPr>
            <w:tcW w:w="1200" w:type="dxa"/>
            <w:vMerge w:val="restart"/>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w:t>
            </w:r>
            <w:r w:rsidRPr="006E6164">
              <w:rPr>
                <w:rFonts w:ascii="宋体" w:eastAsia="宋体" w:hAnsi="宋体" w:cs="宋体"/>
                <w:color w:val="000000"/>
                <w:sz w:val="24"/>
                <w:szCs w:val="24"/>
              </w:rPr>
              <w:lastRenderedPageBreak/>
              <w:t>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lastRenderedPageBreak/>
              <w:t>认购的基金份额</w:t>
            </w:r>
            <w:r w:rsidRPr="006E6164">
              <w:rPr>
                <w:rFonts w:ascii="宋体" w:eastAsia="宋体" w:hAnsi="宋体" w:cs="宋体"/>
                <w:color w:val="000000"/>
                <w:sz w:val="24"/>
                <w:szCs w:val="24"/>
              </w:rPr>
              <w:lastRenderedPageBreak/>
              <w:t>（单位：份）</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lastRenderedPageBreak/>
              <w:t>-</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2C7193">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2C7193">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2C7193">
        <w:tc>
          <w:tcPr>
            <w:tcW w:w="1200" w:type="dxa"/>
            <w:vMerge w:val="restart"/>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5,988.64</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14,324.99</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20,313.63</w:t>
            </w:r>
          </w:p>
        </w:tc>
      </w:tr>
      <w:tr w:rsidR="002C7193">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c>
          <w:tcPr>
            <w:tcW w:w="2400" w:type="dxa"/>
            <w:tcBorders>
              <w:left w:val="single" w:sz="4" w:space="0" w:color="000000"/>
              <w:right w:val="single" w:sz="4" w:space="0" w:color="000000"/>
            </w:tcBorders>
            <w:shd w:val="clear" w:color="auto" w:fill="FFFFFF"/>
            <w:vAlign w:val="center"/>
          </w:tcPr>
          <w:p w:rsidR="00BA11B5" w:rsidRPr="006E6164" w:rsidRDefault="00A91AB7"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2C7193">
        <w:tc>
          <w:tcPr>
            <w:tcW w:w="2400" w:type="dxa"/>
            <w:gridSpan w:val="2"/>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A91AB7"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01</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20</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A91AB7"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A91AB7"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A91AB7" w:rsidP="006E6164">
      <w:pPr>
        <w:spacing w:line="360" w:lineRule="auto"/>
        <w:rPr>
          <w:rFonts w:asciiTheme="minorEastAsia" w:hAnsiTheme="minorEastAsia"/>
          <w:b/>
          <w:bCs/>
          <w:color w:val="000000"/>
          <w:sz w:val="24"/>
          <w:szCs w:val="24"/>
        </w:rPr>
      </w:pPr>
      <w:r>
        <w:rPr>
          <w:rFonts w:asciiTheme="minorEastAsia" w:hAnsiTheme="minorEastAsia" w:hint="eastAsia"/>
          <w:b/>
          <w:sz w:val="24"/>
          <w:szCs w:val="24"/>
        </w:rPr>
        <w:t>3</w:t>
      </w:r>
      <w:r w:rsidRPr="006E6164">
        <w:rPr>
          <w:rFonts w:asciiTheme="minorEastAsia" w:hAnsiTheme="minorEastAsia" w:hint="eastAsia"/>
          <w:b/>
          <w:sz w:val="24"/>
          <w:szCs w:val="24"/>
        </w:rPr>
        <w:t xml:space="preserve"> </w:t>
      </w:r>
      <w:r w:rsidRPr="006E6164">
        <w:rPr>
          <w:rFonts w:asciiTheme="minorEastAsia" w:hAnsiTheme="minorEastAsia" w:hint="eastAsia"/>
          <w:b/>
          <w:bCs/>
          <w:color w:val="000000"/>
          <w:sz w:val="24"/>
          <w:szCs w:val="24"/>
        </w:rPr>
        <w:t>其他需要提示的事项</w:t>
      </w:r>
    </w:p>
    <w:p w:rsidR="00BA11B5" w:rsidRPr="006E6164" w:rsidRDefault="00A91AB7"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A91AB7"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A91AB7" w:rsidP="00A270D2">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A91AB7" w:rsidP="00A270D2">
      <w:pPr>
        <w:spacing w:line="360" w:lineRule="auto"/>
        <w:ind w:right="-58"/>
        <w:jc w:val="right"/>
        <w:rPr>
          <w:rFonts w:asciiTheme="minorEastAsia" w:hAnsiTheme="minorEastAsia"/>
          <w:sz w:val="24"/>
          <w:szCs w:val="24"/>
        </w:rPr>
      </w:pPr>
      <w:r w:rsidRPr="006E6164">
        <w:rPr>
          <w:rFonts w:asciiTheme="minorEastAsia" w:hAnsiTheme="minorEastAsia"/>
          <w:sz w:val="24"/>
          <w:szCs w:val="24"/>
        </w:rPr>
        <w:t>2026</w:t>
      </w:r>
      <w:r w:rsidRPr="006E6164">
        <w:rPr>
          <w:rFonts w:asciiTheme="minorEastAsia" w:hAnsiTheme="minorEastAsia"/>
          <w:sz w:val="24"/>
          <w:szCs w:val="24"/>
        </w:rPr>
        <w:t>年</w:t>
      </w:r>
      <w:r w:rsidRPr="006E6164">
        <w:rPr>
          <w:rFonts w:asciiTheme="minorEastAsia" w:hAnsiTheme="minorEastAsia"/>
          <w:sz w:val="24"/>
          <w:szCs w:val="24"/>
        </w:rPr>
        <w:t>01</w:t>
      </w:r>
      <w:r w:rsidRPr="006E6164">
        <w:rPr>
          <w:rFonts w:asciiTheme="minorEastAsia" w:hAnsiTheme="minorEastAsia"/>
          <w:sz w:val="24"/>
          <w:szCs w:val="24"/>
        </w:rPr>
        <w:t>月</w:t>
      </w:r>
      <w:r w:rsidRPr="006E6164">
        <w:rPr>
          <w:rFonts w:asciiTheme="minorEastAsia" w:hAnsiTheme="minorEastAsia"/>
          <w:sz w:val="24"/>
          <w:szCs w:val="24"/>
        </w:rPr>
        <w:t>21</w:t>
      </w:r>
      <w:r w:rsidRPr="006E6164">
        <w:rPr>
          <w:rFonts w:asciiTheme="minorEastAsia" w:hAnsiTheme="minorEastAsia"/>
          <w:sz w:val="24"/>
          <w:szCs w:val="24"/>
        </w:rPr>
        <w:t>日</w:t>
      </w:r>
    </w:p>
    <w:sectPr w:rsidR="006E6164" w:rsidRPr="006E6164" w:rsidSect="0093318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2C7193"/>
    <w:rsid w:val="00313CBA"/>
    <w:rsid w:val="003D577F"/>
    <w:rsid w:val="004831CD"/>
    <w:rsid w:val="00556C0A"/>
    <w:rsid w:val="005C27FF"/>
    <w:rsid w:val="006E6164"/>
    <w:rsid w:val="00781087"/>
    <w:rsid w:val="00933181"/>
    <w:rsid w:val="00A270D2"/>
    <w:rsid w:val="00A91AB7"/>
    <w:rsid w:val="00BA11B5"/>
    <w:rsid w:val="00BA729B"/>
    <w:rsid w:val="00D12DB2"/>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4</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2026-01-20T16:04:00Z</dcterms:created>
  <dcterms:modified xsi:type="dcterms:W3CDTF">2026-01-20T16:04:00Z</dcterms:modified>
</cp:coreProperties>
</file>