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E8D" w:rsidRDefault="007C5E8D" w:rsidP="007C5E8D">
      <w:pPr>
        <w:pStyle w:val="Default"/>
      </w:pPr>
    </w:p>
    <w:p w:rsidR="00E7019F" w:rsidRDefault="007B6F8C" w:rsidP="00880C09">
      <w:pPr>
        <w:pStyle w:val="Default"/>
        <w:jc w:val="center"/>
        <w:rPr>
          <w:b/>
          <w:sz w:val="32"/>
          <w:szCs w:val="32"/>
        </w:rPr>
      </w:pPr>
      <w:r w:rsidRPr="007B6F8C">
        <w:rPr>
          <w:rFonts w:hint="eastAsia"/>
          <w:b/>
          <w:sz w:val="32"/>
          <w:szCs w:val="32"/>
        </w:rPr>
        <w:t>华宝中证全指电力公用事业交易型开放式指数证券投资</w:t>
      </w:r>
    </w:p>
    <w:p w:rsidR="007C5E8D" w:rsidRPr="0046546E" w:rsidRDefault="007B6F8C" w:rsidP="00880C09">
      <w:pPr>
        <w:pStyle w:val="Default"/>
        <w:jc w:val="center"/>
        <w:rPr>
          <w:b/>
          <w:sz w:val="32"/>
          <w:szCs w:val="32"/>
        </w:rPr>
      </w:pPr>
      <w:r w:rsidRPr="007B6F8C">
        <w:rPr>
          <w:rFonts w:hint="eastAsia"/>
          <w:b/>
          <w:sz w:val="32"/>
          <w:szCs w:val="32"/>
        </w:rPr>
        <w:t>基金</w:t>
      </w:r>
      <w:r w:rsidR="007C5E8D" w:rsidRPr="0046546E">
        <w:rPr>
          <w:b/>
          <w:sz w:val="32"/>
          <w:szCs w:val="32"/>
        </w:rPr>
        <w:t>上市交易提示性公告</w:t>
      </w:r>
    </w:p>
    <w:p w:rsidR="007C5E8D" w:rsidRPr="00416CD4" w:rsidRDefault="007C5E8D" w:rsidP="007C5E8D">
      <w:pPr>
        <w:pStyle w:val="Default"/>
        <w:spacing w:line="360" w:lineRule="auto"/>
        <w:ind w:firstLineChars="150" w:firstLine="315"/>
        <w:rPr>
          <w:sz w:val="21"/>
          <w:szCs w:val="21"/>
        </w:rPr>
      </w:pPr>
    </w:p>
    <w:p w:rsidR="006A2D47" w:rsidRPr="006A2D47" w:rsidRDefault="007B6F8C" w:rsidP="00E7019F">
      <w:pPr>
        <w:pStyle w:val="Default"/>
        <w:spacing w:line="360" w:lineRule="auto"/>
        <w:ind w:firstLineChars="200" w:firstLine="480"/>
        <w:rPr>
          <w:rFonts w:asciiTheme="minorEastAsia" w:hAnsiTheme="minorEastAsia"/>
          <w:szCs w:val="21"/>
        </w:rPr>
      </w:pPr>
      <w:r w:rsidRPr="007B6F8C">
        <w:rPr>
          <w:rFonts w:asciiTheme="minorEastAsia" w:hAnsiTheme="minorEastAsia" w:hint="eastAsia"/>
          <w:szCs w:val="21"/>
        </w:rPr>
        <w:t>华宝中证全指电力公用事业交易型开放式指数证券投资基金</w:t>
      </w:r>
      <w:r w:rsidR="007C5E8D" w:rsidRPr="00B921D3">
        <w:rPr>
          <w:rFonts w:asciiTheme="minorEastAsia" w:hAnsiTheme="minorEastAsia"/>
          <w:szCs w:val="21"/>
        </w:rPr>
        <w:t>（以下简称“本基金”）于</w:t>
      </w:r>
      <w:r w:rsidRPr="00D33B64">
        <w:rPr>
          <w:rFonts w:asciiTheme="minorEastAsia" w:hAnsiTheme="minorEastAsia" w:cs="Times New Roman" w:hint="eastAsia"/>
          <w:szCs w:val="21"/>
        </w:rPr>
        <w:t>202</w:t>
      </w:r>
      <w:r>
        <w:rPr>
          <w:rFonts w:asciiTheme="minorEastAsia" w:hAnsiTheme="minorEastAsia" w:cs="Times New Roman"/>
          <w:szCs w:val="21"/>
        </w:rPr>
        <w:t>6</w:t>
      </w:r>
      <w:r w:rsidR="003A6F8B" w:rsidRPr="00D33B64">
        <w:rPr>
          <w:rFonts w:asciiTheme="minorEastAsia" w:hAnsiTheme="minorEastAsia" w:cs="Times New Roman" w:hint="eastAsia"/>
          <w:szCs w:val="21"/>
        </w:rPr>
        <w:t>年</w:t>
      </w:r>
      <w:r>
        <w:rPr>
          <w:rFonts w:asciiTheme="minorEastAsia" w:hAnsiTheme="minorEastAsia" w:cs="Times New Roman"/>
          <w:szCs w:val="21"/>
        </w:rPr>
        <w:t>1</w:t>
      </w:r>
      <w:r w:rsidR="003A6F8B" w:rsidRPr="00D33B64">
        <w:rPr>
          <w:rFonts w:asciiTheme="minorEastAsia" w:hAnsiTheme="minorEastAsia" w:cs="Times New Roman" w:hint="eastAsia"/>
          <w:szCs w:val="21"/>
        </w:rPr>
        <w:t>月</w:t>
      </w:r>
      <w:r>
        <w:rPr>
          <w:rFonts w:asciiTheme="minorEastAsia" w:hAnsiTheme="minorEastAsia" w:cs="Times New Roman"/>
          <w:szCs w:val="21"/>
        </w:rPr>
        <w:t>20</w:t>
      </w:r>
      <w:r w:rsidR="00D33B64" w:rsidRPr="00D33B64">
        <w:rPr>
          <w:rFonts w:asciiTheme="minorEastAsia" w:hAnsiTheme="minorEastAsia" w:cs="Times New Roman" w:hint="eastAsia"/>
          <w:szCs w:val="21"/>
        </w:rPr>
        <w:t>日</w:t>
      </w:r>
      <w:r w:rsidR="007C5E8D" w:rsidRPr="00B921D3">
        <w:rPr>
          <w:rFonts w:asciiTheme="minorEastAsia" w:hAnsiTheme="minorEastAsia"/>
          <w:szCs w:val="21"/>
        </w:rPr>
        <w:t>开始在</w:t>
      </w:r>
      <w:r w:rsidR="002D566B" w:rsidRPr="002D566B">
        <w:rPr>
          <w:rFonts w:asciiTheme="minorEastAsia" w:hAnsiTheme="minorEastAsia" w:hint="eastAsia"/>
          <w:szCs w:val="21"/>
        </w:rPr>
        <w:t>深圳证券交易所</w:t>
      </w:r>
      <w:r w:rsidR="007C5E8D" w:rsidRPr="00B921D3">
        <w:rPr>
          <w:rFonts w:asciiTheme="minorEastAsia" w:hAnsiTheme="minorEastAsia"/>
          <w:szCs w:val="21"/>
        </w:rPr>
        <w:t>上市交易，</w:t>
      </w:r>
      <w:r w:rsidR="002B01E0">
        <w:rPr>
          <w:rFonts w:asciiTheme="minorEastAsia" w:hAnsiTheme="minorEastAsia" w:hint="eastAsia"/>
          <w:szCs w:val="21"/>
        </w:rPr>
        <w:t>本基金</w:t>
      </w:r>
      <w:r w:rsidR="002D566B">
        <w:rPr>
          <w:rFonts w:asciiTheme="minorEastAsia" w:hAnsiTheme="minorEastAsia"/>
          <w:szCs w:val="21"/>
        </w:rPr>
        <w:t>场内</w:t>
      </w:r>
      <w:r w:rsidR="00347EF4" w:rsidRPr="00347EF4">
        <w:rPr>
          <w:rFonts w:asciiTheme="minorEastAsia" w:hAnsiTheme="minorEastAsia" w:hint="eastAsia"/>
          <w:szCs w:val="21"/>
        </w:rPr>
        <w:t>简称：</w:t>
      </w:r>
      <w:r>
        <w:rPr>
          <w:rFonts w:hint="eastAsia"/>
        </w:rPr>
        <w:t>电力ETF华宝</w:t>
      </w:r>
      <w:r w:rsidR="007C5E8D" w:rsidRPr="00B921D3">
        <w:rPr>
          <w:rFonts w:asciiTheme="minorEastAsia" w:hAnsiTheme="minorEastAsia"/>
          <w:szCs w:val="21"/>
        </w:rPr>
        <w:t>，</w:t>
      </w:r>
      <w:r w:rsidR="006A2D47">
        <w:rPr>
          <w:rFonts w:asciiTheme="minorEastAsia" w:hAnsiTheme="minorEastAsia"/>
          <w:szCs w:val="21"/>
        </w:rPr>
        <w:t>基金代码</w:t>
      </w:r>
      <w:r w:rsidR="006A2D47">
        <w:rPr>
          <w:rFonts w:asciiTheme="minorEastAsia" w:hAnsiTheme="minorEastAsia" w:hint="eastAsia"/>
          <w:szCs w:val="21"/>
        </w:rPr>
        <w:t>：</w:t>
      </w:r>
      <w:r w:rsidRPr="005D12BA">
        <w:rPr>
          <w:rFonts w:asciiTheme="minorEastAsia" w:hAnsiTheme="minorEastAsia"/>
          <w:szCs w:val="21"/>
        </w:rPr>
        <w:t>159</w:t>
      </w:r>
      <w:r>
        <w:rPr>
          <w:rFonts w:asciiTheme="minorEastAsia" w:hAnsiTheme="minorEastAsia"/>
          <w:szCs w:val="21"/>
        </w:rPr>
        <w:t>146</w:t>
      </w:r>
      <w:r w:rsidR="00BC1F86" w:rsidRPr="002B01E0">
        <w:rPr>
          <w:rFonts w:asciiTheme="minorEastAsia" w:hAnsiTheme="minorEastAsia" w:hint="eastAsia"/>
          <w:szCs w:val="21"/>
        </w:rPr>
        <w:t>。</w:t>
      </w:r>
      <w:r w:rsidR="00E7019F" w:rsidRPr="00416CD4">
        <w:rPr>
          <w:rFonts w:asciiTheme="minorEastAsia" w:hAnsiTheme="minorEastAsia" w:hint="eastAsia"/>
          <w:szCs w:val="21"/>
        </w:rPr>
        <w:t>本基金</w:t>
      </w:r>
      <w:r w:rsidR="006A2D47" w:rsidRPr="00416CD4">
        <w:rPr>
          <w:rFonts w:asciiTheme="minorEastAsia" w:hAnsiTheme="minorEastAsia"/>
          <w:szCs w:val="21"/>
        </w:rPr>
        <w:t>上市首日</w:t>
      </w:r>
      <w:r w:rsidR="00E7019F" w:rsidRPr="00416CD4">
        <w:rPr>
          <w:rFonts w:asciiTheme="minorEastAsia" w:hAnsiTheme="minorEastAsia"/>
          <w:szCs w:val="21"/>
        </w:rPr>
        <w:t>以</w:t>
      </w:r>
      <w:r w:rsidR="0014482D">
        <w:rPr>
          <w:rFonts w:asciiTheme="minorEastAsia" w:hAnsiTheme="minorEastAsia"/>
          <w:szCs w:val="21"/>
        </w:rPr>
        <w:t>基金份额参考净值</w:t>
      </w:r>
      <w:r w:rsidR="00876398" w:rsidRPr="00416CD4">
        <w:rPr>
          <w:rFonts w:asciiTheme="minorEastAsia" w:hAnsiTheme="minorEastAsia"/>
          <w:szCs w:val="21"/>
        </w:rPr>
        <w:t>1.00</w:t>
      </w:r>
      <w:r w:rsidR="00312DD8" w:rsidRPr="00416CD4">
        <w:rPr>
          <w:rFonts w:asciiTheme="minorEastAsia" w:hAnsiTheme="minorEastAsia"/>
          <w:szCs w:val="21"/>
        </w:rPr>
        <w:t>7</w:t>
      </w:r>
      <w:r w:rsidR="006A2D47" w:rsidRPr="00416CD4">
        <w:rPr>
          <w:rFonts w:asciiTheme="minorEastAsia" w:hAnsiTheme="minorEastAsia"/>
          <w:szCs w:val="21"/>
        </w:rPr>
        <w:t>元为开盘参考价，并以此为基准设置涨跌幅限制，幅度为10%。</w:t>
      </w:r>
    </w:p>
    <w:p w:rsidR="0046546E" w:rsidRPr="00B921D3" w:rsidRDefault="00347EF4" w:rsidP="0046546E">
      <w:pPr>
        <w:pStyle w:val="Default"/>
        <w:spacing w:line="360" w:lineRule="auto"/>
        <w:ind w:firstLineChars="200" w:firstLine="480"/>
        <w:rPr>
          <w:rFonts w:asciiTheme="minorEastAsia" w:hAnsiTheme="minorEastAsia"/>
          <w:szCs w:val="21"/>
        </w:rPr>
      </w:pPr>
      <w:r w:rsidRPr="00347EF4">
        <w:rPr>
          <w:rFonts w:asciiTheme="minorEastAsia" w:hAnsiTheme="minorEastAsia" w:hint="eastAsia"/>
          <w:szCs w:val="21"/>
        </w:rPr>
        <w:t>截至</w:t>
      </w:r>
      <w:r w:rsidR="007B6F8C" w:rsidRPr="00347EF4">
        <w:rPr>
          <w:rFonts w:asciiTheme="minorEastAsia" w:hAnsiTheme="minorEastAsia" w:hint="eastAsia"/>
          <w:szCs w:val="21"/>
        </w:rPr>
        <w:t>202</w:t>
      </w:r>
      <w:r w:rsidR="007B6F8C">
        <w:rPr>
          <w:rFonts w:asciiTheme="minorEastAsia" w:hAnsiTheme="minorEastAsia"/>
          <w:szCs w:val="21"/>
        </w:rPr>
        <w:t>6</w:t>
      </w:r>
      <w:r w:rsidR="003A6F8B" w:rsidRPr="00347EF4">
        <w:rPr>
          <w:rFonts w:asciiTheme="minorEastAsia" w:hAnsiTheme="minorEastAsia" w:hint="eastAsia"/>
          <w:szCs w:val="21"/>
        </w:rPr>
        <w:t>年</w:t>
      </w:r>
      <w:r w:rsidR="007B6F8C">
        <w:rPr>
          <w:rFonts w:asciiTheme="minorEastAsia" w:hAnsiTheme="minorEastAsia"/>
          <w:szCs w:val="21"/>
        </w:rPr>
        <w:t>1</w:t>
      </w:r>
      <w:r w:rsidR="003A6F8B" w:rsidRPr="00347EF4">
        <w:rPr>
          <w:rFonts w:asciiTheme="minorEastAsia" w:hAnsiTheme="minorEastAsia" w:hint="eastAsia"/>
          <w:szCs w:val="21"/>
        </w:rPr>
        <w:t>月</w:t>
      </w:r>
      <w:r w:rsidR="007B6F8C">
        <w:rPr>
          <w:rFonts w:asciiTheme="minorEastAsia" w:hAnsiTheme="minorEastAsia"/>
          <w:szCs w:val="21"/>
        </w:rPr>
        <w:t>19</w:t>
      </w:r>
      <w:r w:rsidRPr="00347EF4">
        <w:rPr>
          <w:rFonts w:asciiTheme="minorEastAsia" w:hAnsiTheme="minorEastAsia" w:hint="eastAsia"/>
          <w:szCs w:val="21"/>
        </w:rPr>
        <w:t>日，本基金投资于标的指数成份股和备选成份股的资产比例为基金资产净值的</w:t>
      </w:r>
      <w:r w:rsidR="00876398">
        <w:rPr>
          <w:rFonts w:asciiTheme="minorEastAsia" w:hAnsiTheme="minorEastAsia"/>
          <w:szCs w:val="21"/>
        </w:rPr>
        <w:t>95.5</w:t>
      </w:r>
      <w:r w:rsidR="00312DD8">
        <w:rPr>
          <w:rFonts w:asciiTheme="minorEastAsia" w:hAnsiTheme="minorEastAsia"/>
          <w:szCs w:val="21"/>
        </w:rPr>
        <w:t>3</w:t>
      </w:r>
      <w:r w:rsidR="0050401E" w:rsidRPr="0050401E">
        <w:rPr>
          <w:rFonts w:asciiTheme="minorEastAsia" w:hAnsiTheme="minorEastAsia"/>
          <w:szCs w:val="21"/>
        </w:rPr>
        <w:t>%</w:t>
      </w:r>
      <w:r w:rsidRPr="00347EF4">
        <w:rPr>
          <w:rFonts w:asciiTheme="minorEastAsia" w:hAnsiTheme="minorEastAsia" w:hint="eastAsia"/>
          <w:szCs w:val="21"/>
        </w:rPr>
        <w:t>，投资组合比例符合有关法律法规、部门规章、规范性文件的规定和基金合同的有关约定。</w:t>
      </w:r>
    </w:p>
    <w:p w:rsidR="007C5E8D" w:rsidRPr="00B921D3" w:rsidRDefault="007C5E8D" w:rsidP="007C5E8D">
      <w:pPr>
        <w:pStyle w:val="Default"/>
        <w:spacing w:line="360" w:lineRule="auto"/>
        <w:ind w:firstLineChars="200" w:firstLine="480"/>
        <w:rPr>
          <w:rFonts w:asciiTheme="minorEastAsia" w:hAnsiTheme="minorEastAsia"/>
          <w:szCs w:val="21"/>
        </w:rPr>
      </w:pPr>
      <w:r w:rsidRPr="00B921D3">
        <w:rPr>
          <w:rFonts w:asciiTheme="minorEastAsia" w:hAnsiTheme="minorEastAsia"/>
          <w:szCs w:val="21"/>
        </w:rPr>
        <w:t>特此公告。</w:t>
      </w:r>
      <w:bookmarkStart w:id="0" w:name="_GoBack"/>
      <w:bookmarkEnd w:id="0"/>
    </w:p>
    <w:p w:rsidR="0046546E" w:rsidRPr="00B921D3" w:rsidRDefault="0046546E" w:rsidP="007C5E8D">
      <w:pPr>
        <w:pStyle w:val="Default"/>
        <w:spacing w:line="360" w:lineRule="auto"/>
        <w:ind w:firstLineChars="200" w:firstLine="480"/>
        <w:rPr>
          <w:rFonts w:asciiTheme="minorEastAsia" w:hAnsiTheme="minorEastAsia"/>
          <w:szCs w:val="21"/>
        </w:rPr>
      </w:pPr>
    </w:p>
    <w:p w:rsidR="007C5E8D" w:rsidRPr="00B921D3" w:rsidRDefault="0008241B" w:rsidP="007C5E8D">
      <w:pPr>
        <w:pStyle w:val="Default"/>
        <w:spacing w:line="360" w:lineRule="auto"/>
        <w:jc w:val="right"/>
        <w:rPr>
          <w:rFonts w:asciiTheme="minorEastAsia" w:hAnsiTheme="minorEastAsia"/>
          <w:szCs w:val="21"/>
        </w:rPr>
      </w:pPr>
      <w:r w:rsidRPr="00B921D3">
        <w:rPr>
          <w:rFonts w:asciiTheme="minorEastAsia" w:hAnsiTheme="minorEastAsia" w:hint="eastAsia"/>
          <w:szCs w:val="21"/>
        </w:rPr>
        <w:t>华宝</w:t>
      </w:r>
      <w:r w:rsidR="007C5E8D" w:rsidRPr="00B921D3">
        <w:rPr>
          <w:rFonts w:asciiTheme="minorEastAsia" w:hAnsiTheme="minorEastAsia"/>
          <w:szCs w:val="21"/>
        </w:rPr>
        <w:t>基金管理有限公司</w:t>
      </w:r>
    </w:p>
    <w:p w:rsidR="00682716" w:rsidRPr="00B921D3" w:rsidRDefault="007B6F8C" w:rsidP="007C5E8D">
      <w:pPr>
        <w:spacing w:line="360" w:lineRule="auto"/>
        <w:jc w:val="right"/>
        <w:rPr>
          <w:rFonts w:asciiTheme="minorEastAsia" w:hAnsiTheme="minorEastAsia"/>
          <w:sz w:val="24"/>
        </w:rPr>
      </w:pPr>
      <w:r w:rsidRPr="00B921D3">
        <w:rPr>
          <w:rFonts w:asciiTheme="minorEastAsia" w:hAnsiTheme="minorEastAsia" w:cs="Times New Roman"/>
          <w:sz w:val="24"/>
          <w:szCs w:val="21"/>
        </w:rPr>
        <w:t>202</w:t>
      </w:r>
      <w:r>
        <w:rPr>
          <w:rFonts w:asciiTheme="minorEastAsia" w:hAnsiTheme="minorEastAsia" w:cs="Times New Roman"/>
          <w:sz w:val="24"/>
          <w:szCs w:val="21"/>
        </w:rPr>
        <w:t>6</w:t>
      </w:r>
      <w:r w:rsidR="003A6F8B" w:rsidRPr="00B921D3">
        <w:rPr>
          <w:rFonts w:asciiTheme="minorEastAsia" w:hAnsiTheme="minorEastAsia"/>
          <w:sz w:val="24"/>
          <w:szCs w:val="21"/>
        </w:rPr>
        <w:t>年</w:t>
      </w:r>
      <w:r>
        <w:rPr>
          <w:rFonts w:asciiTheme="minorEastAsia" w:hAnsiTheme="minorEastAsia" w:cs="Times New Roman"/>
          <w:sz w:val="24"/>
          <w:szCs w:val="21"/>
        </w:rPr>
        <w:t>1</w:t>
      </w:r>
      <w:r w:rsidR="003A6F8B" w:rsidRPr="00B921D3">
        <w:rPr>
          <w:rFonts w:asciiTheme="minorEastAsia" w:hAnsiTheme="minorEastAsia"/>
          <w:sz w:val="24"/>
          <w:szCs w:val="21"/>
        </w:rPr>
        <w:t>月</w:t>
      </w:r>
      <w:r>
        <w:rPr>
          <w:rFonts w:asciiTheme="minorEastAsia" w:hAnsiTheme="minorEastAsia" w:cs="Times New Roman"/>
          <w:sz w:val="24"/>
          <w:szCs w:val="21"/>
        </w:rPr>
        <w:t>20</w:t>
      </w:r>
      <w:r w:rsidR="007C5E8D" w:rsidRPr="00B921D3">
        <w:rPr>
          <w:rFonts w:asciiTheme="minorEastAsia" w:hAnsiTheme="minorEastAsia"/>
          <w:sz w:val="24"/>
          <w:szCs w:val="21"/>
        </w:rPr>
        <w:t>日</w:t>
      </w:r>
    </w:p>
    <w:sectPr w:rsidR="00682716" w:rsidRPr="00B921D3" w:rsidSect="001018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34A" w:rsidRDefault="0018734A" w:rsidP="007C5E8D">
      <w:r>
        <w:separator/>
      </w:r>
    </w:p>
  </w:endnote>
  <w:endnote w:type="continuationSeparator" w:id="0">
    <w:p w:rsidR="0018734A" w:rsidRDefault="0018734A" w:rsidP="007C5E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34A" w:rsidRDefault="0018734A" w:rsidP="007C5E8D">
      <w:r>
        <w:separator/>
      </w:r>
    </w:p>
  </w:footnote>
  <w:footnote w:type="continuationSeparator" w:id="0">
    <w:p w:rsidR="0018734A" w:rsidRDefault="0018734A" w:rsidP="007C5E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44F5"/>
    <w:rsid w:val="00034CA2"/>
    <w:rsid w:val="000443BB"/>
    <w:rsid w:val="0008241B"/>
    <w:rsid w:val="00082531"/>
    <w:rsid w:val="00101884"/>
    <w:rsid w:val="00132DCB"/>
    <w:rsid w:val="0014482D"/>
    <w:rsid w:val="0018734A"/>
    <w:rsid w:val="001F5801"/>
    <w:rsid w:val="001F70CC"/>
    <w:rsid w:val="00234038"/>
    <w:rsid w:val="002B01E0"/>
    <w:rsid w:val="002D566B"/>
    <w:rsid w:val="002E7CB7"/>
    <w:rsid w:val="003035FF"/>
    <w:rsid w:val="00312DD8"/>
    <w:rsid w:val="00347EF4"/>
    <w:rsid w:val="00392114"/>
    <w:rsid w:val="003A6F8B"/>
    <w:rsid w:val="003F1123"/>
    <w:rsid w:val="00416CD4"/>
    <w:rsid w:val="004468B0"/>
    <w:rsid w:val="0046546E"/>
    <w:rsid w:val="004C1415"/>
    <w:rsid w:val="0050401E"/>
    <w:rsid w:val="00525590"/>
    <w:rsid w:val="00572E3A"/>
    <w:rsid w:val="00584394"/>
    <w:rsid w:val="005D12BA"/>
    <w:rsid w:val="005E4F48"/>
    <w:rsid w:val="006027C3"/>
    <w:rsid w:val="00634A21"/>
    <w:rsid w:val="006637D6"/>
    <w:rsid w:val="00681254"/>
    <w:rsid w:val="00682716"/>
    <w:rsid w:val="006913F9"/>
    <w:rsid w:val="006A2D47"/>
    <w:rsid w:val="006C5147"/>
    <w:rsid w:val="006D74FE"/>
    <w:rsid w:val="006E2230"/>
    <w:rsid w:val="00705E90"/>
    <w:rsid w:val="007561CD"/>
    <w:rsid w:val="007A2684"/>
    <w:rsid w:val="007B6F8C"/>
    <w:rsid w:val="007C5E8D"/>
    <w:rsid w:val="007F02DA"/>
    <w:rsid w:val="007F04B0"/>
    <w:rsid w:val="00855C47"/>
    <w:rsid w:val="0086612D"/>
    <w:rsid w:val="00876398"/>
    <w:rsid w:val="00880C09"/>
    <w:rsid w:val="00893CA0"/>
    <w:rsid w:val="00894579"/>
    <w:rsid w:val="008B6CAF"/>
    <w:rsid w:val="008F6703"/>
    <w:rsid w:val="009909F7"/>
    <w:rsid w:val="009974FE"/>
    <w:rsid w:val="00A40B00"/>
    <w:rsid w:val="00A84061"/>
    <w:rsid w:val="00AB046B"/>
    <w:rsid w:val="00AC303E"/>
    <w:rsid w:val="00B65027"/>
    <w:rsid w:val="00B80712"/>
    <w:rsid w:val="00B921D3"/>
    <w:rsid w:val="00BC1F86"/>
    <w:rsid w:val="00BF3AC5"/>
    <w:rsid w:val="00C944F5"/>
    <w:rsid w:val="00CD7E26"/>
    <w:rsid w:val="00CF5BE6"/>
    <w:rsid w:val="00D33B64"/>
    <w:rsid w:val="00D76895"/>
    <w:rsid w:val="00DA5777"/>
    <w:rsid w:val="00DE7A90"/>
    <w:rsid w:val="00DF76C6"/>
    <w:rsid w:val="00E7019F"/>
    <w:rsid w:val="00E70305"/>
    <w:rsid w:val="00EA4D2E"/>
    <w:rsid w:val="00ED16CB"/>
    <w:rsid w:val="00F01BD5"/>
    <w:rsid w:val="00F85C67"/>
    <w:rsid w:val="00F87C4A"/>
    <w:rsid w:val="00FE4ED3"/>
    <w:rsid w:val="00FF47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5E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5E8D"/>
    <w:rPr>
      <w:sz w:val="18"/>
      <w:szCs w:val="18"/>
    </w:rPr>
  </w:style>
  <w:style w:type="paragraph" w:styleId="a4">
    <w:name w:val="footer"/>
    <w:basedOn w:val="a"/>
    <w:link w:val="Char0"/>
    <w:uiPriority w:val="99"/>
    <w:unhideWhenUsed/>
    <w:rsid w:val="007C5E8D"/>
    <w:pPr>
      <w:tabs>
        <w:tab w:val="center" w:pos="4153"/>
        <w:tab w:val="right" w:pos="8306"/>
      </w:tabs>
      <w:snapToGrid w:val="0"/>
      <w:jc w:val="left"/>
    </w:pPr>
    <w:rPr>
      <w:sz w:val="18"/>
      <w:szCs w:val="18"/>
    </w:rPr>
  </w:style>
  <w:style w:type="character" w:customStyle="1" w:styleId="Char0">
    <w:name w:val="页脚 Char"/>
    <w:basedOn w:val="a0"/>
    <w:link w:val="a4"/>
    <w:uiPriority w:val="99"/>
    <w:rsid w:val="007C5E8D"/>
    <w:rPr>
      <w:sz w:val="18"/>
      <w:szCs w:val="18"/>
    </w:rPr>
  </w:style>
  <w:style w:type="paragraph" w:customStyle="1" w:styleId="Default">
    <w:name w:val="Default"/>
    <w:rsid w:val="007C5E8D"/>
    <w:pPr>
      <w:widowControl w:val="0"/>
      <w:autoSpaceDE w:val="0"/>
      <w:autoSpaceDN w:val="0"/>
      <w:adjustRightInd w:val="0"/>
    </w:pPr>
    <w:rPr>
      <w:rFonts w:ascii="宋体" w:hAnsi="宋体" w:cs="宋体"/>
      <w:color w:val="000000"/>
      <w:kern w:val="0"/>
      <w:sz w:val="24"/>
      <w:szCs w:val="24"/>
    </w:rPr>
  </w:style>
  <w:style w:type="character" w:styleId="a5">
    <w:name w:val="annotation reference"/>
    <w:basedOn w:val="a0"/>
    <w:uiPriority w:val="99"/>
    <w:semiHidden/>
    <w:unhideWhenUsed/>
    <w:rsid w:val="00347EF4"/>
    <w:rPr>
      <w:sz w:val="21"/>
      <w:szCs w:val="21"/>
    </w:rPr>
  </w:style>
  <w:style w:type="paragraph" w:styleId="a6">
    <w:name w:val="annotation text"/>
    <w:basedOn w:val="a"/>
    <w:link w:val="Char1"/>
    <w:uiPriority w:val="99"/>
    <w:semiHidden/>
    <w:unhideWhenUsed/>
    <w:rsid w:val="00347EF4"/>
    <w:pPr>
      <w:jc w:val="left"/>
    </w:pPr>
  </w:style>
  <w:style w:type="character" w:customStyle="1" w:styleId="Char1">
    <w:name w:val="批注文字 Char"/>
    <w:basedOn w:val="a0"/>
    <w:link w:val="a6"/>
    <w:uiPriority w:val="99"/>
    <w:semiHidden/>
    <w:rsid w:val="00347EF4"/>
  </w:style>
  <w:style w:type="paragraph" w:styleId="a7">
    <w:name w:val="annotation subject"/>
    <w:basedOn w:val="a6"/>
    <w:next w:val="a6"/>
    <w:link w:val="Char2"/>
    <w:uiPriority w:val="99"/>
    <w:semiHidden/>
    <w:unhideWhenUsed/>
    <w:rsid w:val="00347EF4"/>
    <w:rPr>
      <w:b/>
      <w:bCs/>
    </w:rPr>
  </w:style>
  <w:style w:type="character" w:customStyle="1" w:styleId="Char2">
    <w:name w:val="批注主题 Char"/>
    <w:basedOn w:val="Char1"/>
    <w:link w:val="a7"/>
    <w:uiPriority w:val="99"/>
    <w:semiHidden/>
    <w:rsid w:val="00347EF4"/>
    <w:rPr>
      <w:b/>
      <w:bCs/>
    </w:rPr>
  </w:style>
  <w:style w:type="paragraph" w:styleId="a8">
    <w:name w:val="Balloon Text"/>
    <w:basedOn w:val="a"/>
    <w:link w:val="Char3"/>
    <w:uiPriority w:val="99"/>
    <w:semiHidden/>
    <w:unhideWhenUsed/>
    <w:rsid w:val="00347EF4"/>
    <w:rPr>
      <w:sz w:val="18"/>
      <w:szCs w:val="18"/>
    </w:rPr>
  </w:style>
  <w:style w:type="character" w:customStyle="1" w:styleId="Char3">
    <w:name w:val="批注框文本 Char"/>
    <w:basedOn w:val="a0"/>
    <w:link w:val="a8"/>
    <w:uiPriority w:val="99"/>
    <w:semiHidden/>
    <w:rsid w:val="00347EF4"/>
    <w:rPr>
      <w:sz w:val="18"/>
      <w:szCs w:val="18"/>
    </w:rPr>
  </w:style>
</w:styles>
</file>

<file path=word/webSettings.xml><?xml version="1.0" encoding="utf-8"?>
<w:webSettings xmlns:r="http://schemas.openxmlformats.org/officeDocument/2006/relationships" xmlns:w="http://schemas.openxmlformats.org/wordprocessingml/2006/main">
  <w:divs>
    <w:div w:id="173229098">
      <w:bodyDiv w:val="1"/>
      <w:marLeft w:val="0"/>
      <w:marRight w:val="0"/>
      <w:marTop w:val="0"/>
      <w:marBottom w:val="0"/>
      <w:divBdr>
        <w:top w:val="none" w:sz="0" w:space="0" w:color="auto"/>
        <w:left w:val="none" w:sz="0" w:space="0" w:color="auto"/>
        <w:bottom w:val="none" w:sz="0" w:space="0" w:color="auto"/>
        <w:right w:val="none" w:sz="0" w:space="0" w:color="auto"/>
      </w:divBdr>
      <w:divsChild>
        <w:div w:id="1319263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1349-807D-40A9-B137-67958560A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4</DocSecurity>
  <Lines>2</Lines>
  <Paragraphs>1</Paragraphs>
  <ScaleCrop>false</ScaleCrop>
  <Company/>
  <LinksUpToDate>false</LinksUpToDate>
  <CharactersWithSpaces>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龙怡</dc:creator>
  <cp:keywords/>
  <dc:description/>
  <cp:lastModifiedBy>ZHONGM</cp:lastModifiedBy>
  <cp:revision>2</cp:revision>
  <dcterms:created xsi:type="dcterms:W3CDTF">2026-01-19T16:01:00Z</dcterms:created>
  <dcterms:modified xsi:type="dcterms:W3CDTF">2026-01-19T16:01:00Z</dcterms:modified>
</cp:coreProperties>
</file>