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D2EB2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银华优质增长混合型证券投资基金恢复大额申购（含定期定额投资及转换转入）业务的公告</w:t>
      </w:r>
    </w:p>
    <w:p w:rsidR="00000000" w:rsidRDefault="004D2EB2">
      <w:pPr>
        <w:jc w:val="center"/>
        <w:rPr>
          <w:rFonts w:ascii="宋体" w:hAnsi="宋体" w:hint="eastAsia"/>
          <w:sz w:val="30"/>
        </w:rPr>
      </w:pPr>
    </w:p>
    <w:p w:rsidR="00000000" w:rsidRDefault="004D2EB2">
      <w:pPr>
        <w:ind w:firstLineChars="690" w:firstLine="194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19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4D2EB2">
      <w:pPr>
        <w:pStyle w:val="2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64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2977"/>
        <w:gridCol w:w="4252"/>
      </w:tblGrid>
      <w:tr w:rsidR="00000000">
        <w:trPr>
          <w:jc w:val="center"/>
        </w:trPr>
        <w:tc>
          <w:tcPr>
            <w:tcW w:w="4395" w:type="dxa"/>
            <w:gridSpan w:val="2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bookmarkStart w:id="2" w:name="t_3_1_4_fj_2803_a1_fm1"/>
            <w:bookmarkEnd w:id="2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/>
                <w:szCs w:val="21"/>
              </w:rPr>
            </w:pPr>
            <w:bookmarkStart w:id="3" w:name="t_3_1_1_0009_a1_fm1"/>
            <w:bookmarkEnd w:id="3"/>
            <w:r>
              <w:rPr>
                <w:rFonts w:ascii="宋体" w:hAnsi="宋体" w:hint="eastAsia"/>
                <w:szCs w:val="21"/>
              </w:rPr>
              <w:t>银华优质增长混合型证券投资基金</w:t>
            </w:r>
          </w:p>
        </w:tc>
      </w:tr>
      <w:tr w:rsidR="00000000">
        <w:trPr>
          <w:jc w:val="center"/>
        </w:trPr>
        <w:tc>
          <w:tcPr>
            <w:tcW w:w="4395" w:type="dxa"/>
            <w:gridSpan w:val="2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/>
                <w:szCs w:val="21"/>
              </w:rPr>
            </w:pPr>
            <w:bookmarkStart w:id="4" w:name="t_3_1_1_0011_a1_fm1"/>
            <w:bookmarkEnd w:id="4"/>
            <w:r>
              <w:rPr>
                <w:rFonts w:ascii="宋体" w:hAnsi="宋体" w:hint="eastAsia"/>
                <w:szCs w:val="21"/>
              </w:rPr>
              <w:t>银华优质增长混合</w:t>
            </w:r>
          </w:p>
        </w:tc>
      </w:tr>
      <w:tr w:rsidR="00000000">
        <w:trPr>
          <w:jc w:val="center"/>
        </w:trPr>
        <w:tc>
          <w:tcPr>
            <w:tcW w:w="4395" w:type="dxa"/>
            <w:gridSpan w:val="2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/>
                <w:szCs w:val="21"/>
              </w:rPr>
            </w:pPr>
            <w:bookmarkStart w:id="5" w:name="t_1_1_0012_a1_fm1"/>
            <w:bookmarkEnd w:id="5"/>
            <w:r>
              <w:rPr>
                <w:rFonts w:ascii="宋体" w:hAnsi="宋体"/>
                <w:szCs w:val="21"/>
              </w:rPr>
              <w:t>180010</w:t>
            </w:r>
          </w:p>
        </w:tc>
      </w:tr>
      <w:tr w:rsidR="00000000">
        <w:trPr>
          <w:jc w:val="center"/>
        </w:trPr>
        <w:tc>
          <w:tcPr>
            <w:tcW w:w="4395" w:type="dxa"/>
            <w:gridSpan w:val="2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bookmarkStart w:id="6" w:name="t_3_1_1_0186_a1_fm1"/>
            <w:bookmarkEnd w:id="6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rPr>
          <w:jc w:val="center"/>
        </w:trPr>
        <w:tc>
          <w:tcPr>
            <w:tcW w:w="4395" w:type="dxa"/>
            <w:gridSpan w:val="2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/>
                <w:szCs w:val="21"/>
              </w:rPr>
            </w:pPr>
            <w:bookmarkStart w:id="7" w:name="t_3_1_1_2631_a1_fm1"/>
            <w:bookmarkEnd w:id="7"/>
            <w:r>
              <w:rPr>
                <w:rFonts w:ascii="宋体" w:hAnsi="宋体" w:hint="eastAsia"/>
                <w:szCs w:val="21"/>
              </w:rPr>
              <w:t>《银华优质增长混合型证券投资基金基金合同》和《银华优质增长混合型证券投资基金招募说明书》</w:t>
            </w:r>
          </w:p>
        </w:tc>
      </w:tr>
      <w:tr w:rsidR="00000000">
        <w:trPr>
          <w:jc w:val="center"/>
        </w:trPr>
        <w:tc>
          <w:tcPr>
            <w:tcW w:w="1418" w:type="dxa"/>
            <w:vMerge w:val="restart"/>
            <w:vAlign w:val="center"/>
          </w:tcPr>
          <w:p w:rsidR="00000000" w:rsidRDefault="004D2EB2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恢复相关业务的起始日及原因说明</w:t>
            </w:r>
          </w:p>
        </w:tc>
        <w:tc>
          <w:tcPr>
            <w:tcW w:w="2977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恢复大额申购起始日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bookmarkStart w:id="8" w:name="t_3_1_1_2797_a1_fm1"/>
            <w:bookmarkEnd w:id="8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418" w:type="dxa"/>
            <w:vMerge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恢复大额转换转入起始日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bookmarkStart w:id="9" w:name="t_3_1_1_2798_a1_fm1"/>
            <w:bookmarkEnd w:id="9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418" w:type="dxa"/>
            <w:vMerge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恢复大额定期定额投资起始日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bookmarkStart w:id="10" w:name="t_3_1_1_2800_a1_fm2210"/>
            <w:bookmarkEnd w:id="10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418" w:type="dxa"/>
            <w:vMerge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bookmarkStart w:id="11" w:name="t_3_1_3_fj_table"/>
            <w:bookmarkEnd w:id="11"/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4252" w:type="dxa"/>
          </w:tcPr>
          <w:p w:rsidR="00000000" w:rsidRDefault="004D2EB2">
            <w:pPr>
              <w:rPr>
                <w:rFonts w:ascii="宋体" w:hAnsi="宋体" w:hint="eastAsia"/>
                <w:szCs w:val="21"/>
              </w:rPr>
            </w:pPr>
            <w:bookmarkStart w:id="12" w:name="t_3_1_3_fj_2805_a1_fm1"/>
            <w:bookmarkEnd w:id="12"/>
            <w:r>
              <w:rPr>
                <w:rFonts w:ascii="宋体" w:hAnsi="宋体" w:hint="eastAsia"/>
                <w:szCs w:val="21"/>
              </w:rPr>
              <w:t>为满足广大投资者的理财需求</w:t>
            </w:r>
          </w:p>
        </w:tc>
      </w:tr>
    </w:tbl>
    <w:p w:rsidR="00000000" w:rsidRDefault="004D2EB2">
      <w:pPr>
        <w:spacing w:line="360" w:lineRule="auto"/>
        <w:jc w:val="left"/>
        <w:rPr>
          <w:rFonts w:hint="eastAsia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）起恢复办理银华优质增长混合型证券投资基金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0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万元以上的大额申购（含</w:t>
      </w:r>
      <w:r>
        <w:rPr>
          <w:rFonts w:ascii="宋体" w:hAnsi="宋体"/>
          <w:szCs w:val="21"/>
        </w:rPr>
        <w:t>定期定额投资及转换转入</w:t>
      </w:r>
      <w:r>
        <w:rPr>
          <w:rFonts w:ascii="宋体" w:hAnsi="宋体" w:hint="eastAsia"/>
          <w:szCs w:val="21"/>
        </w:rPr>
        <w:t>）业务，敬请投资者留意。</w:t>
      </w:r>
    </w:p>
    <w:p w:rsidR="00000000" w:rsidRDefault="004D2EB2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4D2EB2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3" w:name="t_3_2_table"/>
      <w:bookmarkEnd w:id="13"/>
      <w:r>
        <w:rPr>
          <w:rFonts w:ascii="宋体" w:eastAsia="宋体" w:hAnsi="宋体" w:hint="eastAsia"/>
          <w:sz w:val="24"/>
        </w:rPr>
        <w:t>其他需要提示的事项</w:t>
      </w:r>
    </w:p>
    <w:p w:rsidR="00000000" w:rsidRDefault="004D2EB2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14" w:name="t_3_2_2646_a1_fm1"/>
      <w:bookmarkEnd w:id="14"/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4D2EB2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4D2EB2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4D2EB2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网址：</w:t>
      </w:r>
      <w:r>
        <w:rPr>
          <w:rFonts w:ascii="宋体" w:hAnsi="宋体" w:hint="eastAsia"/>
          <w:szCs w:val="21"/>
        </w:rPr>
        <w:t>www.yh</w:t>
      </w:r>
      <w:r>
        <w:rPr>
          <w:rFonts w:ascii="宋体" w:hAnsi="宋体" w:hint="eastAsia"/>
          <w:szCs w:val="21"/>
        </w:rPr>
        <w:t>fund.com.cn</w:t>
      </w:r>
    </w:p>
    <w:p w:rsidR="00000000" w:rsidRDefault="004D2EB2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4D2EB2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000000" w:rsidRDefault="004D2EB2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4D2EB2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特此公告。</w:t>
      </w:r>
    </w:p>
    <w:p w:rsidR="00000000" w:rsidRDefault="004D2EB2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4D2EB2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000000" w:rsidRDefault="004D2EB2">
      <w:pPr>
        <w:spacing w:line="360" w:lineRule="auto"/>
        <w:ind w:right="240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2026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19</w:t>
      </w:r>
      <w:r>
        <w:rPr>
          <w:rFonts w:ascii="宋体" w:hAnsi="宋体" w:hint="eastAsia"/>
          <w:sz w:val="24"/>
          <w:szCs w:val="30"/>
        </w:rPr>
        <w:t>日</w:t>
      </w:r>
    </w:p>
    <w:p w:rsidR="00000000" w:rsidRDefault="004D2EB2">
      <w:pPr>
        <w:rPr>
          <w:rFonts w:hint="eastAsia"/>
        </w:rPr>
      </w:pPr>
    </w:p>
    <w:sectPr w:rsidR="0000000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D2EB2">
      <w:r>
        <w:separator/>
      </w:r>
    </w:p>
  </w:endnote>
  <w:endnote w:type="continuationSeparator" w:id="0">
    <w:p w:rsidR="00000000" w:rsidRDefault="004D2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D2EB2">
      <w:r>
        <w:separator/>
      </w:r>
    </w:p>
  </w:footnote>
  <w:footnote w:type="continuationSeparator" w:id="0">
    <w:p w:rsidR="00000000" w:rsidRDefault="004D2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2EB2">
    <w:pPr>
      <w:pStyle w:val="a7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pt;height:31.95pt;mso-wrap-style:square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2D4"/>
    <w:rsid w:val="00006B0C"/>
    <w:rsid w:val="00024903"/>
    <w:rsid w:val="0002639C"/>
    <w:rsid w:val="0002650E"/>
    <w:rsid w:val="0003234A"/>
    <w:rsid w:val="00044F23"/>
    <w:rsid w:val="00047E74"/>
    <w:rsid w:val="00071119"/>
    <w:rsid w:val="00076F4E"/>
    <w:rsid w:val="00077D3B"/>
    <w:rsid w:val="000809CF"/>
    <w:rsid w:val="000957AB"/>
    <w:rsid w:val="000A149B"/>
    <w:rsid w:val="000D56CF"/>
    <w:rsid w:val="00166236"/>
    <w:rsid w:val="001712DE"/>
    <w:rsid w:val="00176E04"/>
    <w:rsid w:val="0019420F"/>
    <w:rsid w:val="001A7394"/>
    <w:rsid w:val="001B65D9"/>
    <w:rsid w:val="001C165D"/>
    <w:rsid w:val="001D7E76"/>
    <w:rsid w:val="001F0C5E"/>
    <w:rsid w:val="001F6FA8"/>
    <w:rsid w:val="0021174A"/>
    <w:rsid w:val="00214CB3"/>
    <w:rsid w:val="002154B9"/>
    <w:rsid w:val="002843F0"/>
    <w:rsid w:val="00292895"/>
    <w:rsid w:val="00296096"/>
    <w:rsid w:val="00296102"/>
    <w:rsid w:val="00297C07"/>
    <w:rsid w:val="002A4A30"/>
    <w:rsid w:val="002A4E5C"/>
    <w:rsid w:val="002A62AB"/>
    <w:rsid w:val="002C2239"/>
    <w:rsid w:val="002C6792"/>
    <w:rsid w:val="00302F49"/>
    <w:rsid w:val="00317580"/>
    <w:rsid w:val="00337A94"/>
    <w:rsid w:val="003402B5"/>
    <w:rsid w:val="00343A12"/>
    <w:rsid w:val="00360464"/>
    <w:rsid w:val="00391DB2"/>
    <w:rsid w:val="00397558"/>
    <w:rsid w:val="003B009C"/>
    <w:rsid w:val="003F3157"/>
    <w:rsid w:val="003F6FF6"/>
    <w:rsid w:val="003F6FF7"/>
    <w:rsid w:val="00415FD9"/>
    <w:rsid w:val="00423847"/>
    <w:rsid w:val="00427B27"/>
    <w:rsid w:val="00440E7A"/>
    <w:rsid w:val="0045086C"/>
    <w:rsid w:val="0048173D"/>
    <w:rsid w:val="00482CE9"/>
    <w:rsid w:val="00483D08"/>
    <w:rsid w:val="004A78AD"/>
    <w:rsid w:val="004D1BAA"/>
    <w:rsid w:val="004D2EB2"/>
    <w:rsid w:val="004D32CA"/>
    <w:rsid w:val="004F3FCA"/>
    <w:rsid w:val="0050785F"/>
    <w:rsid w:val="00513D49"/>
    <w:rsid w:val="00524576"/>
    <w:rsid w:val="00556690"/>
    <w:rsid w:val="0056251E"/>
    <w:rsid w:val="00565BCD"/>
    <w:rsid w:val="00566036"/>
    <w:rsid w:val="005A7507"/>
    <w:rsid w:val="005B4612"/>
    <w:rsid w:val="005D6232"/>
    <w:rsid w:val="005E4796"/>
    <w:rsid w:val="005F7592"/>
    <w:rsid w:val="00626928"/>
    <w:rsid w:val="00631F61"/>
    <w:rsid w:val="00664949"/>
    <w:rsid w:val="006656E6"/>
    <w:rsid w:val="006660E9"/>
    <w:rsid w:val="00666659"/>
    <w:rsid w:val="0067581F"/>
    <w:rsid w:val="0068373C"/>
    <w:rsid w:val="00695EA5"/>
    <w:rsid w:val="006A56D5"/>
    <w:rsid w:val="006B797D"/>
    <w:rsid w:val="006B79BC"/>
    <w:rsid w:val="006B7AEA"/>
    <w:rsid w:val="006C09DD"/>
    <w:rsid w:val="006C16C2"/>
    <w:rsid w:val="006C5B46"/>
    <w:rsid w:val="006D5BFA"/>
    <w:rsid w:val="006D651E"/>
    <w:rsid w:val="006E0E14"/>
    <w:rsid w:val="0073544A"/>
    <w:rsid w:val="007431E2"/>
    <w:rsid w:val="007764F1"/>
    <w:rsid w:val="00777BB1"/>
    <w:rsid w:val="007941B9"/>
    <w:rsid w:val="007961D1"/>
    <w:rsid w:val="007A4551"/>
    <w:rsid w:val="007A7664"/>
    <w:rsid w:val="007D4161"/>
    <w:rsid w:val="007E0E5C"/>
    <w:rsid w:val="0081019C"/>
    <w:rsid w:val="008153AB"/>
    <w:rsid w:val="00824DF6"/>
    <w:rsid w:val="00830616"/>
    <w:rsid w:val="00844BFD"/>
    <w:rsid w:val="008560E2"/>
    <w:rsid w:val="00864ACB"/>
    <w:rsid w:val="008A7DCE"/>
    <w:rsid w:val="008B19A8"/>
    <w:rsid w:val="008C0669"/>
    <w:rsid w:val="008C3A3D"/>
    <w:rsid w:val="008C59D1"/>
    <w:rsid w:val="008E3731"/>
    <w:rsid w:val="008E4FF9"/>
    <w:rsid w:val="008E5CB2"/>
    <w:rsid w:val="009071F1"/>
    <w:rsid w:val="00915A5C"/>
    <w:rsid w:val="00920D0E"/>
    <w:rsid w:val="00946CD2"/>
    <w:rsid w:val="00977F5E"/>
    <w:rsid w:val="00985EFF"/>
    <w:rsid w:val="00994AD0"/>
    <w:rsid w:val="009A21B6"/>
    <w:rsid w:val="009A3183"/>
    <w:rsid w:val="009A3534"/>
    <w:rsid w:val="009C287E"/>
    <w:rsid w:val="009C4337"/>
    <w:rsid w:val="009D09B7"/>
    <w:rsid w:val="009F722C"/>
    <w:rsid w:val="009F790E"/>
    <w:rsid w:val="00A17245"/>
    <w:rsid w:val="00A25C07"/>
    <w:rsid w:val="00A34F65"/>
    <w:rsid w:val="00A41F16"/>
    <w:rsid w:val="00A608AC"/>
    <w:rsid w:val="00A72A55"/>
    <w:rsid w:val="00A8695B"/>
    <w:rsid w:val="00AA300A"/>
    <w:rsid w:val="00AA74EC"/>
    <w:rsid w:val="00AB3E02"/>
    <w:rsid w:val="00AD3CB2"/>
    <w:rsid w:val="00AD6008"/>
    <w:rsid w:val="00B00502"/>
    <w:rsid w:val="00B12E20"/>
    <w:rsid w:val="00B32D14"/>
    <w:rsid w:val="00B7222A"/>
    <w:rsid w:val="00B82FC1"/>
    <w:rsid w:val="00B846B0"/>
    <w:rsid w:val="00BB0A7C"/>
    <w:rsid w:val="00BB25A9"/>
    <w:rsid w:val="00BC1B1A"/>
    <w:rsid w:val="00BF371C"/>
    <w:rsid w:val="00C00D3F"/>
    <w:rsid w:val="00C253DE"/>
    <w:rsid w:val="00C459B7"/>
    <w:rsid w:val="00C57EDE"/>
    <w:rsid w:val="00C9333F"/>
    <w:rsid w:val="00CA4E5E"/>
    <w:rsid w:val="00CA754E"/>
    <w:rsid w:val="00CC2BFC"/>
    <w:rsid w:val="00CE1FA8"/>
    <w:rsid w:val="00CE2430"/>
    <w:rsid w:val="00CF299F"/>
    <w:rsid w:val="00D01CD0"/>
    <w:rsid w:val="00D10B1A"/>
    <w:rsid w:val="00D17A92"/>
    <w:rsid w:val="00D25F64"/>
    <w:rsid w:val="00D26901"/>
    <w:rsid w:val="00D310E8"/>
    <w:rsid w:val="00D3277D"/>
    <w:rsid w:val="00D3395C"/>
    <w:rsid w:val="00D37422"/>
    <w:rsid w:val="00D53C3B"/>
    <w:rsid w:val="00D9020E"/>
    <w:rsid w:val="00D91010"/>
    <w:rsid w:val="00DA0235"/>
    <w:rsid w:val="00DA5658"/>
    <w:rsid w:val="00DA5B84"/>
    <w:rsid w:val="00DB58D0"/>
    <w:rsid w:val="00DB79F3"/>
    <w:rsid w:val="00DC00B3"/>
    <w:rsid w:val="00DD5A0F"/>
    <w:rsid w:val="00DE0E35"/>
    <w:rsid w:val="00DE19D6"/>
    <w:rsid w:val="00DE2B87"/>
    <w:rsid w:val="00DF46E7"/>
    <w:rsid w:val="00DF7894"/>
    <w:rsid w:val="00E26085"/>
    <w:rsid w:val="00E340F5"/>
    <w:rsid w:val="00E401CC"/>
    <w:rsid w:val="00E45A19"/>
    <w:rsid w:val="00E45CD4"/>
    <w:rsid w:val="00E56E5B"/>
    <w:rsid w:val="00E65318"/>
    <w:rsid w:val="00E84BD6"/>
    <w:rsid w:val="00E9261D"/>
    <w:rsid w:val="00E93D26"/>
    <w:rsid w:val="00E941B4"/>
    <w:rsid w:val="00EB0DF6"/>
    <w:rsid w:val="00EB133D"/>
    <w:rsid w:val="00EC6326"/>
    <w:rsid w:val="00ED0193"/>
    <w:rsid w:val="00ED12E5"/>
    <w:rsid w:val="00ED5C58"/>
    <w:rsid w:val="00ED65DE"/>
    <w:rsid w:val="00ED7051"/>
    <w:rsid w:val="00EE53C4"/>
    <w:rsid w:val="00EE6BCC"/>
    <w:rsid w:val="00F177D1"/>
    <w:rsid w:val="00F25AC1"/>
    <w:rsid w:val="00F33965"/>
    <w:rsid w:val="00F77477"/>
    <w:rsid w:val="00F812AC"/>
    <w:rsid w:val="13AE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link w:val="Char"/>
    <w:rPr>
      <w:sz w:val="24"/>
      <w:szCs w:val="24"/>
    </w:rPr>
  </w:style>
  <w:style w:type="character" w:customStyle="1" w:styleId="Char">
    <w:name w:val="文档结构图 Char"/>
    <w:link w:val="a3"/>
    <w:rPr>
      <w:kern w:val="2"/>
      <w:sz w:val="24"/>
      <w:szCs w:val="24"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character" w:customStyle="1" w:styleId="Char0">
    <w:name w:val="日期 Char"/>
    <w:link w:val="a4"/>
    <w:rPr>
      <w:kern w:val="2"/>
      <w:sz w:val="21"/>
    </w:rPr>
  </w:style>
  <w:style w:type="paragraph" w:styleId="a5">
    <w:name w:val="Balloon Text"/>
    <w:basedOn w:val="a"/>
    <w:link w:val="Char1"/>
    <w:rPr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Company>YHFund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cp:lastModifiedBy>ZHONGM</cp:lastModifiedBy>
  <cp:revision>2</cp:revision>
  <cp:lastPrinted>2021-02-24T09:04:00Z</cp:lastPrinted>
  <dcterms:created xsi:type="dcterms:W3CDTF">2026-01-18T16:01:00Z</dcterms:created>
  <dcterms:modified xsi:type="dcterms:W3CDTF">2026-01-18T16:01:00Z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15C95F064F574547ADB9355F5E94D053_12</vt:lpwstr>
  </property>
</Properties>
</file>