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6" w:rsidRPr="00030FB3" w:rsidRDefault="00893436" w:rsidP="00AC3CC5">
      <w:pPr>
        <w:widowControl/>
        <w:spacing w:line="360" w:lineRule="auto"/>
        <w:jc w:val="center"/>
        <w:rPr>
          <w:rFonts w:asciiTheme="minorEastAsia" w:eastAsiaTheme="minorEastAsia" w:hAnsiTheme="minorEastAsia" w:cs="宋体"/>
          <w:b/>
          <w:kern w:val="0"/>
          <w:sz w:val="30"/>
          <w:szCs w:val="30"/>
        </w:rPr>
      </w:pPr>
      <w:r w:rsidRPr="00030FB3">
        <w:rPr>
          <w:rFonts w:asciiTheme="minorEastAsia" w:eastAsiaTheme="minorEastAsia" w:hAnsiTheme="minorEastAsia" w:cs="宋体" w:hint="eastAsia"/>
          <w:b/>
          <w:kern w:val="0"/>
          <w:sz w:val="30"/>
          <w:szCs w:val="30"/>
        </w:rPr>
        <w:t>国联安德盛稳健证券投资基金分红公告</w:t>
      </w:r>
    </w:p>
    <w:p w:rsidR="00893436" w:rsidRPr="00030FB3" w:rsidRDefault="00893436" w:rsidP="00AC3CC5">
      <w:pPr>
        <w:spacing w:line="360" w:lineRule="auto"/>
        <w:jc w:val="center"/>
        <w:rPr>
          <w:rFonts w:asciiTheme="minorEastAsia" w:eastAsiaTheme="minorEastAsia" w:hAnsiTheme="minorEastAsia"/>
          <w:color w:val="000000"/>
          <w:sz w:val="24"/>
          <w:szCs w:val="24"/>
        </w:rPr>
      </w:pPr>
      <w:r w:rsidRPr="00030FB3">
        <w:rPr>
          <w:rFonts w:asciiTheme="minorEastAsia" w:eastAsiaTheme="minorEastAsia" w:hAnsiTheme="minorEastAsia"/>
          <w:color w:val="000000"/>
          <w:sz w:val="24"/>
          <w:szCs w:val="24"/>
        </w:rPr>
        <w:t>公告送出日期：</w:t>
      </w:r>
      <w:r w:rsidR="003D38B5" w:rsidRPr="00030FB3">
        <w:rPr>
          <w:rFonts w:asciiTheme="minorEastAsia" w:eastAsiaTheme="minorEastAsia" w:hAnsiTheme="minorEastAsia" w:cs="宋体"/>
          <w:bCs/>
          <w:sz w:val="24"/>
          <w:szCs w:val="24"/>
        </w:rPr>
        <w:t>2026年1月1</w:t>
      </w:r>
      <w:r w:rsidR="0050041F" w:rsidRPr="00030FB3">
        <w:rPr>
          <w:rFonts w:asciiTheme="minorEastAsia" w:eastAsiaTheme="minorEastAsia" w:hAnsiTheme="minorEastAsia" w:cs="宋体"/>
          <w:bCs/>
          <w:sz w:val="24"/>
          <w:szCs w:val="24"/>
        </w:rPr>
        <w:t>9</w:t>
      </w:r>
      <w:r w:rsidR="003D38B5" w:rsidRPr="00030FB3">
        <w:rPr>
          <w:rFonts w:asciiTheme="minorEastAsia" w:eastAsiaTheme="minorEastAsia" w:hAnsiTheme="minorEastAsia" w:cs="宋体"/>
          <w:bCs/>
          <w:sz w:val="24"/>
          <w:szCs w:val="24"/>
        </w:rPr>
        <w:t>日</w:t>
      </w:r>
    </w:p>
    <w:p w:rsidR="00893436" w:rsidRPr="00030FB3" w:rsidRDefault="00893436" w:rsidP="00AC3CC5">
      <w:pPr>
        <w:spacing w:line="360" w:lineRule="auto"/>
        <w:jc w:val="center"/>
        <w:rPr>
          <w:rFonts w:asciiTheme="minorEastAsia" w:eastAsiaTheme="minorEastAsia" w:hAnsiTheme="minorEastAsia"/>
          <w:color w:val="000000"/>
          <w:sz w:val="24"/>
          <w:szCs w:val="24"/>
        </w:rPr>
      </w:pPr>
    </w:p>
    <w:p w:rsidR="00893436" w:rsidRPr="00030FB3" w:rsidRDefault="00893436" w:rsidP="00AC3CC5">
      <w:pPr>
        <w:pStyle w:val="2"/>
        <w:spacing w:line="360" w:lineRule="auto"/>
        <w:rPr>
          <w:rFonts w:asciiTheme="minorEastAsia" w:eastAsiaTheme="minorEastAsia" w:hAnsiTheme="minorEastAsia"/>
          <w:bCs w:val="0"/>
          <w:color w:val="000000"/>
          <w:sz w:val="24"/>
          <w:szCs w:val="24"/>
        </w:rPr>
      </w:pPr>
      <w:bookmarkStart w:id="0" w:name="_Toc275961418"/>
      <w:r w:rsidRPr="00030FB3">
        <w:rPr>
          <w:rFonts w:asciiTheme="minorEastAsia" w:eastAsiaTheme="minorEastAsia" w:hAnsiTheme="minorEastAsia"/>
          <w:bCs w:val="0"/>
          <w:color w:val="000000"/>
          <w:sz w:val="24"/>
          <w:szCs w:val="24"/>
        </w:rPr>
        <w:t>1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43"/>
        <w:gridCol w:w="2835"/>
        <w:gridCol w:w="2430"/>
        <w:gridCol w:w="2431"/>
      </w:tblGrid>
      <w:tr w:rsidR="0039192C" w:rsidRPr="00030FB3" w:rsidTr="001E1256">
        <w:trPr>
          <w:jc w:val="center"/>
        </w:trPr>
        <w:tc>
          <w:tcPr>
            <w:tcW w:w="4778" w:type="dxa"/>
            <w:gridSpan w:val="2"/>
          </w:tcPr>
          <w:p w:rsidR="0039192C" w:rsidRPr="00030FB3" w:rsidRDefault="0039192C" w:rsidP="00AC3CC5">
            <w:pPr>
              <w:spacing w:line="360" w:lineRule="auto"/>
              <w:rPr>
                <w:rFonts w:asciiTheme="minorEastAsia" w:eastAsiaTheme="minorEastAsia" w:hAnsiTheme="minorEastAsia"/>
                <w:color w:val="000000"/>
                <w:sz w:val="24"/>
                <w:szCs w:val="24"/>
              </w:rPr>
            </w:pPr>
            <w:r w:rsidRPr="00030FB3">
              <w:rPr>
                <w:rFonts w:asciiTheme="minorEastAsia" w:eastAsiaTheme="minorEastAsia" w:hAnsiTheme="minorEastAsia"/>
                <w:color w:val="000000"/>
                <w:sz w:val="24"/>
                <w:szCs w:val="24"/>
              </w:rPr>
              <w:t>基金名称</w:t>
            </w:r>
          </w:p>
        </w:tc>
        <w:tc>
          <w:tcPr>
            <w:tcW w:w="4861" w:type="dxa"/>
            <w:gridSpan w:val="2"/>
            <w:vAlign w:val="center"/>
          </w:tcPr>
          <w:p w:rsidR="0039192C" w:rsidRPr="00030FB3" w:rsidRDefault="0039192C" w:rsidP="00AC3CC5">
            <w:pPr>
              <w:spacing w:line="360" w:lineRule="auto"/>
              <w:rPr>
                <w:rFonts w:asciiTheme="minorEastAsia" w:eastAsiaTheme="minorEastAsia" w:hAnsiTheme="minorEastAsia"/>
                <w:sz w:val="24"/>
                <w:szCs w:val="24"/>
              </w:rPr>
            </w:pPr>
            <w:r w:rsidRPr="00030FB3">
              <w:rPr>
                <w:rFonts w:asciiTheme="minorEastAsia" w:eastAsiaTheme="minorEastAsia" w:hAnsiTheme="minorEastAsia"/>
                <w:sz w:val="24"/>
                <w:szCs w:val="24"/>
              </w:rPr>
              <w:t>国联安德盛稳健证券投资基金</w:t>
            </w:r>
          </w:p>
        </w:tc>
      </w:tr>
      <w:tr w:rsidR="0039192C" w:rsidRPr="00030FB3" w:rsidTr="001E1256">
        <w:trPr>
          <w:jc w:val="center"/>
        </w:trPr>
        <w:tc>
          <w:tcPr>
            <w:tcW w:w="4778" w:type="dxa"/>
            <w:gridSpan w:val="2"/>
          </w:tcPr>
          <w:p w:rsidR="0039192C" w:rsidRPr="00030FB3" w:rsidRDefault="0039192C" w:rsidP="00AC3CC5">
            <w:pPr>
              <w:spacing w:line="360" w:lineRule="auto"/>
              <w:rPr>
                <w:rFonts w:asciiTheme="minorEastAsia" w:eastAsiaTheme="minorEastAsia" w:hAnsiTheme="minorEastAsia"/>
                <w:color w:val="000000"/>
                <w:sz w:val="24"/>
                <w:szCs w:val="24"/>
              </w:rPr>
            </w:pPr>
            <w:r w:rsidRPr="00030FB3">
              <w:rPr>
                <w:rFonts w:asciiTheme="minorEastAsia" w:eastAsiaTheme="minorEastAsia" w:hAnsiTheme="minorEastAsia"/>
                <w:color w:val="000000"/>
                <w:sz w:val="24"/>
                <w:szCs w:val="24"/>
              </w:rPr>
              <w:t>基金简称</w:t>
            </w:r>
          </w:p>
        </w:tc>
        <w:tc>
          <w:tcPr>
            <w:tcW w:w="4861" w:type="dxa"/>
            <w:gridSpan w:val="2"/>
            <w:vAlign w:val="center"/>
          </w:tcPr>
          <w:p w:rsidR="0039192C" w:rsidRPr="00030FB3" w:rsidRDefault="0039192C" w:rsidP="00AC3CC5">
            <w:pPr>
              <w:spacing w:line="360" w:lineRule="auto"/>
              <w:rPr>
                <w:rFonts w:asciiTheme="minorEastAsia" w:eastAsiaTheme="minorEastAsia" w:hAnsiTheme="minorEastAsia"/>
                <w:sz w:val="24"/>
                <w:szCs w:val="24"/>
              </w:rPr>
            </w:pPr>
            <w:r w:rsidRPr="00030FB3">
              <w:rPr>
                <w:rFonts w:asciiTheme="minorEastAsia" w:eastAsiaTheme="minorEastAsia" w:hAnsiTheme="minorEastAsia"/>
                <w:sz w:val="24"/>
                <w:szCs w:val="24"/>
              </w:rPr>
              <w:t>国联安稳健混合</w:t>
            </w:r>
          </w:p>
        </w:tc>
      </w:tr>
      <w:tr w:rsidR="0039192C" w:rsidRPr="00030FB3" w:rsidTr="001E1256">
        <w:trPr>
          <w:jc w:val="center"/>
        </w:trPr>
        <w:tc>
          <w:tcPr>
            <w:tcW w:w="4778" w:type="dxa"/>
            <w:gridSpan w:val="2"/>
          </w:tcPr>
          <w:p w:rsidR="0039192C" w:rsidRPr="00030FB3" w:rsidRDefault="0039192C" w:rsidP="00AC3CC5">
            <w:pPr>
              <w:spacing w:line="360" w:lineRule="auto"/>
              <w:rPr>
                <w:rFonts w:asciiTheme="minorEastAsia" w:eastAsiaTheme="minorEastAsia" w:hAnsiTheme="minorEastAsia"/>
                <w:color w:val="000000"/>
                <w:sz w:val="24"/>
                <w:szCs w:val="24"/>
              </w:rPr>
            </w:pPr>
            <w:r w:rsidRPr="00030FB3">
              <w:rPr>
                <w:rFonts w:asciiTheme="minorEastAsia" w:eastAsiaTheme="minorEastAsia" w:hAnsiTheme="minorEastAsia"/>
                <w:color w:val="000000"/>
                <w:sz w:val="24"/>
                <w:szCs w:val="24"/>
              </w:rPr>
              <w:t>基金主代码</w:t>
            </w:r>
          </w:p>
        </w:tc>
        <w:tc>
          <w:tcPr>
            <w:tcW w:w="4861" w:type="dxa"/>
            <w:gridSpan w:val="2"/>
            <w:vAlign w:val="center"/>
          </w:tcPr>
          <w:p w:rsidR="0039192C" w:rsidRPr="00030FB3" w:rsidRDefault="0039192C" w:rsidP="00AC3CC5">
            <w:pPr>
              <w:spacing w:line="360" w:lineRule="auto"/>
              <w:rPr>
                <w:rFonts w:asciiTheme="minorEastAsia" w:eastAsiaTheme="minorEastAsia" w:hAnsiTheme="minorEastAsia"/>
                <w:sz w:val="24"/>
                <w:szCs w:val="24"/>
              </w:rPr>
            </w:pPr>
            <w:r w:rsidRPr="00030FB3">
              <w:rPr>
                <w:rFonts w:asciiTheme="minorEastAsia" w:eastAsiaTheme="minorEastAsia" w:hAnsiTheme="minorEastAsia"/>
                <w:sz w:val="24"/>
                <w:szCs w:val="24"/>
              </w:rPr>
              <w:t>255010</w:t>
            </w:r>
          </w:p>
        </w:tc>
      </w:tr>
      <w:tr w:rsidR="0039192C" w:rsidRPr="00030FB3" w:rsidTr="001E1256">
        <w:trPr>
          <w:jc w:val="center"/>
        </w:trPr>
        <w:tc>
          <w:tcPr>
            <w:tcW w:w="4778" w:type="dxa"/>
            <w:gridSpan w:val="2"/>
            <w:vAlign w:val="center"/>
          </w:tcPr>
          <w:p w:rsidR="0039192C" w:rsidRPr="00030FB3" w:rsidRDefault="0039192C" w:rsidP="00AC3CC5">
            <w:pPr>
              <w:spacing w:line="360" w:lineRule="auto"/>
              <w:rPr>
                <w:rFonts w:asciiTheme="minorEastAsia" w:eastAsiaTheme="minorEastAsia" w:hAnsiTheme="minorEastAsia"/>
                <w:color w:val="000000"/>
                <w:sz w:val="24"/>
                <w:szCs w:val="24"/>
              </w:rPr>
            </w:pPr>
            <w:r w:rsidRPr="00030FB3">
              <w:rPr>
                <w:rFonts w:asciiTheme="minorEastAsia" w:eastAsiaTheme="minorEastAsia" w:hAnsiTheme="minorEastAsia"/>
                <w:color w:val="000000"/>
                <w:sz w:val="24"/>
                <w:szCs w:val="24"/>
              </w:rPr>
              <w:t>基金合同生效日</w:t>
            </w:r>
          </w:p>
        </w:tc>
        <w:tc>
          <w:tcPr>
            <w:tcW w:w="4861" w:type="dxa"/>
            <w:gridSpan w:val="2"/>
            <w:vAlign w:val="center"/>
          </w:tcPr>
          <w:p w:rsidR="0039192C" w:rsidRPr="00030FB3" w:rsidRDefault="003E51F2" w:rsidP="00AC3CC5">
            <w:pPr>
              <w:spacing w:line="360" w:lineRule="auto"/>
              <w:rPr>
                <w:rFonts w:asciiTheme="minorEastAsia" w:eastAsiaTheme="minorEastAsia" w:hAnsiTheme="minorEastAsia"/>
                <w:sz w:val="24"/>
                <w:szCs w:val="24"/>
              </w:rPr>
            </w:pPr>
            <w:r w:rsidRPr="00030FB3">
              <w:rPr>
                <w:rFonts w:asciiTheme="minorEastAsia" w:eastAsiaTheme="minorEastAsia" w:hAnsiTheme="minorEastAsia"/>
                <w:sz w:val="24"/>
                <w:szCs w:val="24"/>
              </w:rPr>
              <w:t>2003年8月8日</w:t>
            </w:r>
          </w:p>
        </w:tc>
      </w:tr>
      <w:tr w:rsidR="0039192C" w:rsidRPr="00030FB3" w:rsidTr="001E1256">
        <w:trPr>
          <w:jc w:val="center"/>
        </w:trPr>
        <w:tc>
          <w:tcPr>
            <w:tcW w:w="4778" w:type="dxa"/>
            <w:gridSpan w:val="2"/>
          </w:tcPr>
          <w:p w:rsidR="0039192C" w:rsidRPr="00030FB3" w:rsidRDefault="0039192C" w:rsidP="00AC3CC5">
            <w:pPr>
              <w:spacing w:line="360" w:lineRule="auto"/>
              <w:rPr>
                <w:rFonts w:asciiTheme="minorEastAsia" w:eastAsiaTheme="minorEastAsia" w:hAnsiTheme="minorEastAsia"/>
                <w:color w:val="000000"/>
                <w:sz w:val="24"/>
                <w:szCs w:val="24"/>
              </w:rPr>
            </w:pPr>
            <w:r w:rsidRPr="00030FB3">
              <w:rPr>
                <w:rFonts w:asciiTheme="minorEastAsia" w:eastAsiaTheme="minorEastAsia" w:hAnsiTheme="minorEastAsia"/>
                <w:color w:val="000000"/>
                <w:sz w:val="24"/>
                <w:szCs w:val="24"/>
              </w:rPr>
              <w:t>基金管理人名称</w:t>
            </w:r>
          </w:p>
        </w:tc>
        <w:tc>
          <w:tcPr>
            <w:tcW w:w="4861" w:type="dxa"/>
            <w:gridSpan w:val="2"/>
            <w:vAlign w:val="center"/>
          </w:tcPr>
          <w:p w:rsidR="0039192C" w:rsidRPr="00030FB3" w:rsidRDefault="0039192C" w:rsidP="00AC3CC5">
            <w:pPr>
              <w:spacing w:line="360" w:lineRule="auto"/>
              <w:rPr>
                <w:rFonts w:asciiTheme="minorEastAsia" w:eastAsiaTheme="minorEastAsia" w:hAnsiTheme="minorEastAsia"/>
                <w:sz w:val="24"/>
                <w:szCs w:val="24"/>
              </w:rPr>
            </w:pPr>
            <w:r w:rsidRPr="00030FB3">
              <w:rPr>
                <w:rFonts w:asciiTheme="minorEastAsia" w:eastAsiaTheme="minorEastAsia" w:hAnsiTheme="minorEastAsia"/>
                <w:sz w:val="24"/>
                <w:szCs w:val="24"/>
              </w:rPr>
              <w:t>国联安基金管理有限公司</w:t>
            </w:r>
          </w:p>
        </w:tc>
      </w:tr>
      <w:tr w:rsidR="0039192C" w:rsidRPr="00030FB3" w:rsidTr="001E1256">
        <w:trPr>
          <w:jc w:val="center"/>
        </w:trPr>
        <w:tc>
          <w:tcPr>
            <w:tcW w:w="4778" w:type="dxa"/>
            <w:gridSpan w:val="2"/>
          </w:tcPr>
          <w:p w:rsidR="0039192C" w:rsidRPr="00030FB3" w:rsidRDefault="0039192C" w:rsidP="00AC3CC5">
            <w:pPr>
              <w:spacing w:line="360" w:lineRule="auto"/>
              <w:rPr>
                <w:rFonts w:asciiTheme="minorEastAsia" w:eastAsiaTheme="minorEastAsia" w:hAnsiTheme="minorEastAsia"/>
                <w:color w:val="000000"/>
                <w:sz w:val="24"/>
                <w:szCs w:val="24"/>
              </w:rPr>
            </w:pPr>
            <w:r w:rsidRPr="00030FB3">
              <w:rPr>
                <w:rFonts w:asciiTheme="minorEastAsia" w:eastAsiaTheme="minorEastAsia" w:hAnsiTheme="minorEastAsia"/>
                <w:color w:val="000000"/>
                <w:sz w:val="24"/>
                <w:szCs w:val="24"/>
              </w:rPr>
              <w:t>基金托管人名称</w:t>
            </w:r>
          </w:p>
        </w:tc>
        <w:tc>
          <w:tcPr>
            <w:tcW w:w="4861" w:type="dxa"/>
            <w:gridSpan w:val="2"/>
            <w:vAlign w:val="center"/>
          </w:tcPr>
          <w:p w:rsidR="0039192C" w:rsidRPr="00030FB3" w:rsidRDefault="0039192C" w:rsidP="00AC3CC5">
            <w:pPr>
              <w:spacing w:line="360" w:lineRule="auto"/>
              <w:rPr>
                <w:rFonts w:asciiTheme="minorEastAsia" w:eastAsiaTheme="minorEastAsia" w:hAnsiTheme="minorEastAsia"/>
                <w:sz w:val="24"/>
                <w:szCs w:val="24"/>
              </w:rPr>
            </w:pPr>
            <w:r w:rsidRPr="00030FB3">
              <w:rPr>
                <w:rFonts w:asciiTheme="minorEastAsia" w:eastAsiaTheme="minorEastAsia" w:hAnsiTheme="minorEastAsia"/>
                <w:sz w:val="24"/>
                <w:szCs w:val="24"/>
              </w:rPr>
              <w:t>中国工商银行股份有限公司</w:t>
            </w:r>
          </w:p>
        </w:tc>
      </w:tr>
      <w:tr w:rsidR="0039192C" w:rsidRPr="00030FB3" w:rsidTr="001E1256">
        <w:trPr>
          <w:jc w:val="center"/>
        </w:trPr>
        <w:tc>
          <w:tcPr>
            <w:tcW w:w="4778" w:type="dxa"/>
            <w:gridSpan w:val="2"/>
          </w:tcPr>
          <w:p w:rsidR="0039192C" w:rsidRPr="00030FB3" w:rsidRDefault="0039192C" w:rsidP="00AC3CC5">
            <w:pPr>
              <w:spacing w:line="360" w:lineRule="auto"/>
              <w:rPr>
                <w:rFonts w:asciiTheme="minorEastAsia" w:eastAsiaTheme="minorEastAsia" w:hAnsiTheme="minorEastAsia"/>
                <w:color w:val="000000"/>
                <w:sz w:val="24"/>
                <w:szCs w:val="24"/>
              </w:rPr>
            </w:pPr>
            <w:r w:rsidRPr="00030FB3">
              <w:rPr>
                <w:rFonts w:asciiTheme="minorEastAsia" w:eastAsiaTheme="minorEastAsia" w:hAnsiTheme="minorEastAsia"/>
                <w:color w:val="000000"/>
                <w:sz w:val="24"/>
                <w:szCs w:val="24"/>
              </w:rPr>
              <w:t>公告依据</w:t>
            </w:r>
          </w:p>
        </w:tc>
        <w:tc>
          <w:tcPr>
            <w:tcW w:w="4861" w:type="dxa"/>
            <w:gridSpan w:val="2"/>
            <w:vAlign w:val="center"/>
          </w:tcPr>
          <w:p w:rsidR="0039192C" w:rsidRPr="00030FB3" w:rsidRDefault="00794FA7" w:rsidP="00AC3CC5">
            <w:pPr>
              <w:spacing w:line="360" w:lineRule="auto"/>
              <w:rPr>
                <w:rFonts w:asciiTheme="minorEastAsia" w:eastAsiaTheme="minorEastAsia" w:hAnsiTheme="minorEastAsia"/>
                <w:sz w:val="24"/>
                <w:szCs w:val="24"/>
              </w:rPr>
            </w:pPr>
            <w:r w:rsidRPr="00030FB3">
              <w:rPr>
                <w:rFonts w:asciiTheme="minorEastAsia" w:eastAsiaTheme="minorEastAsia" w:hAnsiTheme="minorEastAsia"/>
                <w:sz w:val="24"/>
                <w:szCs w:val="24"/>
              </w:rPr>
              <w:t>《国联安德盛稳健证券投资基金基金合同》（以下简称“《基金合同》”）、《国联安德盛稳健证券投资基金招募说明书（更新）》</w:t>
            </w:r>
            <w:r w:rsidR="003D38B5" w:rsidRPr="00030FB3">
              <w:rPr>
                <w:rFonts w:asciiTheme="minorEastAsia" w:eastAsiaTheme="minorEastAsia" w:hAnsiTheme="minorEastAsia" w:hint="eastAsia"/>
                <w:sz w:val="24"/>
                <w:szCs w:val="24"/>
              </w:rPr>
              <w:t>等相关法律文件及相关法律法规</w:t>
            </w:r>
          </w:p>
        </w:tc>
      </w:tr>
      <w:tr w:rsidR="003D38B5" w:rsidRPr="00030FB3" w:rsidTr="001E1256">
        <w:trPr>
          <w:jc w:val="center"/>
        </w:trPr>
        <w:tc>
          <w:tcPr>
            <w:tcW w:w="4778" w:type="dxa"/>
            <w:gridSpan w:val="2"/>
          </w:tcPr>
          <w:p w:rsidR="003D38B5" w:rsidRPr="00030FB3" w:rsidRDefault="003D38B5" w:rsidP="003D38B5">
            <w:pPr>
              <w:spacing w:line="360" w:lineRule="auto"/>
              <w:rPr>
                <w:rFonts w:asciiTheme="minorEastAsia" w:eastAsiaTheme="minorEastAsia" w:hAnsiTheme="minorEastAsia"/>
                <w:color w:val="000000"/>
                <w:sz w:val="24"/>
                <w:szCs w:val="24"/>
              </w:rPr>
            </w:pPr>
            <w:r w:rsidRPr="00030FB3">
              <w:rPr>
                <w:rFonts w:asciiTheme="minorEastAsia" w:eastAsiaTheme="minorEastAsia" w:hAnsiTheme="minorEastAsia"/>
                <w:color w:val="000000"/>
                <w:sz w:val="24"/>
                <w:szCs w:val="24"/>
              </w:rPr>
              <w:t>收益分配基准日</w:t>
            </w:r>
          </w:p>
        </w:tc>
        <w:tc>
          <w:tcPr>
            <w:tcW w:w="4861" w:type="dxa"/>
            <w:gridSpan w:val="2"/>
          </w:tcPr>
          <w:p w:rsidR="003D38B5" w:rsidRPr="00030FB3" w:rsidRDefault="003D38B5" w:rsidP="003D38B5">
            <w:pPr>
              <w:spacing w:line="360" w:lineRule="auto"/>
              <w:rPr>
                <w:rFonts w:asciiTheme="minorEastAsia" w:eastAsiaTheme="minorEastAsia" w:hAnsiTheme="minorEastAsia"/>
                <w:sz w:val="24"/>
                <w:szCs w:val="24"/>
              </w:rPr>
            </w:pPr>
            <w:r w:rsidRPr="00030FB3">
              <w:rPr>
                <w:rFonts w:asciiTheme="minorEastAsia" w:eastAsiaTheme="minorEastAsia" w:hAnsiTheme="minorEastAsia"/>
                <w:sz w:val="24"/>
                <w:szCs w:val="24"/>
              </w:rPr>
              <w:t>2025年12月31日</w:t>
            </w:r>
          </w:p>
        </w:tc>
      </w:tr>
      <w:tr w:rsidR="00FF1BB1" w:rsidRPr="00030FB3" w:rsidTr="007C729C">
        <w:trPr>
          <w:jc w:val="center"/>
        </w:trPr>
        <w:tc>
          <w:tcPr>
            <w:tcW w:w="4778" w:type="dxa"/>
            <w:gridSpan w:val="2"/>
          </w:tcPr>
          <w:p w:rsidR="00FF1BB1" w:rsidRPr="00030FB3" w:rsidRDefault="00FF1BB1" w:rsidP="003D38B5">
            <w:pPr>
              <w:spacing w:line="360" w:lineRule="auto"/>
              <w:rPr>
                <w:rFonts w:asciiTheme="minorEastAsia" w:eastAsiaTheme="minorEastAsia" w:hAnsiTheme="minorEastAsia"/>
                <w:color w:val="000000"/>
                <w:sz w:val="24"/>
                <w:szCs w:val="24"/>
              </w:rPr>
            </w:pPr>
            <w:r w:rsidRPr="00030FB3">
              <w:rPr>
                <w:rFonts w:asciiTheme="minorEastAsia" w:eastAsiaTheme="minorEastAsia" w:hAnsiTheme="minorEastAsia" w:hint="eastAsia"/>
                <w:color w:val="000000"/>
                <w:sz w:val="24"/>
                <w:szCs w:val="24"/>
              </w:rPr>
              <w:t>下属分级基金的基金简称</w:t>
            </w:r>
          </w:p>
        </w:tc>
        <w:tc>
          <w:tcPr>
            <w:tcW w:w="2430" w:type="dxa"/>
          </w:tcPr>
          <w:p w:rsidR="00FF1BB1" w:rsidRPr="00030FB3" w:rsidRDefault="00FF1BB1" w:rsidP="003D38B5">
            <w:pPr>
              <w:spacing w:line="360" w:lineRule="auto"/>
              <w:rPr>
                <w:rFonts w:asciiTheme="minorEastAsia" w:eastAsiaTheme="minorEastAsia" w:hAnsiTheme="minorEastAsia"/>
                <w:sz w:val="24"/>
                <w:szCs w:val="24"/>
              </w:rPr>
            </w:pPr>
            <w:r w:rsidRPr="00030FB3">
              <w:rPr>
                <w:rFonts w:asciiTheme="minorEastAsia" w:eastAsiaTheme="minorEastAsia" w:hAnsiTheme="minorEastAsia" w:hint="eastAsia"/>
                <w:sz w:val="24"/>
                <w:szCs w:val="24"/>
              </w:rPr>
              <w:t>国联安稳健混合A</w:t>
            </w:r>
          </w:p>
        </w:tc>
        <w:tc>
          <w:tcPr>
            <w:tcW w:w="2431" w:type="dxa"/>
          </w:tcPr>
          <w:p w:rsidR="00FF1BB1" w:rsidRPr="00030FB3" w:rsidRDefault="00FF1BB1" w:rsidP="003D38B5">
            <w:pPr>
              <w:spacing w:line="360" w:lineRule="auto"/>
              <w:rPr>
                <w:rFonts w:asciiTheme="minorEastAsia" w:eastAsiaTheme="minorEastAsia" w:hAnsiTheme="minorEastAsia"/>
                <w:sz w:val="24"/>
                <w:szCs w:val="24"/>
              </w:rPr>
            </w:pPr>
            <w:r w:rsidRPr="00030FB3">
              <w:rPr>
                <w:rFonts w:asciiTheme="minorEastAsia" w:eastAsiaTheme="minorEastAsia" w:hAnsiTheme="minorEastAsia" w:hint="eastAsia"/>
                <w:sz w:val="24"/>
                <w:szCs w:val="24"/>
              </w:rPr>
              <w:t>国联安稳健混合C</w:t>
            </w:r>
          </w:p>
        </w:tc>
      </w:tr>
      <w:tr w:rsidR="00FF1BB1" w:rsidRPr="00030FB3" w:rsidTr="00956DF5">
        <w:trPr>
          <w:jc w:val="center"/>
        </w:trPr>
        <w:tc>
          <w:tcPr>
            <w:tcW w:w="4778" w:type="dxa"/>
            <w:gridSpan w:val="2"/>
          </w:tcPr>
          <w:p w:rsidR="00FF1BB1" w:rsidRPr="00030FB3" w:rsidRDefault="00FF1BB1" w:rsidP="003D38B5">
            <w:pPr>
              <w:spacing w:line="360" w:lineRule="auto"/>
              <w:rPr>
                <w:rFonts w:asciiTheme="minorEastAsia" w:eastAsiaTheme="minorEastAsia" w:hAnsiTheme="minorEastAsia"/>
                <w:color w:val="000000"/>
                <w:sz w:val="24"/>
                <w:szCs w:val="24"/>
              </w:rPr>
            </w:pPr>
            <w:r w:rsidRPr="00030FB3">
              <w:rPr>
                <w:rFonts w:asciiTheme="minorEastAsia" w:eastAsiaTheme="minorEastAsia" w:hAnsiTheme="minorEastAsia" w:hint="eastAsia"/>
                <w:color w:val="000000"/>
                <w:sz w:val="24"/>
                <w:szCs w:val="24"/>
              </w:rPr>
              <w:t>下属分级基金的交易代码</w:t>
            </w:r>
          </w:p>
        </w:tc>
        <w:tc>
          <w:tcPr>
            <w:tcW w:w="2430" w:type="dxa"/>
          </w:tcPr>
          <w:p w:rsidR="00FF1BB1" w:rsidRPr="00030FB3" w:rsidRDefault="00FF1BB1" w:rsidP="003D38B5">
            <w:pPr>
              <w:spacing w:line="360" w:lineRule="auto"/>
              <w:rPr>
                <w:rFonts w:asciiTheme="minorEastAsia" w:eastAsiaTheme="minorEastAsia" w:hAnsiTheme="minorEastAsia"/>
                <w:sz w:val="24"/>
                <w:szCs w:val="24"/>
              </w:rPr>
            </w:pPr>
            <w:r w:rsidRPr="00030FB3">
              <w:rPr>
                <w:rFonts w:asciiTheme="minorEastAsia" w:eastAsiaTheme="minorEastAsia" w:hAnsiTheme="minorEastAsia"/>
                <w:sz w:val="24"/>
                <w:szCs w:val="24"/>
              </w:rPr>
              <w:t>255010</w:t>
            </w:r>
          </w:p>
        </w:tc>
        <w:tc>
          <w:tcPr>
            <w:tcW w:w="2431" w:type="dxa"/>
          </w:tcPr>
          <w:p w:rsidR="00FF1BB1" w:rsidRPr="00030FB3" w:rsidRDefault="00FF1BB1" w:rsidP="003D38B5">
            <w:pPr>
              <w:spacing w:line="360" w:lineRule="auto"/>
              <w:rPr>
                <w:rFonts w:asciiTheme="minorEastAsia" w:eastAsiaTheme="minorEastAsia" w:hAnsiTheme="minorEastAsia"/>
                <w:sz w:val="24"/>
                <w:szCs w:val="24"/>
              </w:rPr>
            </w:pPr>
            <w:r w:rsidRPr="00030FB3">
              <w:rPr>
                <w:rFonts w:asciiTheme="minorEastAsia" w:eastAsiaTheme="minorEastAsia" w:hAnsiTheme="minorEastAsia"/>
                <w:sz w:val="24"/>
                <w:szCs w:val="24"/>
              </w:rPr>
              <w:t>021479</w:t>
            </w:r>
          </w:p>
        </w:tc>
      </w:tr>
      <w:tr w:rsidR="00FF1BB1" w:rsidRPr="00030FB3" w:rsidTr="00121DC9">
        <w:trPr>
          <w:jc w:val="center"/>
        </w:trPr>
        <w:tc>
          <w:tcPr>
            <w:tcW w:w="1943" w:type="dxa"/>
            <w:vMerge w:val="restart"/>
            <w:vAlign w:val="center"/>
          </w:tcPr>
          <w:p w:rsidR="00FF1BB1" w:rsidRPr="00030FB3" w:rsidRDefault="00FF1BB1" w:rsidP="003D38B5">
            <w:pPr>
              <w:spacing w:line="360" w:lineRule="auto"/>
              <w:jc w:val="center"/>
              <w:rPr>
                <w:rFonts w:asciiTheme="minorEastAsia" w:eastAsiaTheme="minorEastAsia" w:hAnsiTheme="minorEastAsia"/>
                <w:color w:val="000000"/>
                <w:sz w:val="24"/>
                <w:szCs w:val="24"/>
              </w:rPr>
            </w:pPr>
            <w:r w:rsidRPr="00030FB3">
              <w:rPr>
                <w:rFonts w:asciiTheme="minorEastAsia" w:eastAsiaTheme="minorEastAsia" w:hAnsiTheme="minorEastAsia"/>
                <w:color w:val="000000"/>
                <w:sz w:val="24"/>
                <w:szCs w:val="24"/>
              </w:rPr>
              <w:t>截止收益分配基准日的相关指标</w:t>
            </w:r>
          </w:p>
        </w:tc>
        <w:tc>
          <w:tcPr>
            <w:tcW w:w="2835" w:type="dxa"/>
          </w:tcPr>
          <w:p w:rsidR="00FF1BB1" w:rsidRPr="00030FB3" w:rsidRDefault="00FF1BB1" w:rsidP="003D38B5">
            <w:pPr>
              <w:spacing w:line="360" w:lineRule="auto"/>
              <w:rPr>
                <w:rFonts w:asciiTheme="minorEastAsia" w:eastAsiaTheme="minorEastAsia" w:hAnsiTheme="minorEastAsia"/>
                <w:color w:val="000000"/>
                <w:sz w:val="24"/>
                <w:szCs w:val="24"/>
              </w:rPr>
            </w:pPr>
            <w:r w:rsidRPr="00030FB3">
              <w:rPr>
                <w:rFonts w:asciiTheme="minorEastAsia" w:eastAsiaTheme="minorEastAsia" w:hAnsiTheme="minorEastAsia"/>
                <w:color w:val="000000"/>
                <w:sz w:val="24"/>
                <w:szCs w:val="24"/>
              </w:rPr>
              <w:t>基准日基金份额净值</w:t>
            </w:r>
            <w:r w:rsidRPr="00030FB3">
              <w:rPr>
                <w:rFonts w:asciiTheme="minorEastAsia" w:eastAsiaTheme="minorEastAsia" w:hAnsiTheme="minorEastAsia" w:hint="eastAsia"/>
                <w:sz w:val="24"/>
                <w:szCs w:val="24"/>
              </w:rPr>
              <w:t>（单位：</w:t>
            </w:r>
            <w:r w:rsidRPr="00030FB3">
              <w:rPr>
                <w:rFonts w:asciiTheme="minorEastAsia" w:eastAsiaTheme="minorEastAsia" w:hAnsiTheme="minorEastAsia" w:hint="eastAsia"/>
                <w:color w:val="000000"/>
                <w:kern w:val="0"/>
                <w:sz w:val="24"/>
                <w:szCs w:val="24"/>
              </w:rPr>
              <w:t>元</w:t>
            </w:r>
            <w:r w:rsidRPr="00030FB3">
              <w:rPr>
                <w:rFonts w:asciiTheme="minorEastAsia" w:eastAsiaTheme="minorEastAsia" w:hAnsiTheme="minorEastAsia" w:hint="eastAsia"/>
                <w:sz w:val="24"/>
                <w:szCs w:val="24"/>
              </w:rPr>
              <w:t>）</w:t>
            </w:r>
          </w:p>
        </w:tc>
        <w:tc>
          <w:tcPr>
            <w:tcW w:w="2430" w:type="dxa"/>
          </w:tcPr>
          <w:p w:rsidR="00FF1BB1" w:rsidRPr="00030FB3" w:rsidRDefault="00182164" w:rsidP="003D38B5">
            <w:pPr>
              <w:spacing w:line="360" w:lineRule="auto"/>
              <w:rPr>
                <w:rFonts w:asciiTheme="minorEastAsia" w:eastAsiaTheme="minorEastAsia" w:hAnsiTheme="minorEastAsia"/>
                <w:sz w:val="24"/>
                <w:szCs w:val="24"/>
              </w:rPr>
            </w:pPr>
            <w:r w:rsidRPr="00030FB3">
              <w:rPr>
                <w:rFonts w:asciiTheme="minorEastAsia" w:eastAsiaTheme="minorEastAsia" w:hAnsiTheme="minorEastAsia"/>
                <w:sz w:val="24"/>
                <w:szCs w:val="24"/>
              </w:rPr>
              <w:t>1.213</w:t>
            </w:r>
          </w:p>
        </w:tc>
        <w:tc>
          <w:tcPr>
            <w:tcW w:w="2431" w:type="dxa"/>
          </w:tcPr>
          <w:p w:rsidR="00FF1BB1" w:rsidRPr="00030FB3" w:rsidRDefault="00182164" w:rsidP="003D38B5">
            <w:pPr>
              <w:spacing w:line="360" w:lineRule="auto"/>
              <w:rPr>
                <w:rFonts w:asciiTheme="minorEastAsia" w:eastAsiaTheme="minorEastAsia" w:hAnsiTheme="minorEastAsia"/>
                <w:sz w:val="24"/>
                <w:szCs w:val="24"/>
              </w:rPr>
            </w:pPr>
            <w:r w:rsidRPr="00030FB3">
              <w:rPr>
                <w:rFonts w:asciiTheme="minorEastAsia" w:eastAsiaTheme="minorEastAsia" w:hAnsiTheme="minorEastAsia"/>
                <w:sz w:val="24"/>
                <w:szCs w:val="24"/>
              </w:rPr>
              <w:t>1.21</w:t>
            </w:r>
            <w:r w:rsidR="00C93F1C" w:rsidRPr="00030FB3">
              <w:rPr>
                <w:rFonts w:asciiTheme="minorEastAsia" w:eastAsiaTheme="minorEastAsia" w:hAnsiTheme="minorEastAsia"/>
                <w:sz w:val="24"/>
                <w:szCs w:val="24"/>
              </w:rPr>
              <w:t>0</w:t>
            </w:r>
          </w:p>
        </w:tc>
      </w:tr>
      <w:tr w:rsidR="00FF1BB1" w:rsidRPr="00030FB3" w:rsidTr="00CF2A4B">
        <w:trPr>
          <w:jc w:val="center"/>
        </w:trPr>
        <w:tc>
          <w:tcPr>
            <w:tcW w:w="1943" w:type="dxa"/>
            <w:vMerge/>
          </w:tcPr>
          <w:p w:rsidR="00FF1BB1" w:rsidRPr="00030FB3" w:rsidRDefault="00FF1BB1" w:rsidP="003D38B5">
            <w:pPr>
              <w:spacing w:line="360" w:lineRule="auto"/>
              <w:rPr>
                <w:rFonts w:asciiTheme="minorEastAsia" w:eastAsiaTheme="minorEastAsia" w:hAnsiTheme="minorEastAsia"/>
                <w:color w:val="000000"/>
                <w:sz w:val="24"/>
                <w:szCs w:val="24"/>
              </w:rPr>
            </w:pPr>
          </w:p>
        </w:tc>
        <w:tc>
          <w:tcPr>
            <w:tcW w:w="2835" w:type="dxa"/>
          </w:tcPr>
          <w:p w:rsidR="00FF1BB1" w:rsidRPr="00030FB3" w:rsidRDefault="00FF1BB1" w:rsidP="003D38B5">
            <w:pPr>
              <w:spacing w:line="360" w:lineRule="auto"/>
              <w:rPr>
                <w:rFonts w:asciiTheme="minorEastAsia" w:eastAsiaTheme="minorEastAsia" w:hAnsiTheme="minorEastAsia"/>
                <w:sz w:val="24"/>
                <w:szCs w:val="24"/>
              </w:rPr>
            </w:pPr>
            <w:r w:rsidRPr="00030FB3">
              <w:rPr>
                <w:rFonts w:asciiTheme="minorEastAsia" w:eastAsiaTheme="minorEastAsia" w:hAnsiTheme="minorEastAsia"/>
                <w:sz w:val="24"/>
                <w:szCs w:val="24"/>
              </w:rPr>
              <w:t>基准日基金可供分配利润</w:t>
            </w:r>
            <w:r w:rsidRPr="00030FB3">
              <w:rPr>
                <w:rFonts w:asciiTheme="minorEastAsia" w:eastAsiaTheme="minorEastAsia" w:hAnsiTheme="minorEastAsia" w:hint="eastAsia"/>
                <w:sz w:val="24"/>
                <w:szCs w:val="24"/>
              </w:rPr>
              <w:t>（单位：元）</w:t>
            </w:r>
          </w:p>
        </w:tc>
        <w:tc>
          <w:tcPr>
            <w:tcW w:w="2430" w:type="dxa"/>
          </w:tcPr>
          <w:p w:rsidR="00FF1BB1" w:rsidRPr="00030FB3" w:rsidRDefault="00182164" w:rsidP="003D38B5">
            <w:pPr>
              <w:widowControl/>
              <w:rPr>
                <w:rFonts w:asciiTheme="minorEastAsia" w:eastAsiaTheme="minorEastAsia" w:hAnsiTheme="minorEastAsia"/>
                <w:sz w:val="24"/>
                <w:szCs w:val="24"/>
              </w:rPr>
            </w:pPr>
            <w:r w:rsidRPr="00030FB3">
              <w:rPr>
                <w:rFonts w:asciiTheme="minorEastAsia" w:eastAsiaTheme="minorEastAsia" w:hAnsiTheme="minorEastAsia"/>
                <w:sz w:val="24"/>
                <w:szCs w:val="24"/>
              </w:rPr>
              <w:t>32,566,179.75</w:t>
            </w:r>
          </w:p>
        </w:tc>
        <w:tc>
          <w:tcPr>
            <w:tcW w:w="2431" w:type="dxa"/>
          </w:tcPr>
          <w:p w:rsidR="00FF1BB1" w:rsidRPr="00030FB3" w:rsidRDefault="00182164" w:rsidP="003D38B5">
            <w:pPr>
              <w:spacing w:line="360" w:lineRule="auto"/>
              <w:rPr>
                <w:rFonts w:asciiTheme="minorEastAsia" w:eastAsiaTheme="minorEastAsia" w:hAnsiTheme="minorEastAsia"/>
                <w:sz w:val="24"/>
                <w:szCs w:val="24"/>
              </w:rPr>
            </w:pPr>
            <w:r w:rsidRPr="00030FB3">
              <w:rPr>
                <w:rFonts w:asciiTheme="minorEastAsia" w:eastAsiaTheme="minorEastAsia" w:hAnsiTheme="minorEastAsia"/>
                <w:sz w:val="24"/>
                <w:szCs w:val="24"/>
              </w:rPr>
              <w:t>13,910.08</w:t>
            </w:r>
          </w:p>
        </w:tc>
      </w:tr>
      <w:tr w:rsidR="00FF1BB1" w:rsidRPr="00030FB3" w:rsidTr="00424D46">
        <w:trPr>
          <w:jc w:val="center"/>
        </w:trPr>
        <w:tc>
          <w:tcPr>
            <w:tcW w:w="1943" w:type="dxa"/>
            <w:vMerge/>
          </w:tcPr>
          <w:p w:rsidR="00FF1BB1" w:rsidRPr="00030FB3" w:rsidRDefault="00FF1BB1" w:rsidP="003D38B5">
            <w:pPr>
              <w:spacing w:line="360" w:lineRule="auto"/>
              <w:rPr>
                <w:rFonts w:asciiTheme="minorEastAsia" w:eastAsiaTheme="minorEastAsia" w:hAnsiTheme="minorEastAsia"/>
                <w:color w:val="000000"/>
                <w:sz w:val="24"/>
                <w:szCs w:val="24"/>
              </w:rPr>
            </w:pPr>
          </w:p>
        </w:tc>
        <w:tc>
          <w:tcPr>
            <w:tcW w:w="2835" w:type="dxa"/>
          </w:tcPr>
          <w:p w:rsidR="00FF1BB1" w:rsidRPr="00030FB3" w:rsidRDefault="00FF1BB1" w:rsidP="003D38B5">
            <w:pPr>
              <w:spacing w:line="360" w:lineRule="auto"/>
              <w:rPr>
                <w:rFonts w:asciiTheme="minorEastAsia" w:eastAsiaTheme="minorEastAsia" w:hAnsiTheme="minorEastAsia"/>
                <w:color w:val="000000"/>
                <w:sz w:val="24"/>
                <w:szCs w:val="24"/>
              </w:rPr>
            </w:pPr>
            <w:r w:rsidRPr="00030FB3">
              <w:rPr>
                <w:rFonts w:asciiTheme="minorEastAsia" w:eastAsiaTheme="minorEastAsia" w:hAnsiTheme="minorEastAsia"/>
                <w:color w:val="000000"/>
                <w:sz w:val="24"/>
                <w:szCs w:val="24"/>
              </w:rPr>
              <w:t>截止基准日按照基金合同约定的分红比例计算的应分配金额</w:t>
            </w:r>
            <w:r w:rsidRPr="00030FB3">
              <w:rPr>
                <w:rFonts w:asciiTheme="minorEastAsia" w:eastAsiaTheme="minorEastAsia" w:hAnsiTheme="minorEastAsia" w:hint="eastAsia"/>
                <w:sz w:val="24"/>
                <w:szCs w:val="24"/>
              </w:rPr>
              <w:t>（单位：</w:t>
            </w:r>
            <w:r w:rsidRPr="00030FB3">
              <w:rPr>
                <w:rFonts w:asciiTheme="minorEastAsia" w:eastAsiaTheme="minorEastAsia" w:hAnsiTheme="minorEastAsia" w:hint="eastAsia"/>
                <w:color w:val="000000"/>
                <w:kern w:val="0"/>
                <w:sz w:val="24"/>
                <w:szCs w:val="24"/>
              </w:rPr>
              <w:t>元</w:t>
            </w:r>
            <w:r w:rsidRPr="00030FB3">
              <w:rPr>
                <w:rFonts w:asciiTheme="minorEastAsia" w:eastAsiaTheme="minorEastAsia" w:hAnsiTheme="minorEastAsia" w:hint="eastAsia"/>
                <w:sz w:val="24"/>
                <w:szCs w:val="24"/>
              </w:rPr>
              <w:t>）</w:t>
            </w:r>
          </w:p>
        </w:tc>
        <w:tc>
          <w:tcPr>
            <w:tcW w:w="2430" w:type="dxa"/>
          </w:tcPr>
          <w:p w:rsidR="00FF1BB1" w:rsidRPr="00030FB3" w:rsidRDefault="00182164" w:rsidP="003D38B5">
            <w:pPr>
              <w:widowControl/>
              <w:rPr>
                <w:rFonts w:asciiTheme="minorEastAsia" w:eastAsiaTheme="minorEastAsia" w:hAnsiTheme="minorEastAsia"/>
                <w:sz w:val="24"/>
                <w:szCs w:val="24"/>
              </w:rPr>
            </w:pPr>
            <w:r w:rsidRPr="00030FB3">
              <w:rPr>
                <w:rFonts w:asciiTheme="minorEastAsia" w:eastAsiaTheme="minorEastAsia" w:hAnsiTheme="minorEastAsia"/>
                <w:sz w:val="24"/>
                <w:szCs w:val="24"/>
              </w:rPr>
              <w:t>29,309,561.78</w:t>
            </w:r>
          </w:p>
        </w:tc>
        <w:tc>
          <w:tcPr>
            <w:tcW w:w="2431" w:type="dxa"/>
          </w:tcPr>
          <w:p w:rsidR="00FF1BB1" w:rsidRPr="00030FB3" w:rsidRDefault="00182164" w:rsidP="003D38B5">
            <w:pPr>
              <w:spacing w:line="360" w:lineRule="auto"/>
              <w:rPr>
                <w:rFonts w:asciiTheme="minorEastAsia" w:eastAsiaTheme="minorEastAsia" w:hAnsiTheme="minorEastAsia"/>
                <w:sz w:val="24"/>
                <w:szCs w:val="24"/>
              </w:rPr>
            </w:pPr>
            <w:r w:rsidRPr="00030FB3">
              <w:rPr>
                <w:rFonts w:asciiTheme="minorEastAsia" w:eastAsiaTheme="minorEastAsia" w:hAnsiTheme="minorEastAsia"/>
                <w:sz w:val="24"/>
                <w:szCs w:val="24"/>
              </w:rPr>
              <w:t>12,519.07</w:t>
            </w:r>
          </w:p>
        </w:tc>
      </w:tr>
      <w:tr w:rsidR="00FF1BB1" w:rsidRPr="00030FB3" w:rsidTr="004C4962">
        <w:trPr>
          <w:jc w:val="center"/>
        </w:trPr>
        <w:tc>
          <w:tcPr>
            <w:tcW w:w="4778" w:type="dxa"/>
            <w:gridSpan w:val="2"/>
          </w:tcPr>
          <w:p w:rsidR="00FF1BB1" w:rsidRPr="00030FB3" w:rsidRDefault="00FF1BB1" w:rsidP="003D38B5">
            <w:pPr>
              <w:spacing w:line="360" w:lineRule="auto"/>
              <w:rPr>
                <w:rFonts w:asciiTheme="minorEastAsia" w:eastAsiaTheme="minorEastAsia" w:hAnsiTheme="minorEastAsia"/>
                <w:color w:val="000000"/>
                <w:sz w:val="24"/>
                <w:szCs w:val="24"/>
              </w:rPr>
            </w:pPr>
            <w:r w:rsidRPr="00030FB3">
              <w:rPr>
                <w:rFonts w:asciiTheme="minorEastAsia" w:eastAsiaTheme="minorEastAsia" w:hAnsiTheme="minorEastAsia"/>
                <w:color w:val="000000"/>
                <w:sz w:val="24"/>
                <w:szCs w:val="24"/>
              </w:rPr>
              <w:t>本次分红方案（单位：元/10份基金份额）</w:t>
            </w:r>
          </w:p>
        </w:tc>
        <w:tc>
          <w:tcPr>
            <w:tcW w:w="2430" w:type="dxa"/>
          </w:tcPr>
          <w:p w:rsidR="00FF1BB1" w:rsidRPr="00030FB3" w:rsidRDefault="00957437" w:rsidP="00FF1BB1">
            <w:pPr>
              <w:tabs>
                <w:tab w:val="center" w:pos="2322"/>
              </w:tabs>
              <w:spacing w:line="360" w:lineRule="auto"/>
              <w:rPr>
                <w:rFonts w:asciiTheme="minorEastAsia" w:eastAsiaTheme="minorEastAsia" w:hAnsiTheme="minorEastAsia"/>
                <w:sz w:val="24"/>
                <w:szCs w:val="24"/>
              </w:rPr>
            </w:pPr>
            <w:r w:rsidRPr="00030FB3">
              <w:rPr>
                <w:rFonts w:asciiTheme="minorEastAsia" w:eastAsiaTheme="minorEastAsia" w:hAnsiTheme="minorEastAsia"/>
                <w:sz w:val="24"/>
                <w:szCs w:val="24"/>
              </w:rPr>
              <w:t>1.7680</w:t>
            </w:r>
            <w:r w:rsidR="00FF1BB1" w:rsidRPr="00030FB3">
              <w:rPr>
                <w:rFonts w:asciiTheme="minorEastAsia" w:eastAsiaTheme="minorEastAsia" w:hAnsiTheme="minorEastAsia"/>
                <w:sz w:val="24"/>
                <w:szCs w:val="24"/>
              </w:rPr>
              <w:tab/>
            </w:r>
          </w:p>
        </w:tc>
        <w:tc>
          <w:tcPr>
            <w:tcW w:w="2431" w:type="dxa"/>
          </w:tcPr>
          <w:p w:rsidR="00FF1BB1" w:rsidRPr="00030FB3" w:rsidRDefault="00957437" w:rsidP="00FF1BB1">
            <w:pPr>
              <w:tabs>
                <w:tab w:val="center" w:pos="2322"/>
              </w:tabs>
              <w:spacing w:line="360" w:lineRule="auto"/>
              <w:rPr>
                <w:rFonts w:asciiTheme="minorEastAsia" w:eastAsiaTheme="minorEastAsia" w:hAnsiTheme="minorEastAsia"/>
                <w:sz w:val="24"/>
                <w:szCs w:val="24"/>
              </w:rPr>
            </w:pPr>
            <w:r w:rsidRPr="00030FB3">
              <w:rPr>
                <w:rFonts w:asciiTheme="minorEastAsia" w:eastAsiaTheme="minorEastAsia" w:hAnsiTheme="minorEastAsia"/>
                <w:sz w:val="24"/>
                <w:szCs w:val="24"/>
              </w:rPr>
              <w:t>0.4680</w:t>
            </w:r>
          </w:p>
        </w:tc>
      </w:tr>
      <w:tr w:rsidR="003D38B5" w:rsidRPr="00030FB3" w:rsidTr="001E1256">
        <w:trPr>
          <w:jc w:val="center"/>
        </w:trPr>
        <w:tc>
          <w:tcPr>
            <w:tcW w:w="4778" w:type="dxa"/>
            <w:gridSpan w:val="2"/>
            <w:vAlign w:val="center"/>
          </w:tcPr>
          <w:p w:rsidR="003D38B5" w:rsidRPr="00030FB3" w:rsidRDefault="003D38B5" w:rsidP="003D38B5">
            <w:pPr>
              <w:spacing w:line="360" w:lineRule="auto"/>
              <w:rPr>
                <w:rFonts w:asciiTheme="minorEastAsia" w:eastAsiaTheme="minorEastAsia" w:hAnsiTheme="minorEastAsia"/>
                <w:color w:val="000000"/>
                <w:sz w:val="24"/>
                <w:szCs w:val="24"/>
              </w:rPr>
            </w:pPr>
            <w:r w:rsidRPr="00030FB3">
              <w:rPr>
                <w:rFonts w:asciiTheme="minorEastAsia" w:eastAsiaTheme="minorEastAsia" w:hAnsiTheme="minorEastAsia"/>
                <w:color w:val="000000"/>
                <w:sz w:val="24"/>
                <w:szCs w:val="24"/>
              </w:rPr>
              <w:t>有关年度分红次数的说明</w:t>
            </w:r>
          </w:p>
        </w:tc>
        <w:tc>
          <w:tcPr>
            <w:tcW w:w="4861" w:type="dxa"/>
            <w:gridSpan w:val="2"/>
            <w:vAlign w:val="center"/>
          </w:tcPr>
          <w:p w:rsidR="003D38B5" w:rsidRPr="00030FB3" w:rsidRDefault="003D38B5" w:rsidP="003D38B5">
            <w:pPr>
              <w:spacing w:line="360" w:lineRule="auto"/>
              <w:rPr>
                <w:rFonts w:asciiTheme="minorEastAsia" w:eastAsiaTheme="minorEastAsia" w:hAnsiTheme="minorEastAsia"/>
                <w:sz w:val="24"/>
                <w:szCs w:val="24"/>
              </w:rPr>
            </w:pPr>
            <w:r w:rsidRPr="00030FB3">
              <w:rPr>
                <w:rFonts w:asciiTheme="minorEastAsia" w:eastAsiaTheme="minorEastAsia" w:hAnsiTheme="minorEastAsia"/>
                <w:sz w:val="24"/>
                <w:szCs w:val="24"/>
              </w:rPr>
              <w:t>本次分红为2026年度的第1次分红</w:t>
            </w:r>
          </w:p>
        </w:tc>
      </w:tr>
    </w:tbl>
    <w:p w:rsidR="00E06EAF" w:rsidRPr="00030FB3" w:rsidRDefault="00E06EAF" w:rsidP="00E06EAF">
      <w:pPr>
        <w:spacing w:line="360" w:lineRule="auto"/>
        <w:rPr>
          <w:rFonts w:asciiTheme="minorEastAsia" w:eastAsiaTheme="minorEastAsia" w:hAnsiTheme="minorEastAsia"/>
          <w:sz w:val="24"/>
          <w:szCs w:val="24"/>
        </w:rPr>
      </w:pPr>
      <w:bookmarkStart w:id="1" w:name="_Toc275961419"/>
      <w:r w:rsidRPr="00030FB3">
        <w:rPr>
          <w:rFonts w:asciiTheme="minorEastAsia" w:eastAsiaTheme="minorEastAsia" w:hAnsiTheme="minorEastAsia" w:hint="eastAsia"/>
          <w:sz w:val="24"/>
          <w:szCs w:val="24"/>
        </w:rPr>
        <w:t>注：根据本基金《基金合同》的约定，基金收益分配比例不低于基金净收益的90%。基金收益分配每年至少一次，成立不满3个月，收益不分配。</w:t>
      </w:r>
    </w:p>
    <w:p w:rsidR="00893436" w:rsidRPr="00030FB3" w:rsidRDefault="00893436" w:rsidP="00AC3CC5">
      <w:pPr>
        <w:pStyle w:val="2"/>
        <w:spacing w:line="360" w:lineRule="auto"/>
        <w:rPr>
          <w:rFonts w:asciiTheme="minorEastAsia" w:eastAsiaTheme="minorEastAsia" w:hAnsiTheme="minorEastAsia"/>
          <w:bCs w:val="0"/>
          <w:color w:val="000000"/>
          <w:sz w:val="24"/>
          <w:szCs w:val="24"/>
        </w:rPr>
      </w:pPr>
      <w:r w:rsidRPr="00030FB3">
        <w:rPr>
          <w:rFonts w:asciiTheme="minorEastAsia" w:eastAsiaTheme="minorEastAsia" w:hAnsiTheme="minorEastAsia"/>
          <w:bCs w:val="0"/>
          <w:color w:val="000000"/>
          <w:sz w:val="24"/>
          <w:szCs w:val="24"/>
        </w:rPr>
        <w:lastRenderedPageBreak/>
        <w:t>2 与分红相关的其他信息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4"/>
        <w:gridCol w:w="6405"/>
      </w:tblGrid>
      <w:tr w:rsidR="003D38B5" w:rsidRPr="00030FB3" w:rsidTr="003D38B5">
        <w:trPr>
          <w:jc w:val="center"/>
        </w:trPr>
        <w:tc>
          <w:tcPr>
            <w:tcW w:w="3234" w:type="dxa"/>
          </w:tcPr>
          <w:p w:rsidR="003D38B5" w:rsidRPr="00030FB3" w:rsidRDefault="003D38B5" w:rsidP="003D38B5">
            <w:pPr>
              <w:spacing w:line="360" w:lineRule="auto"/>
              <w:rPr>
                <w:rFonts w:asciiTheme="minorEastAsia" w:eastAsiaTheme="minorEastAsia" w:hAnsiTheme="minorEastAsia"/>
                <w:color w:val="000000"/>
                <w:sz w:val="24"/>
                <w:szCs w:val="24"/>
              </w:rPr>
            </w:pPr>
            <w:r w:rsidRPr="00030FB3">
              <w:rPr>
                <w:rFonts w:asciiTheme="minorEastAsia" w:eastAsiaTheme="minorEastAsia" w:hAnsiTheme="minorEastAsia"/>
                <w:color w:val="000000"/>
                <w:sz w:val="24"/>
                <w:szCs w:val="24"/>
              </w:rPr>
              <w:t>权益登记日</w:t>
            </w:r>
          </w:p>
        </w:tc>
        <w:tc>
          <w:tcPr>
            <w:tcW w:w="6405" w:type="dxa"/>
          </w:tcPr>
          <w:p w:rsidR="003D38B5" w:rsidRPr="00030FB3" w:rsidRDefault="003D38B5" w:rsidP="003D38B5">
            <w:pPr>
              <w:spacing w:line="360" w:lineRule="auto"/>
              <w:rPr>
                <w:rFonts w:asciiTheme="minorEastAsia" w:eastAsiaTheme="minorEastAsia" w:hAnsiTheme="minorEastAsia"/>
                <w:sz w:val="24"/>
                <w:szCs w:val="24"/>
              </w:rPr>
            </w:pPr>
            <w:r w:rsidRPr="00030FB3">
              <w:rPr>
                <w:rFonts w:asciiTheme="minorEastAsia" w:eastAsiaTheme="minorEastAsia" w:hAnsiTheme="minorEastAsia"/>
                <w:sz w:val="24"/>
                <w:szCs w:val="24"/>
              </w:rPr>
              <w:t>2026年1月</w:t>
            </w:r>
            <w:r w:rsidR="0050041F" w:rsidRPr="00030FB3">
              <w:rPr>
                <w:rFonts w:asciiTheme="minorEastAsia" w:eastAsiaTheme="minorEastAsia" w:hAnsiTheme="minorEastAsia"/>
                <w:sz w:val="24"/>
                <w:szCs w:val="24"/>
              </w:rPr>
              <w:t>20</w:t>
            </w:r>
            <w:r w:rsidRPr="00030FB3">
              <w:rPr>
                <w:rFonts w:asciiTheme="minorEastAsia" w:eastAsiaTheme="minorEastAsia" w:hAnsiTheme="minorEastAsia"/>
                <w:sz w:val="24"/>
                <w:szCs w:val="24"/>
              </w:rPr>
              <w:t>日</w:t>
            </w:r>
          </w:p>
        </w:tc>
      </w:tr>
      <w:tr w:rsidR="003D38B5" w:rsidRPr="00030FB3" w:rsidTr="003D38B5">
        <w:trPr>
          <w:jc w:val="center"/>
        </w:trPr>
        <w:tc>
          <w:tcPr>
            <w:tcW w:w="3234" w:type="dxa"/>
          </w:tcPr>
          <w:p w:rsidR="003D38B5" w:rsidRPr="00030FB3" w:rsidRDefault="003D38B5" w:rsidP="003D38B5">
            <w:pPr>
              <w:spacing w:line="360" w:lineRule="auto"/>
              <w:rPr>
                <w:rFonts w:asciiTheme="minorEastAsia" w:eastAsiaTheme="minorEastAsia" w:hAnsiTheme="minorEastAsia"/>
                <w:color w:val="000000"/>
                <w:sz w:val="24"/>
                <w:szCs w:val="24"/>
              </w:rPr>
            </w:pPr>
            <w:r w:rsidRPr="00030FB3">
              <w:rPr>
                <w:rFonts w:asciiTheme="minorEastAsia" w:eastAsiaTheme="minorEastAsia" w:hAnsiTheme="minorEastAsia"/>
                <w:color w:val="000000"/>
                <w:sz w:val="24"/>
                <w:szCs w:val="24"/>
              </w:rPr>
              <w:t>除息日</w:t>
            </w:r>
          </w:p>
        </w:tc>
        <w:tc>
          <w:tcPr>
            <w:tcW w:w="6405" w:type="dxa"/>
          </w:tcPr>
          <w:p w:rsidR="003D38B5" w:rsidRPr="00030FB3" w:rsidRDefault="003D38B5" w:rsidP="003D38B5">
            <w:pPr>
              <w:spacing w:line="360" w:lineRule="auto"/>
              <w:rPr>
                <w:rFonts w:asciiTheme="minorEastAsia" w:eastAsiaTheme="minorEastAsia" w:hAnsiTheme="minorEastAsia"/>
                <w:sz w:val="24"/>
                <w:szCs w:val="24"/>
              </w:rPr>
            </w:pPr>
            <w:r w:rsidRPr="00030FB3">
              <w:rPr>
                <w:rFonts w:asciiTheme="minorEastAsia" w:eastAsiaTheme="minorEastAsia" w:hAnsiTheme="minorEastAsia"/>
                <w:sz w:val="24"/>
                <w:szCs w:val="24"/>
              </w:rPr>
              <w:t>2026年1月</w:t>
            </w:r>
            <w:r w:rsidR="0050041F" w:rsidRPr="00030FB3">
              <w:rPr>
                <w:rFonts w:asciiTheme="minorEastAsia" w:eastAsiaTheme="minorEastAsia" w:hAnsiTheme="minorEastAsia"/>
                <w:sz w:val="24"/>
                <w:szCs w:val="24"/>
              </w:rPr>
              <w:t>20</w:t>
            </w:r>
            <w:r w:rsidRPr="00030FB3">
              <w:rPr>
                <w:rFonts w:asciiTheme="minorEastAsia" w:eastAsiaTheme="minorEastAsia" w:hAnsiTheme="minorEastAsia"/>
                <w:sz w:val="24"/>
                <w:szCs w:val="24"/>
              </w:rPr>
              <w:t>日</w:t>
            </w:r>
          </w:p>
        </w:tc>
      </w:tr>
      <w:tr w:rsidR="003D38B5" w:rsidRPr="00030FB3" w:rsidTr="003D38B5">
        <w:trPr>
          <w:jc w:val="center"/>
        </w:trPr>
        <w:tc>
          <w:tcPr>
            <w:tcW w:w="3234" w:type="dxa"/>
          </w:tcPr>
          <w:p w:rsidR="003D38B5" w:rsidRPr="00030FB3" w:rsidRDefault="003D38B5" w:rsidP="003D38B5">
            <w:pPr>
              <w:spacing w:line="360" w:lineRule="auto"/>
              <w:rPr>
                <w:rFonts w:asciiTheme="minorEastAsia" w:eastAsiaTheme="minorEastAsia" w:hAnsiTheme="minorEastAsia"/>
                <w:color w:val="000000"/>
                <w:sz w:val="24"/>
                <w:szCs w:val="24"/>
              </w:rPr>
            </w:pPr>
            <w:r w:rsidRPr="00030FB3">
              <w:rPr>
                <w:rFonts w:asciiTheme="minorEastAsia" w:eastAsiaTheme="minorEastAsia" w:hAnsiTheme="minorEastAsia"/>
                <w:color w:val="000000"/>
                <w:sz w:val="24"/>
                <w:szCs w:val="24"/>
              </w:rPr>
              <w:t>现金红利发放日</w:t>
            </w:r>
          </w:p>
        </w:tc>
        <w:tc>
          <w:tcPr>
            <w:tcW w:w="6405" w:type="dxa"/>
          </w:tcPr>
          <w:p w:rsidR="003D38B5" w:rsidRPr="00030FB3" w:rsidRDefault="003D38B5" w:rsidP="003D38B5">
            <w:pPr>
              <w:spacing w:line="360" w:lineRule="auto"/>
              <w:rPr>
                <w:rFonts w:asciiTheme="minorEastAsia" w:eastAsiaTheme="minorEastAsia" w:hAnsiTheme="minorEastAsia"/>
                <w:sz w:val="24"/>
                <w:szCs w:val="24"/>
              </w:rPr>
            </w:pPr>
            <w:r w:rsidRPr="00030FB3">
              <w:rPr>
                <w:rFonts w:asciiTheme="minorEastAsia" w:eastAsiaTheme="minorEastAsia" w:hAnsiTheme="minorEastAsia"/>
                <w:sz w:val="24"/>
                <w:szCs w:val="24"/>
              </w:rPr>
              <w:t>2026年1月</w:t>
            </w:r>
            <w:r w:rsidR="0050041F" w:rsidRPr="00030FB3">
              <w:rPr>
                <w:rFonts w:asciiTheme="minorEastAsia" w:eastAsiaTheme="minorEastAsia" w:hAnsiTheme="minorEastAsia"/>
                <w:sz w:val="24"/>
                <w:szCs w:val="24"/>
              </w:rPr>
              <w:t>21</w:t>
            </w:r>
            <w:r w:rsidRPr="00030FB3">
              <w:rPr>
                <w:rFonts w:asciiTheme="minorEastAsia" w:eastAsiaTheme="minorEastAsia" w:hAnsiTheme="minorEastAsia"/>
                <w:sz w:val="24"/>
                <w:szCs w:val="24"/>
              </w:rPr>
              <w:t>日</w:t>
            </w:r>
          </w:p>
        </w:tc>
      </w:tr>
      <w:tr w:rsidR="003D38B5" w:rsidRPr="00030FB3" w:rsidTr="003D38B5">
        <w:trPr>
          <w:jc w:val="center"/>
        </w:trPr>
        <w:tc>
          <w:tcPr>
            <w:tcW w:w="3234" w:type="dxa"/>
          </w:tcPr>
          <w:p w:rsidR="003D38B5" w:rsidRPr="00030FB3" w:rsidRDefault="003D38B5" w:rsidP="003D38B5">
            <w:pPr>
              <w:spacing w:line="360" w:lineRule="auto"/>
              <w:rPr>
                <w:rFonts w:asciiTheme="minorEastAsia" w:eastAsiaTheme="minorEastAsia" w:hAnsiTheme="minorEastAsia"/>
                <w:color w:val="000000"/>
                <w:sz w:val="24"/>
                <w:szCs w:val="24"/>
              </w:rPr>
            </w:pPr>
            <w:r w:rsidRPr="00030FB3">
              <w:rPr>
                <w:rFonts w:asciiTheme="minorEastAsia" w:eastAsiaTheme="minorEastAsia" w:hAnsiTheme="minorEastAsia"/>
                <w:color w:val="000000"/>
                <w:sz w:val="24"/>
                <w:szCs w:val="24"/>
              </w:rPr>
              <w:t>分红对象</w:t>
            </w:r>
          </w:p>
        </w:tc>
        <w:tc>
          <w:tcPr>
            <w:tcW w:w="6405" w:type="dxa"/>
            <w:shd w:val="clear" w:color="auto" w:fill="auto"/>
          </w:tcPr>
          <w:p w:rsidR="003D38B5" w:rsidRPr="00030FB3" w:rsidRDefault="003D38B5" w:rsidP="003D38B5">
            <w:pPr>
              <w:spacing w:line="360" w:lineRule="auto"/>
              <w:rPr>
                <w:rFonts w:asciiTheme="minorEastAsia" w:eastAsiaTheme="minorEastAsia" w:hAnsiTheme="minorEastAsia"/>
                <w:sz w:val="24"/>
                <w:szCs w:val="24"/>
              </w:rPr>
            </w:pPr>
            <w:r w:rsidRPr="00030FB3">
              <w:rPr>
                <w:rFonts w:asciiTheme="minorEastAsia" w:eastAsiaTheme="minorEastAsia" w:hAnsiTheme="minorEastAsia"/>
                <w:sz w:val="24"/>
                <w:szCs w:val="24"/>
              </w:rPr>
              <w:t>权益登记日在国联安基金管理有限公司登记在册的本基金全体基金份额持有人</w:t>
            </w:r>
          </w:p>
        </w:tc>
      </w:tr>
      <w:tr w:rsidR="003D38B5" w:rsidRPr="00030FB3" w:rsidTr="003D38B5">
        <w:trPr>
          <w:jc w:val="center"/>
        </w:trPr>
        <w:tc>
          <w:tcPr>
            <w:tcW w:w="3234" w:type="dxa"/>
            <w:shd w:val="clear" w:color="auto" w:fill="auto"/>
            <w:vAlign w:val="center"/>
          </w:tcPr>
          <w:p w:rsidR="003D38B5" w:rsidRPr="00030FB3" w:rsidRDefault="003D38B5" w:rsidP="003D38B5">
            <w:pPr>
              <w:spacing w:line="360" w:lineRule="auto"/>
              <w:rPr>
                <w:rFonts w:asciiTheme="minorEastAsia" w:eastAsiaTheme="minorEastAsia" w:hAnsiTheme="minorEastAsia"/>
                <w:color w:val="000000"/>
                <w:sz w:val="24"/>
                <w:szCs w:val="24"/>
              </w:rPr>
            </w:pPr>
            <w:r w:rsidRPr="00030FB3">
              <w:rPr>
                <w:rFonts w:asciiTheme="minorEastAsia" w:eastAsiaTheme="minorEastAsia" w:hAnsiTheme="minorEastAsia"/>
                <w:color w:val="000000"/>
                <w:sz w:val="24"/>
                <w:szCs w:val="24"/>
              </w:rPr>
              <w:t>红利再投资相关事项的说明</w:t>
            </w:r>
          </w:p>
        </w:tc>
        <w:tc>
          <w:tcPr>
            <w:tcW w:w="6405" w:type="dxa"/>
            <w:shd w:val="clear" w:color="auto" w:fill="auto"/>
          </w:tcPr>
          <w:p w:rsidR="003D38B5" w:rsidRPr="00030FB3" w:rsidRDefault="003D38B5" w:rsidP="003D38B5">
            <w:pPr>
              <w:spacing w:line="360" w:lineRule="auto"/>
              <w:rPr>
                <w:rFonts w:asciiTheme="minorEastAsia" w:eastAsiaTheme="minorEastAsia" w:hAnsiTheme="minorEastAsia"/>
                <w:sz w:val="24"/>
                <w:szCs w:val="24"/>
              </w:rPr>
            </w:pPr>
            <w:r w:rsidRPr="00030FB3">
              <w:rPr>
                <w:rFonts w:asciiTheme="minorEastAsia" w:eastAsiaTheme="minorEastAsia" w:hAnsiTheme="minorEastAsia"/>
                <w:sz w:val="24"/>
                <w:szCs w:val="24"/>
              </w:rPr>
              <w:t>选择红利再投资方式的投资者红利再投资所得的基金份额将按2026年1月</w:t>
            </w:r>
            <w:r w:rsidR="0050041F" w:rsidRPr="00030FB3">
              <w:rPr>
                <w:rFonts w:asciiTheme="minorEastAsia" w:eastAsiaTheme="minorEastAsia" w:hAnsiTheme="minorEastAsia"/>
                <w:sz w:val="24"/>
                <w:szCs w:val="24"/>
              </w:rPr>
              <w:t>20</w:t>
            </w:r>
            <w:r w:rsidRPr="00030FB3">
              <w:rPr>
                <w:rFonts w:asciiTheme="minorEastAsia" w:eastAsiaTheme="minorEastAsia" w:hAnsiTheme="minorEastAsia"/>
                <w:sz w:val="24"/>
                <w:szCs w:val="24"/>
              </w:rPr>
              <w:t>日的基金份额净值计算确定，红利再投资所得份额的持有期限自份额确认日开始计算。选择红利再投资方式的投资者其红利再投资的基金份额将于2026年1月</w:t>
            </w:r>
            <w:r w:rsidR="0050041F" w:rsidRPr="00030FB3">
              <w:rPr>
                <w:rFonts w:asciiTheme="minorEastAsia" w:eastAsiaTheme="minorEastAsia" w:hAnsiTheme="minorEastAsia"/>
                <w:sz w:val="24"/>
                <w:szCs w:val="24"/>
              </w:rPr>
              <w:t>21</w:t>
            </w:r>
            <w:r w:rsidRPr="00030FB3">
              <w:rPr>
                <w:rFonts w:asciiTheme="minorEastAsia" w:eastAsiaTheme="minorEastAsia" w:hAnsiTheme="minorEastAsia"/>
                <w:sz w:val="24"/>
                <w:szCs w:val="24"/>
              </w:rPr>
              <w:t>日直接计入其基金账户，自2026年1月</w:t>
            </w:r>
            <w:r w:rsidR="0050041F" w:rsidRPr="00030FB3">
              <w:rPr>
                <w:rFonts w:asciiTheme="minorEastAsia" w:eastAsiaTheme="minorEastAsia" w:hAnsiTheme="minorEastAsia"/>
                <w:sz w:val="24"/>
                <w:szCs w:val="24"/>
              </w:rPr>
              <w:t>22</w:t>
            </w:r>
            <w:r w:rsidRPr="00030FB3">
              <w:rPr>
                <w:rFonts w:asciiTheme="minorEastAsia" w:eastAsiaTheme="minorEastAsia" w:hAnsiTheme="minorEastAsia"/>
                <w:sz w:val="24"/>
                <w:szCs w:val="24"/>
              </w:rPr>
              <w:t>日起投资者可以查询、赎回。</w:t>
            </w:r>
          </w:p>
          <w:p w:rsidR="003D38B5" w:rsidRPr="00030FB3" w:rsidRDefault="003D38B5" w:rsidP="003D38B5">
            <w:pPr>
              <w:spacing w:line="360" w:lineRule="auto"/>
              <w:rPr>
                <w:rFonts w:asciiTheme="minorEastAsia" w:eastAsiaTheme="minorEastAsia" w:hAnsiTheme="minorEastAsia"/>
                <w:sz w:val="24"/>
                <w:szCs w:val="24"/>
              </w:rPr>
            </w:pPr>
            <w:r w:rsidRPr="00030FB3">
              <w:rPr>
                <w:rFonts w:asciiTheme="minorEastAsia" w:eastAsiaTheme="minorEastAsia" w:hAnsiTheme="minorEastAsia"/>
                <w:sz w:val="24"/>
                <w:szCs w:val="24"/>
              </w:rPr>
              <w:t>权益登记日之前（不含权益登记日）办理了转托管转出尚未办理转托管转入的基金份额，其分红方式按照红利再投资处理，所转出的基金份额待转托管转入确认后与红利再投资所得份额一并划转。</w:t>
            </w:r>
          </w:p>
        </w:tc>
      </w:tr>
      <w:tr w:rsidR="003D38B5" w:rsidRPr="00030FB3" w:rsidTr="003D38B5">
        <w:trPr>
          <w:jc w:val="center"/>
        </w:trPr>
        <w:tc>
          <w:tcPr>
            <w:tcW w:w="3234" w:type="dxa"/>
          </w:tcPr>
          <w:p w:rsidR="003D38B5" w:rsidRPr="00030FB3" w:rsidRDefault="003D38B5" w:rsidP="003D38B5">
            <w:pPr>
              <w:spacing w:line="360" w:lineRule="auto"/>
              <w:rPr>
                <w:rFonts w:asciiTheme="minorEastAsia" w:eastAsiaTheme="minorEastAsia" w:hAnsiTheme="minorEastAsia"/>
                <w:color w:val="000000"/>
                <w:sz w:val="24"/>
                <w:szCs w:val="24"/>
              </w:rPr>
            </w:pPr>
            <w:r w:rsidRPr="00030FB3">
              <w:rPr>
                <w:rFonts w:asciiTheme="minorEastAsia" w:eastAsiaTheme="minorEastAsia" w:hAnsiTheme="minorEastAsia"/>
                <w:color w:val="000000"/>
                <w:sz w:val="24"/>
                <w:szCs w:val="24"/>
              </w:rPr>
              <w:t>税收相关事项的说明</w:t>
            </w:r>
          </w:p>
        </w:tc>
        <w:tc>
          <w:tcPr>
            <w:tcW w:w="6405" w:type="dxa"/>
            <w:shd w:val="clear" w:color="auto" w:fill="auto"/>
          </w:tcPr>
          <w:p w:rsidR="003D38B5" w:rsidRPr="00030FB3" w:rsidRDefault="003D38B5" w:rsidP="003D38B5">
            <w:pPr>
              <w:spacing w:line="360" w:lineRule="auto"/>
              <w:rPr>
                <w:rFonts w:asciiTheme="minorEastAsia" w:eastAsiaTheme="minorEastAsia" w:hAnsiTheme="minorEastAsia"/>
                <w:sz w:val="24"/>
                <w:szCs w:val="24"/>
              </w:rPr>
            </w:pPr>
            <w:r w:rsidRPr="00030FB3">
              <w:rPr>
                <w:rFonts w:asciiTheme="minorEastAsia" w:eastAsiaTheme="minorEastAsia" w:hAnsiTheme="minorEastAsia"/>
                <w:sz w:val="24"/>
                <w:szCs w:val="24"/>
              </w:rPr>
              <w:t>根据财政部、国家税务总局的相关规定，基金向投资者分配的基金收益，暂免征收所得税。</w:t>
            </w:r>
          </w:p>
        </w:tc>
      </w:tr>
      <w:tr w:rsidR="003D38B5" w:rsidRPr="00030FB3" w:rsidTr="003D38B5">
        <w:trPr>
          <w:jc w:val="center"/>
        </w:trPr>
        <w:tc>
          <w:tcPr>
            <w:tcW w:w="3234" w:type="dxa"/>
          </w:tcPr>
          <w:p w:rsidR="003D38B5" w:rsidRPr="00030FB3" w:rsidRDefault="003D38B5" w:rsidP="003D38B5">
            <w:pPr>
              <w:spacing w:line="360" w:lineRule="auto"/>
              <w:rPr>
                <w:rFonts w:asciiTheme="minorEastAsia" w:eastAsiaTheme="minorEastAsia" w:hAnsiTheme="minorEastAsia"/>
                <w:color w:val="000000"/>
                <w:sz w:val="24"/>
                <w:szCs w:val="24"/>
              </w:rPr>
            </w:pPr>
            <w:r w:rsidRPr="00030FB3">
              <w:rPr>
                <w:rFonts w:asciiTheme="minorEastAsia" w:eastAsiaTheme="minorEastAsia" w:hAnsiTheme="minorEastAsia"/>
                <w:color w:val="000000"/>
                <w:sz w:val="24"/>
                <w:szCs w:val="24"/>
              </w:rPr>
              <w:t>费用相关事项的说明</w:t>
            </w:r>
          </w:p>
        </w:tc>
        <w:tc>
          <w:tcPr>
            <w:tcW w:w="6405" w:type="dxa"/>
            <w:shd w:val="clear" w:color="auto" w:fill="auto"/>
          </w:tcPr>
          <w:p w:rsidR="003D38B5" w:rsidRPr="00030FB3" w:rsidRDefault="003D38B5" w:rsidP="003D38B5">
            <w:pPr>
              <w:spacing w:line="360" w:lineRule="auto"/>
              <w:rPr>
                <w:rFonts w:asciiTheme="minorEastAsia" w:eastAsiaTheme="minorEastAsia" w:hAnsiTheme="minorEastAsia"/>
                <w:sz w:val="24"/>
                <w:szCs w:val="24"/>
              </w:rPr>
            </w:pPr>
            <w:r w:rsidRPr="00030FB3">
              <w:rPr>
                <w:rFonts w:asciiTheme="minorEastAsia" w:eastAsiaTheme="minorEastAsia" w:hAnsiTheme="minorEastAsia"/>
                <w:sz w:val="24"/>
                <w:szCs w:val="24"/>
              </w:rPr>
              <w:t>本基金本次分红免收分红手续费。选择红利再投资方式的投资者其红利再投资所得的基金份额免收申购费用。</w:t>
            </w:r>
          </w:p>
        </w:tc>
      </w:tr>
    </w:tbl>
    <w:p w:rsidR="001A75E1" w:rsidRPr="00030FB3" w:rsidRDefault="00A85BDF">
      <w:pPr>
        <w:spacing w:line="360" w:lineRule="auto"/>
        <w:rPr>
          <w:rFonts w:asciiTheme="minorEastAsia" w:eastAsiaTheme="minorEastAsia" w:hAnsiTheme="minorEastAsia"/>
          <w:color w:val="000000"/>
          <w:sz w:val="24"/>
          <w:szCs w:val="24"/>
        </w:rPr>
      </w:pPr>
      <w:r w:rsidRPr="00030FB3">
        <w:rPr>
          <w:rFonts w:asciiTheme="minorEastAsia" w:eastAsiaTheme="minorEastAsia" w:hAnsiTheme="minorEastAsia"/>
          <w:sz w:val="24"/>
          <w:szCs w:val="24"/>
        </w:rPr>
        <w:t>注：（1）现金红利款将于</w:t>
      </w:r>
      <w:bookmarkStart w:id="2" w:name="_Hlk217919656"/>
      <w:r w:rsidR="003D38B5" w:rsidRPr="00030FB3">
        <w:rPr>
          <w:rFonts w:asciiTheme="minorEastAsia" w:eastAsiaTheme="minorEastAsia" w:hAnsiTheme="minorEastAsia"/>
          <w:sz w:val="24"/>
          <w:szCs w:val="24"/>
        </w:rPr>
        <w:t>202</w:t>
      </w:r>
      <w:r w:rsidR="00AE7E8F" w:rsidRPr="00030FB3">
        <w:rPr>
          <w:rFonts w:asciiTheme="minorEastAsia" w:eastAsiaTheme="minorEastAsia" w:hAnsiTheme="minorEastAsia"/>
          <w:sz w:val="24"/>
          <w:szCs w:val="24"/>
        </w:rPr>
        <w:t>6</w:t>
      </w:r>
      <w:r w:rsidR="003D38B5" w:rsidRPr="00030FB3">
        <w:rPr>
          <w:rFonts w:asciiTheme="minorEastAsia" w:eastAsiaTheme="minorEastAsia" w:hAnsiTheme="minorEastAsia"/>
          <w:sz w:val="24"/>
          <w:szCs w:val="24"/>
        </w:rPr>
        <w:t>年1月</w:t>
      </w:r>
      <w:r w:rsidR="0050041F" w:rsidRPr="00030FB3">
        <w:rPr>
          <w:rFonts w:asciiTheme="minorEastAsia" w:eastAsiaTheme="minorEastAsia" w:hAnsiTheme="minorEastAsia"/>
          <w:sz w:val="24"/>
          <w:szCs w:val="24"/>
        </w:rPr>
        <w:t>21</w:t>
      </w:r>
      <w:r w:rsidR="003D38B5" w:rsidRPr="00030FB3">
        <w:rPr>
          <w:rFonts w:asciiTheme="minorEastAsia" w:eastAsiaTheme="minorEastAsia" w:hAnsiTheme="minorEastAsia"/>
          <w:sz w:val="24"/>
          <w:szCs w:val="24"/>
        </w:rPr>
        <w:t>日</w:t>
      </w:r>
      <w:bookmarkEnd w:id="2"/>
      <w:r w:rsidRPr="00030FB3">
        <w:rPr>
          <w:rFonts w:asciiTheme="minorEastAsia" w:eastAsiaTheme="minorEastAsia" w:hAnsiTheme="minorEastAsia"/>
          <w:sz w:val="24"/>
          <w:szCs w:val="24"/>
        </w:rPr>
        <w:t>自基金托管账户划出。</w:t>
      </w:r>
    </w:p>
    <w:p w:rsidR="00893436" w:rsidRPr="00030FB3" w:rsidRDefault="00284B1B" w:rsidP="00AC3CC5">
      <w:pPr>
        <w:spacing w:line="360" w:lineRule="auto"/>
        <w:rPr>
          <w:rFonts w:asciiTheme="minorEastAsia" w:eastAsiaTheme="minorEastAsia" w:hAnsiTheme="minorEastAsia"/>
          <w:color w:val="000000"/>
          <w:sz w:val="24"/>
          <w:szCs w:val="24"/>
        </w:rPr>
      </w:pPr>
      <w:r w:rsidRPr="00030FB3">
        <w:rPr>
          <w:rFonts w:asciiTheme="minorEastAsia" w:eastAsiaTheme="minorEastAsia" w:hAnsiTheme="minorEastAsia"/>
          <w:sz w:val="24"/>
          <w:szCs w:val="24"/>
        </w:rPr>
        <w:t>（2）冻结基金份额的红利发放按照《国联安基金管理有限公司开放式基金业务规则》的相关规定处理。</w:t>
      </w:r>
    </w:p>
    <w:p w:rsidR="00893436" w:rsidRPr="00030FB3" w:rsidRDefault="00893436" w:rsidP="00AC3CC5">
      <w:pPr>
        <w:pStyle w:val="2"/>
        <w:spacing w:line="360" w:lineRule="auto"/>
        <w:rPr>
          <w:rFonts w:asciiTheme="minorEastAsia" w:eastAsiaTheme="minorEastAsia" w:hAnsiTheme="minorEastAsia"/>
          <w:bCs w:val="0"/>
          <w:color w:val="000000"/>
          <w:sz w:val="24"/>
          <w:szCs w:val="24"/>
        </w:rPr>
      </w:pPr>
      <w:bookmarkStart w:id="3" w:name="_Toc275961420"/>
      <w:r w:rsidRPr="00030FB3">
        <w:rPr>
          <w:rFonts w:asciiTheme="minorEastAsia" w:eastAsiaTheme="minorEastAsia" w:hAnsiTheme="minorEastAsia"/>
          <w:bCs w:val="0"/>
          <w:color w:val="000000"/>
          <w:sz w:val="24"/>
          <w:szCs w:val="24"/>
        </w:rPr>
        <w:t>3 其他需要提示的事项</w:t>
      </w:r>
      <w:bookmarkEnd w:id="3"/>
    </w:p>
    <w:p w:rsidR="001A75E1" w:rsidRPr="00030FB3" w:rsidRDefault="00A85BDF">
      <w:pPr>
        <w:spacing w:line="360" w:lineRule="auto"/>
        <w:ind w:firstLineChars="200" w:firstLine="480"/>
        <w:rPr>
          <w:rFonts w:asciiTheme="minorEastAsia" w:eastAsiaTheme="minorEastAsia" w:hAnsiTheme="minorEastAsia"/>
          <w:sz w:val="24"/>
          <w:szCs w:val="24"/>
        </w:rPr>
      </w:pPr>
      <w:r w:rsidRPr="00030FB3">
        <w:rPr>
          <w:rFonts w:asciiTheme="minorEastAsia" w:eastAsiaTheme="minorEastAsia" w:hAnsiTheme="minorEastAsia"/>
          <w:sz w:val="24"/>
          <w:szCs w:val="24"/>
        </w:rPr>
        <w:t>（1）权益登记日当日申请申购或转换转入的基金份额不享有本次分红权益，权益登记日当日申请赎回或转换转出的基金份额享有本次分红权益。</w:t>
      </w:r>
    </w:p>
    <w:p w:rsidR="001A75E1" w:rsidRPr="00030FB3" w:rsidRDefault="00A85BDF">
      <w:pPr>
        <w:spacing w:line="360" w:lineRule="auto"/>
        <w:ind w:firstLineChars="200" w:firstLine="480"/>
        <w:rPr>
          <w:rFonts w:asciiTheme="minorEastAsia" w:eastAsiaTheme="minorEastAsia" w:hAnsiTheme="minorEastAsia"/>
          <w:sz w:val="24"/>
          <w:szCs w:val="24"/>
        </w:rPr>
      </w:pPr>
      <w:r w:rsidRPr="00030FB3">
        <w:rPr>
          <w:rFonts w:asciiTheme="minorEastAsia" w:eastAsiaTheme="minorEastAsia" w:hAnsiTheme="minorEastAsia"/>
          <w:sz w:val="24"/>
          <w:szCs w:val="24"/>
        </w:rPr>
        <w:t>（2）本基金分红方式分为两种：现金分红与红利再投资。基金份额持有人可以在基金开放日的交易时间内到相关销售网点选择或更改分红方式，本次分红</w:t>
      </w:r>
      <w:r w:rsidRPr="00030FB3">
        <w:rPr>
          <w:rFonts w:asciiTheme="minorEastAsia" w:eastAsiaTheme="minorEastAsia" w:hAnsiTheme="minorEastAsia"/>
          <w:sz w:val="24"/>
          <w:szCs w:val="24"/>
        </w:rPr>
        <w:lastRenderedPageBreak/>
        <w:t>最终分红方式以权益登记日之前（</w:t>
      </w:r>
      <w:r w:rsidR="003D38B5" w:rsidRPr="00030FB3">
        <w:rPr>
          <w:rFonts w:asciiTheme="minorEastAsia" w:eastAsiaTheme="minorEastAsia" w:hAnsiTheme="minorEastAsia"/>
          <w:sz w:val="24"/>
          <w:szCs w:val="24"/>
        </w:rPr>
        <w:t>不含</w:t>
      </w:r>
      <w:bookmarkStart w:id="4" w:name="_Hlk217919672"/>
      <w:r w:rsidR="003D38B5" w:rsidRPr="00030FB3">
        <w:rPr>
          <w:rFonts w:asciiTheme="minorEastAsia" w:eastAsiaTheme="minorEastAsia" w:hAnsiTheme="minorEastAsia"/>
          <w:sz w:val="24"/>
          <w:szCs w:val="24"/>
        </w:rPr>
        <w:t>2026年1月</w:t>
      </w:r>
      <w:r w:rsidR="0050041F" w:rsidRPr="00030FB3">
        <w:rPr>
          <w:rFonts w:asciiTheme="minorEastAsia" w:eastAsiaTheme="minorEastAsia" w:hAnsiTheme="minorEastAsia"/>
          <w:sz w:val="24"/>
          <w:szCs w:val="24"/>
        </w:rPr>
        <w:t>20</w:t>
      </w:r>
      <w:r w:rsidR="003D38B5" w:rsidRPr="00030FB3">
        <w:rPr>
          <w:rFonts w:asciiTheme="minorEastAsia" w:eastAsiaTheme="minorEastAsia" w:hAnsiTheme="minorEastAsia"/>
          <w:sz w:val="24"/>
          <w:szCs w:val="24"/>
        </w:rPr>
        <w:t>日</w:t>
      </w:r>
      <w:bookmarkEnd w:id="4"/>
      <w:r w:rsidRPr="00030FB3">
        <w:rPr>
          <w:rFonts w:asciiTheme="minorEastAsia" w:eastAsiaTheme="minorEastAsia" w:hAnsiTheme="minorEastAsia"/>
          <w:sz w:val="24"/>
          <w:szCs w:val="24"/>
        </w:rPr>
        <w:t>）最后一次选择或更改并经注册登记机构确认的分红方式为准。敬请基金份额持有人及时到相关销售网点查询分红方式；若希望更改分红方式的，请务必在规定的时间前到相关销售网点办理变更手续。对于未在权益登记日之前选择具体分红方式的基金份额持有人，本基金默认的分红方式为现金分红方式。</w:t>
      </w:r>
    </w:p>
    <w:p w:rsidR="001A75E1" w:rsidRPr="00030FB3" w:rsidRDefault="00A85BDF">
      <w:pPr>
        <w:spacing w:line="360" w:lineRule="auto"/>
        <w:ind w:firstLineChars="200" w:firstLine="480"/>
        <w:rPr>
          <w:rFonts w:asciiTheme="minorEastAsia" w:eastAsiaTheme="minorEastAsia" w:hAnsiTheme="minorEastAsia"/>
          <w:sz w:val="24"/>
          <w:szCs w:val="24"/>
        </w:rPr>
      </w:pPr>
      <w:r w:rsidRPr="00030FB3">
        <w:rPr>
          <w:rFonts w:asciiTheme="minorEastAsia" w:eastAsiaTheme="minorEastAsia" w:hAnsiTheme="minorEastAsia"/>
          <w:sz w:val="24"/>
          <w:szCs w:val="24"/>
        </w:rPr>
        <w:t>（3）本次分红不会改变本基金的风险收益特征，也不会降低本基金的投资风险或提高本基金的投资收益。</w:t>
      </w:r>
    </w:p>
    <w:p w:rsidR="001A75E1" w:rsidRPr="00030FB3" w:rsidRDefault="00A85BDF">
      <w:pPr>
        <w:spacing w:line="360" w:lineRule="auto"/>
        <w:ind w:firstLineChars="200" w:firstLine="480"/>
        <w:rPr>
          <w:rFonts w:asciiTheme="minorEastAsia" w:eastAsiaTheme="minorEastAsia" w:hAnsiTheme="minorEastAsia"/>
          <w:sz w:val="24"/>
          <w:szCs w:val="24"/>
        </w:rPr>
      </w:pPr>
      <w:r w:rsidRPr="00030FB3">
        <w:rPr>
          <w:rFonts w:asciiTheme="minorEastAsia" w:eastAsiaTheme="minorEastAsia" w:hAnsiTheme="minorEastAsia"/>
          <w:sz w:val="24"/>
          <w:szCs w:val="24"/>
        </w:rPr>
        <w:t>（4）因分红导致基金份额净值调整至面值附近，在市场波动等因素的影响下，基金投资仍有可能出现亏损或基金份额净值仍有可能低于面值。</w:t>
      </w:r>
    </w:p>
    <w:p w:rsidR="001A75E1" w:rsidRPr="00030FB3" w:rsidRDefault="00A85BDF">
      <w:pPr>
        <w:spacing w:line="360" w:lineRule="auto"/>
        <w:ind w:firstLineChars="200" w:firstLine="480"/>
        <w:rPr>
          <w:rFonts w:asciiTheme="minorEastAsia" w:eastAsiaTheme="minorEastAsia" w:hAnsiTheme="minorEastAsia"/>
          <w:sz w:val="24"/>
          <w:szCs w:val="24"/>
        </w:rPr>
      </w:pPr>
      <w:r w:rsidRPr="00030FB3">
        <w:rPr>
          <w:rFonts w:asciiTheme="minorEastAsia" w:eastAsiaTheme="minorEastAsia" w:hAnsiTheme="minorEastAsia"/>
          <w:sz w:val="24"/>
          <w:szCs w:val="24"/>
        </w:rPr>
        <w:t xml:space="preserve">（5）咨询办法 </w:t>
      </w:r>
    </w:p>
    <w:p w:rsidR="001A75E1" w:rsidRPr="00030FB3" w:rsidRDefault="00A85BDF">
      <w:pPr>
        <w:spacing w:line="360" w:lineRule="auto"/>
        <w:ind w:firstLineChars="200" w:firstLine="480"/>
        <w:rPr>
          <w:rFonts w:asciiTheme="minorEastAsia" w:eastAsiaTheme="minorEastAsia" w:hAnsiTheme="minorEastAsia"/>
          <w:sz w:val="24"/>
          <w:szCs w:val="24"/>
        </w:rPr>
      </w:pPr>
      <w:r w:rsidRPr="00030FB3">
        <w:rPr>
          <w:rFonts w:asciiTheme="minorEastAsia" w:eastAsiaTheme="minorEastAsia" w:hAnsiTheme="minorEastAsia"/>
          <w:sz w:val="24"/>
          <w:szCs w:val="24"/>
        </w:rPr>
        <w:t>①本基金管理人网站：www.cpicfunds.com。</w:t>
      </w:r>
    </w:p>
    <w:p w:rsidR="001A75E1" w:rsidRPr="00030FB3" w:rsidRDefault="00A85BDF">
      <w:pPr>
        <w:spacing w:line="360" w:lineRule="auto"/>
        <w:ind w:firstLineChars="200" w:firstLine="480"/>
        <w:rPr>
          <w:rFonts w:asciiTheme="minorEastAsia" w:eastAsiaTheme="minorEastAsia" w:hAnsiTheme="minorEastAsia"/>
          <w:sz w:val="24"/>
          <w:szCs w:val="24"/>
        </w:rPr>
      </w:pPr>
      <w:r w:rsidRPr="00030FB3">
        <w:rPr>
          <w:rFonts w:asciiTheme="minorEastAsia" w:eastAsiaTheme="minorEastAsia" w:hAnsiTheme="minorEastAsia"/>
          <w:sz w:val="24"/>
          <w:szCs w:val="24"/>
        </w:rPr>
        <w:t>②本基金管理人客户服务电话：021-38784766，400-7000-365（免长途话费）。</w:t>
      </w:r>
    </w:p>
    <w:p w:rsidR="001A75E1" w:rsidRPr="00030FB3" w:rsidRDefault="00A85BDF" w:rsidP="007C54C2">
      <w:pPr>
        <w:spacing w:line="360" w:lineRule="auto"/>
        <w:ind w:firstLineChars="200" w:firstLine="480"/>
        <w:rPr>
          <w:rFonts w:asciiTheme="minorEastAsia" w:eastAsiaTheme="minorEastAsia" w:hAnsiTheme="minorEastAsia"/>
          <w:sz w:val="24"/>
          <w:szCs w:val="24"/>
        </w:rPr>
      </w:pPr>
      <w:r w:rsidRPr="00030FB3">
        <w:rPr>
          <w:rFonts w:asciiTheme="minorEastAsia" w:eastAsiaTheme="minorEastAsia" w:hAnsiTheme="minorEastAsia"/>
          <w:sz w:val="24"/>
          <w:szCs w:val="24"/>
        </w:rPr>
        <w:t>（6）风险提示：本基金管理人承诺以诚实信用、勤勉尽责的原则管理和运用基金财产，但不保证基金一定盈利，也不保证最低收益。基金的过往业绩并不代表其未来表现。基金管理人管理的其他基金的业绩并不构成本基金业绩表现的保证。投资有风险，敬请投资人认真阅读基金的相关法律文件，并选择适合自身风险承受能力的投资品种进行投资。</w:t>
      </w:r>
    </w:p>
    <w:p w:rsidR="001A75E1" w:rsidRPr="00030FB3" w:rsidRDefault="00A85BDF">
      <w:pPr>
        <w:spacing w:line="360" w:lineRule="auto"/>
        <w:ind w:firstLineChars="200" w:firstLine="480"/>
        <w:rPr>
          <w:rFonts w:asciiTheme="minorEastAsia" w:eastAsiaTheme="minorEastAsia" w:hAnsiTheme="minorEastAsia"/>
          <w:sz w:val="24"/>
          <w:szCs w:val="24"/>
        </w:rPr>
      </w:pPr>
      <w:r w:rsidRPr="00030FB3">
        <w:rPr>
          <w:rFonts w:asciiTheme="minorEastAsia" w:eastAsiaTheme="minorEastAsia" w:hAnsiTheme="minorEastAsia"/>
          <w:sz w:val="24"/>
          <w:szCs w:val="24"/>
        </w:rPr>
        <w:t>特此公告。</w:t>
      </w:r>
    </w:p>
    <w:p w:rsidR="001A75E1" w:rsidRPr="00030FB3" w:rsidRDefault="001A75E1">
      <w:pPr>
        <w:spacing w:line="360" w:lineRule="auto"/>
        <w:ind w:firstLineChars="200" w:firstLine="480"/>
        <w:rPr>
          <w:rFonts w:asciiTheme="minorEastAsia" w:eastAsiaTheme="minorEastAsia" w:hAnsiTheme="minorEastAsia"/>
          <w:sz w:val="24"/>
          <w:szCs w:val="24"/>
        </w:rPr>
      </w:pPr>
    </w:p>
    <w:p w:rsidR="001A75E1" w:rsidRPr="00030FB3" w:rsidRDefault="00A85BDF">
      <w:pPr>
        <w:spacing w:line="360" w:lineRule="auto"/>
        <w:ind w:firstLineChars="200" w:firstLine="480"/>
        <w:rPr>
          <w:rFonts w:asciiTheme="minorEastAsia" w:eastAsiaTheme="minorEastAsia" w:hAnsiTheme="minorEastAsia"/>
          <w:sz w:val="24"/>
          <w:szCs w:val="24"/>
        </w:rPr>
      </w:pPr>
      <w:r w:rsidRPr="00030FB3">
        <w:rPr>
          <w:rFonts w:asciiTheme="minorEastAsia" w:eastAsiaTheme="minorEastAsia" w:hAnsiTheme="minorEastAsia"/>
          <w:sz w:val="24"/>
          <w:szCs w:val="24"/>
        </w:rPr>
        <w:t xml:space="preserve">                                </w:t>
      </w:r>
    </w:p>
    <w:p w:rsidR="001A75E1" w:rsidRPr="00030FB3" w:rsidRDefault="00A85BDF" w:rsidP="00C259DE">
      <w:pPr>
        <w:spacing w:line="360" w:lineRule="auto"/>
        <w:ind w:firstLineChars="200" w:firstLine="480"/>
        <w:jc w:val="right"/>
        <w:rPr>
          <w:rFonts w:asciiTheme="minorEastAsia" w:eastAsiaTheme="minorEastAsia" w:hAnsiTheme="minorEastAsia"/>
          <w:sz w:val="24"/>
          <w:szCs w:val="24"/>
        </w:rPr>
      </w:pPr>
      <w:r w:rsidRPr="00030FB3">
        <w:rPr>
          <w:rFonts w:asciiTheme="minorEastAsia" w:eastAsiaTheme="minorEastAsia" w:hAnsiTheme="minorEastAsia"/>
          <w:sz w:val="24"/>
          <w:szCs w:val="24"/>
        </w:rPr>
        <w:t>国联安基金管理有限公司</w:t>
      </w:r>
    </w:p>
    <w:p w:rsidR="003D38B5" w:rsidRPr="002825C8" w:rsidRDefault="003D38B5" w:rsidP="003D38B5">
      <w:pPr>
        <w:spacing w:line="360" w:lineRule="auto"/>
        <w:ind w:firstLineChars="300" w:firstLine="720"/>
        <w:jc w:val="right"/>
        <w:rPr>
          <w:rFonts w:asciiTheme="minorEastAsia" w:eastAsiaTheme="minorEastAsia" w:hAnsiTheme="minorEastAsia"/>
          <w:sz w:val="24"/>
          <w:szCs w:val="24"/>
        </w:rPr>
      </w:pPr>
      <w:bookmarkStart w:id="5" w:name="_Hlk217919681"/>
      <w:r w:rsidRPr="00030FB3">
        <w:rPr>
          <w:rFonts w:asciiTheme="minorEastAsia" w:eastAsiaTheme="minorEastAsia" w:hAnsiTheme="minorEastAsia" w:hint="eastAsia"/>
          <w:sz w:val="24"/>
          <w:szCs w:val="24"/>
        </w:rPr>
        <w:t>2</w:t>
      </w:r>
      <w:r w:rsidRPr="00030FB3">
        <w:rPr>
          <w:rFonts w:asciiTheme="minorEastAsia" w:eastAsiaTheme="minorEastAsia" w:hAnsiTheme="minorEastAsia"/>
          <w:sz w:val="24"/>
          <w:szCs w:val="24"/>
        </w:rPr>
        <w:t>02</w:t>
      </w:r>
      <w:r w:rsidR="00FA3172">
        <w:rPr>
          <w:rFonts w:asciiTheme="minorEastAsia" w:eastAsiaTheme="minorEastAsia" w:hAnsiTheme="minorEastAsia"/>
          <w:sz w:val="24"/>
          <w:szCs w:val="24"/>
        </w:rPr>
        <w:t>6</w:t>
      </w:r>
      <w:bookmarkStart w:id="6" w:name="_GoBack"/>
      <w:bookmarkEnd w:id="6"/>
      <w:r w:rsidRPr="00030FB3">
        <w:rPr>
          <w:rFonts w:asciiTheme="minorEastAsia" w:eastAsiaTheme="minorEastAsia" w:hAnsiTheme="minorEastAsia"/>
          <w:sz w:val="24"/>
          <w:szCs w:val="24"/>
        </w:rPr>
        <w:t>年1月1</w:t>
      </w:r>
      <w:r w:rsidR="0050041F" w:rsidRPr="00030FB3">
        <w:rPr>
          <w:rFonts w:asciiTheme="minorEastAsia" w:eastAsiaTheme="minorEastAsia" w:hAnsiTheme="minorEastAsia"/>
          <w:sz w:val="24"/>
          <w:szCs w:val="24"/>
        </w:rPr>
        <w:t>9</w:t>
      </w:r>
      <w:r w:rsidRPr="00030FB3">
        <w:rPr>
          <w:rFonts w:asciiTheme="minorEastAsia" w:eastAsiaTheme="minorEastAsia" w:hAnsiTheme="minorEastAsia"/>
          <w:sz w:val="24"/>
          <w:szCs w:val="24"/>
        </w:rPr>
        <w:t>日</w:t>
      </w:r>
      <w:bookmarkEnd w:id="5"/>
    </w:p>
    <w:p w:rsidR="00364C2A" w:rsidRPr="002825C8" w:rsidRDefault="00341883" w:rsidP="003D38B5">
      <w:pPr>
        <w:spacing w:line="360" w:lineRule="auto"/>
        <w:ind w:firstLineChars="200" w:firstLine="480"/>
        <w:jc w:val="right"/>
        <w:rPr>
          <w:rFonts w:asciiTheme="minorEastAsia" w:eastAsiaTheme="minorEastAsia" w:hAnsiTheme="minorEastAsia"/>
          <w:sz w:val="24"/>
          <w:szCs w:val="24"/>
        </w:rPr>
      </w:pPr>
    </w:p>
    <w:sectPr w:rsidR="00364C2A" w:rsidRPr="002825C8"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C51" w:rsidRDefault="006C1C51" w:rsidP="00893436">
      <w:r>
        <w:separator/>
      </w:r>
    </w:p>
  </w:endnote>
  <w:endnote w:type="continuationSeparator" w:id="0">
    <w:p w:rsidR="006C1C51" w:rsidRDefault="006C1C51"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default"/>
    <w:sig w:usb0="00000000" w:usb1="080E0000" w:usb2="0000000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C51" w:rsidRDefault="006C1C51" w:rsidP="00893436">
      <w:r>
        <w:separator/>
      </w:r>
    </w:p>
  </w:footnote>
  <w:footnote w:type="continuationSeparator" w:id="0">
    <w:p w:rsidR="006C1C51" w:rsidRDefault="006C1C51" w:rsidP="00893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30FB3"/>
    <w:rsid w:val="00041353"/>
    <w:rsid w:val="00057AC1"/>
    <w:rsid w:val="00083B7C"/>
    <w:rsid w:val="00085F5C"/>
    <w:rsid w:val="0009778C"/>
    <w:rsid w:val="000A19B2"/>
    <w:rsid w:val="000C39F6"/>
    <w:rsid w:val="000E36E5"/>
    <w:rsid w:val="00104C64"/>
    <w:rsid w:val="00111BD0"/>
    <w:rsid w:val="00135CA1"/>
    <w:rsid w:val="0016534F"/>
    <w:rsid w:val="00182164"/>
    <w:rsid w:val="001A75E1"/>
    <w:rsid w:val="001A7F4F"/>
    <w:rsid w:val="001E1256"/>
    <w:rsid w:val="00226206"/>
    <w:rsid w:val="00242E4D"/>
    <w:rsid w:val="002641B7"/>
    <w:rsid w:val="002744A0"/>
    <w:rsid w:val="002825C8"/>
    <w:rsid w:val="00284B1B"/>
    <w:rsid w:val="002A63B7"/>
    <w:rsid w:val="002C08C5"/>
    <w:rsid w:val="003160F8"/>
    <w:rsid w:val="00341883"/>
    <w:rsid w:val="00352E88"/>
    <w:rsid w:val="00362297"/>
    <w:rsid w:val="00386931"/>
    <w:rsid w:val="0039192C"/>
    <w:rsid w:val="003B7A09"/>
    <w:rsid w:val="003D38B5"/>
    <w:rsid w:val="003E51F2"/>
    <w:rsid w:val="00410642"/>
    <w:rsid w:val="00411A38"/>
    <w:rsid w:val="00434914"/>
    <w:rsid w:val="00462525"/>
    <w:rsid w:val="00484EB2"/>
    <w:rsid w:val="00486934"/>
    <w:rsid w:val="00490783"/>
    <w:rsid w:val="004966BA"/>
    <w:rsid w:val="004D662B"/>
    <w:rsid w:val="004F319D"/>
    <w:rsid w:val="0050041F"/>
    <w:rsid w:val="00506E3A"/>
    <w:rsid w:val="005439EC"/>
    <w:rsid w:val="005715B6"/>
    <w:rsid w:val="00580609"/>
    <w:rsid w:val="005B087C"/>
    <w:rsid w:val="005C57A1"/>
    <w:rsid w:val="00602C3F"/>
    <w:rsid w:val="006A189E"/>
    <w:rsid w:val="006A2E06"/>
    <w:rsid w:val="006C1C51"/>
    <w:rsid w:val="006E41A5"/>
    <w:rsid w:val="00721B55"/>
    <w:rsid w:val="00731CBE"/>
    <w:rsid w:val="00751BA5"/>
    <w:rsid w:val="00794FA7"/>
    <w:rsid w:val="007C142C"/>
    <w:rsid w:val="007C54C2"/>
    <w:rsid w:val="007D01E7"/>
    <w:rsid w:val="007E2301"/>
    <w:rsid w:val="007F6075"/>
    <w:rsid w:val="00834BAE"/>
    <w:rsid w:val="00893436"/>
    <w:rsid w:val="008D1F66"/>
    <w:rsid w:val="00901C58"/>
    <w:rsid w:val="009117E2"/>
    <w:rsid w:val="009363A0"/>
    <w:rsid w:val="00957437"/>
    <w:rsid w:val="009732A4"/>
    <w:rsid w:val="00985618"/>
    <w:rsid w:val="009A4814"/>
    <w:rsid w:val="00A81C93"/>
    <w:rsid w:val="00A85BDF"/>
    <w:rsid w:val="00AC3CC5"/>
    <w:rsid w:val="00AE7E8F"/>
    <w:rsid w:val="00B44BBE"/>
    <w:rsid w:val="00B71DA2"/>
    <w:rsid w:val="00B95846"/>
    <w:rsid w:val="00BA7F58"/>
    <w:rsid w:val="00BD7533"/>
    <w:rsid w:val="00BF5698"/>
    <w:rsid w:val="00C0236A"/>
    <w:rsid w:val="00C259DE"/>
    <w:rsid w:val="00C309F6"/>
    <w:rsid w:val="00C31B5B"/>
    <w:rsid w:val="00C33DDD"/>
    <w:rsid w:val="00C93F1C"/>
    <w:rsid w:val="00CB3D18"/>
    <w:rsid w:val="00CC001C"/>
    <w:rsid w:val="00DB3770"/>
    <w:rsid w:val="00DB7CD4"/>
    <w:rsid w:val="00E06EAF"/>
    <w:rsid w:val="00E16B6D"/>
    <w:rsid w:val="00E24390"/>
    <w:rsid w:val="00E379B4"/>
    <w:rsid w:val="00EA12C9"/>
    <w:rsid w:val="00F0033B"/>
    <w:rsid w:val="00F42CA6"/>
    <w:rsid w:val="00F45E48"/>
    <w:rsid w:val="00F53767"/>
    <w:rsid w:val="00F645EE"/>
    <w:rsid w:val="00FA3172"/>
    <w:rsid w:val="00FF1BB1"/>
    <w:rsid w:val="00FF7A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436"/>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893436"/>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93436"/>
    <w:rPr>
      <w:rFonts w:ascii="Times New Roman" w:eastAsia="宋体" w:hAnsi="Times New Roman" w:cs="Times New Roman"/>
      <w:b/>
      <w:bCs/>
      <w:kern w:val="44"/>
      <w:sz w:val="44"/>
      <w:szCs w:val="44"/>
    </w:rPr>
  </w:style>
  <w:style w:type="character" w:customStyle="1" w:styleId="2Char">
    <w:name w:val="标题 2 Char"/>
    <w:basedOn w:val="a0"/>
    <w:link w:val="2"/>
    <w:rsid w:val="00893436"/>
    <w:rPr>
      <w:rFonts w:ascii="Arial" w:eastAsia="黑体" w:hAnsi="Arial" w:cs="Times New Roman"/>
      <w:b/>
      <w:bCs/>
      <w:sz w:val="32"/>
      <w:szCs w:val="32"/>
    </w:rPr>
  </w:style>
  <w:style w:type="character" w:styleId="a3">
    <w:name w:val="footnote reference"/>
    <w:basedOn w:val="a0"/>
    <w:rsid w:val="00893436"/>
    <w:rPr>
      <w:vertAlign w:val="superscript"/>
    </w:rPr>
  </w:style>
  <w:style w:type="paragraph" w:styleId="a4">
    <w:name w:val="footnote text"/>
    <w:basedOn w:val="a"/>
    <w:link w:val="Char"/>
    <w:rsid w:val="00893436"/>
    <w:pPr>
      <w:snapToGrid w:val="0"/>
      <w:jc w:val="left"/>
    </w:pPr>
    <w:rPr>
      <w:rFonts w:eastAsia="宋体"/>
      <w:sz w:val="18"/>
    </w:rPr>
  </w:style>
  <w:style w:type="character" w:customStyle="1" w:styleId="Char">
    <w:name w:val="脚注文本 Char"/>
    <w:basedOn w:val="a0"/>
    <w:link w:val="a4"/>
    <w:rsid w:val="00893436"/>
    <w:rPr>
      <w:rFonts w:ascii="Times New Roman" w:eastAsia="宋体" w:hAnsi="Times New Roman" w:cs="Times New Roman"/>
      <w:sz w:val="18"/>
      <w:szCs w:val="20"/>
    </w:rPr>
  </w:style>
  <w:style w:type="paragraph" w:styleId="a5">
    <w:name w:val="Document Map"/>
    <w:basedOn w:val="a"/>
    <w:link w:val="Char0"/>
    <w:uiPriority w:val="99"/>
    <w:semiHidden/>
    <w:unhideWhenUsed/>
    <w:rsid w:val="00893436"/>
    <w:rPr>
      <w:rFonts w:ascii="宋体" w:eastAsia="宋体"/>
      <w:sz w:val="18"/>
      <w:szCs w:val="18"/>
    </w:rPr>
  </w:style>
  <w:style w:type="character" w:customStyle="1" w:styleId="Char0">
    <w:name w:val="文档结构图 Char"/>
    <w:basedOn w:val="a0"/>
    <w:link w:val="a5"/>
    <w:uiPriority w:val="99"/>
    <w:semiHidden/>
    <w:rsid w:val="00893436"/>
    <w:rPr>
      <w:rFonts w:ascii="宋体" w:eastAsia="宋体" w:hAnsi="Times New Roman" w:cs="Times New Roman"/>
      <w:sz w:val="18"/>
      <w:szCs w:val="18"/>
    </w:rPr>
  </w:style>
  <w:style w:type="paragraph" w:styleId="a6">
    <w:name w:val="header"/>
    <w:basedOn w:val="a"/>
    <w:link w:val="Char1"/>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160F8"/>
    <w:rPr>
      <w:rFonts w:ascii="Times New Roman" w:eastAsia="方正仿宋简体" w:hAnsi="Times New Roman" w:cs="Times New Roman"/>
      <w:sz w:val="18"/>
      <w:szCs w:val="18"/>
    </w:rPr>
  </w:style>
  <w:style w:type="paragraph" w:styleId="a7">
    <w:name w:val="footer"/>
    <w:basedOn w:val="a"/>
    <w:link w:val="Char2"/>
    <w:uiPriority w:val="99"/>
    <w:unhideWhenUsed/>
    <w:rsid w:val="003160F8"/>
    <w:pPr>
      <w:tabs>
        <w:tab w:val="center" w:pos="4153"/>
        <w:tab w:val="right" w:pos="8306"/>
      </w:tabs>
      <w:snapToGrid w:val="0"/>
      <w:jc w:val="left"/>
    </w:pPr>
    <w:rPr>
      <w:sz w:val="18"/>
      <w:szCs w:val="18"/>
    </w:rPr>
  </w:style>
  <w:style w:type="character" w:customStyle="1" w:styleId="Char2">
    <w:name w:val="页脚 Char"/>
    <w:basedOn w:val="a0"/>
    <w:link w:val="a7"/>
    <w:uiPriority w:val="99"/>
    <w:rsid w:val="003160F8"/>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44BBE"/>
    <w:rPr>
      <w:sz w:val="18"/>
      <w:szCs w:val="18"/>
    </w:rPr>
  </w:style>
  <w:style w:type="character" w:customStyle="1" w:styleId="Char3">
    <w:name w:val="批注框文本 Char"/>
    <w:basedOn w:val="a0"/>
    <w:link w:val="a8"/>
    <w:uiPriority w:val="99"/>
    <w:semiHidden/>
    <w:rsid w:val="00B44BBE"/>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540750614">
      <w:bodyDiv w:val="1"/>
      <w:marLeft w:val="0"/>
      <w:marRight w:val="0"/>
      <w:marTop w:val="0"/>
      <w:marBottom w:val="0"/>
      <w:divBdr>
        <w:top w:val="none" w:sz="0" w:space="0" w:color="auto"/>
        <w:left w:val="none" w:sz="0" w:space="0" w:color="auto"/>
        <w:bottom w:val="none" w:sz="0" w:space="0" w:color="auto"/>
        <w:right w:val="none" w:sz="0" w:space="0" w:color="auto"/>
      </w:divBdr>
    </w:div>
    <w:div w:id="1138767074">
      <w:bodyDiv w:val="1"/>
      <w:marLeft w:val="0"/>
      <w:marRight w:val="0"/>
      <w:marTop w:val="0"/>
      <w:marBottom w:val="0"/>
      <w:divBdr>
        <w:top w:val="none" w:sz="0" w:space="0" w:color="auto"/>
        <w:left w:val="none" w:sz="0" w:space="0" w:color="auto"/>
        <w:bottom w:val="none" w:sz="0" w:space="0" w:color="auto"/>
        <w:right w:val="none" w:sz="0" w:space="0" w:color="auto"/>
      </w:divBdr>
    </w:div>
    <w:div w:id="1801653040">
      <w:bodyDiv w:val="1"/>
      <w:marLeft w:val="0"/>
      <w:marRight w:val="0"/>
      <w:marTop w:val="0"/>
      <w:marBottom w:val="0"/>
      <w:divBdr>
        <w:top w:val="none" w:sz="0" w:space="0" w:color="auto"/>
        <w:left w:val="none" w:sz="0" w:space="0" w:color="auto"/>
        <w:bottom w:val="none" w:sz="0" w:space="0" w:color="auto"/>
        <w:right w:val="none" w:sz="0" w:space="0" w:color="auto"/>
      </w:divBdr>
    </w:div>
    <w:div w:id="194368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278</Words>
  <Characters>1586</Characters>
  <Application>Microsoft Office Word</Application>
  <DocSecurity>4</DocSecurity>
  <Lines>13</Lines>
  <Paragraphs>3</Paragraphs>
  <ScaleCrop>false</ScaleCrop>
  <Company>微软中国</Company>
  <LinksUpToDate>false</LinksUpToDate>
  <CharactersWithSpaces>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2026-01-18T16:00:00Z</dcterms:created>
  <dcterms:modified xsi:type="dcterms:W3CDTF">2026-01-18T16:00:00Z</dcterms:modified>
</cp:coreProperties>
</file>