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77E3" w:rsidRDefault="007677E3">
      <w:pPr>
        <w:pStyle w:val="XBRL2"/>
        <w:spacing w:before="156"/>
      </w:pPr>
      <w:bookmarkStart w:id="0" w:name="_Toc348410291"/>
      <w:bookmarkEnd w:id="0"/>
      <w:r>
        <w:t xml:space="preserve">　</w:t>
      </w:r>
      <w:r>
        <w:t xml:space="preserve"> </w:t>
      </w:r>
    </w:p>
    <w:p w:rsidR="007677E3" w:rsidRDefault="007677E3">
      <w:pPr>
        <w:jc w:val="center"/>
        <w:rPr>
          <w:rFonts w:cs="Times New Roman"/>
          <w:b/>
          <w:color w:val="000000"/>
          <w:sz w:val="28"/>
          <w:szCs w:val="28"/>
        </w:rPr>
      </w:pPr>
      <w:r>
        <w:rPr>
          <w:rFonts w:cs="Times New Roman" w:hint="eastAsia"/>
          <w:b/>
          <w:color w:val="000000"/>
          <w:sz w:val="28"/>
          <w:szCs w:val="28"/>
        </w:rPr>
        <w:t>中邮北证50成份指数增强型发起式证券投资基金</w:t>
      </w:r>
    </w:p>
    <w:p w:rsidR="007677E3" w:rsidRDefault="007677E3">
      <w:pPr>
        <w:jc w:val="center"/>
        <w:rPr>
          <w:sz w:val="28"/>
          <w:szCs w:val="28"/>
        </w:rPr>
      </w:pPr>
      <w:r>
        <w:rPr>
          <w:rFonts w:cs="Times New Roman" w:hint="eastAsia"/>
          <w:b/>
          <w:color w:val="000000"/>
          <w:sz w:val="28"/>
          <w:szCs w:val="28"/>
        </w:rPr>
        <w:t>开放日常申购、赎回、定期定额投资业务公告</w:t>
      </w:r>
    </w:p>
    <w:p w:rsidR="007677E3" w:rsidRDefault="007677E3">
      <w:pPr>
        <w:spacing w:line="360" w:lineRule="auto"/>
        <w:jc w:val="center"/>
        <w:rPr>
          <w:rFonts w:hint="eastAsia"/>
          <w:sz w:val="24"/>
          <w:szCs w:val="30"/>
        </w:rPr>
      </w:pPr>
      <w:r>
        <w:rPr>
          <w:rFonts w:hint="eastAsia"/>
          <w:sz w:val="24"/>
          <w:szCs w:val="30"/>
        </w:rPr>
        <w:t xml:space="preserve">　 </w:t>
      </w:r>
    </w:p>
    <w:p w:rsidR="007677E3" w:rsidRDefault="007677E3">
      <w:pPr>
        <w:spacing w:line="360" w:lineRule="auto"/>
        <w:jc w:val="center"/>
        <w:rPr>
          <w:rFonts w:hint="eastAsia"/>
          <w:szCs w:val="21"/>
        </w:rPr>
      </w:pPr>
      <w:r>
        <w:rPr>
          <w:rFonts w:hint="eastAsia"/>
          <w:b/>
          <w:bCs/>
          <w:szCs w:val="21"/>
        </w:rPr>
        <w:t>公告送出日期：2026年1月</w:t>
      </w:r>
      <w:r w:rsidR="002A7B63">
        <w:rPr>
          <w:b/>
          <w:bCs/>
          <w:szCs w:val="21"/>
        </w:rPr>
        <w:t>19</w:t>
      </w:r>
      <w:r>
        <w:rPr>
          <w:rFonts w:hint="eastAsia"/>
          <w:b/>
          <w:bCs/>
          <w:szCs w:val="21"/>
        </w:rPr>
        <w:t>日</w:t>
      </w:r>
    </w:p>
    <w:p w:rsidR="007677E3" w:rsidRDefault="007677E3" w:rsidP="00CF2827">
      <w:pPr>
        <w:spacing w:line="360" w:lineRule="auto"/>
        <w:jc w:val="center"/>
        <w:rPr>
          <w:rFonts w:hint="eastAsia"/>
          <w:szCs w:val="21"/>
        </w:rPr>
      </w:pPr>
      <w:r>
        <w:rPr>
          <w:rFonts w:hint="eastAsia"/>
          <w:szCs w:val="21"/>
        </w:rPr>
        <w:t xml:space="preserve">　</w:t>
      </w:r>
      <w:r w:rsidR="00CF2827">
        <w:rPr>
          <w:rFonts w:hint="eastAsia"/>
          <w:szCs w:val="21"/>
        </w:rPr>
        <w:t xml:space="preserve"> </w:t>
      </w:r>
      <w:r>
        <w:rPr>
          <w:rFonts w:hint="eastAsia"/>
          <w:szCs w:val="21"/>
        </w:rPr>
        <w:t xml:space="preserve">　 </w:t>
      </w:r>
    </w:p>
    <w:p w:rsidR="007677E3" w:rsidRDefault="007677E3">
      <w:pPr>
        <w:pStyle w:val="XBRLTitle1"/>
        <w:spacing w:before="156" w:line="360" w:lineRule="auto"/>
        <w:rPr>
          <w:rFonts w:hAnsi="宋体" w:hint="eastAsia"/>
          <w:sz w:val="21"/>
          <w:szCs w:val="21"/>
        </w:rPr>
      </w:pPr>
      <w:bookmarkStart w:id="1" w:name="_Toc513295892"/>
      <w:bookmarkStart w:id="2" w:name="_Toc34758519"/>
      <w:bookmarkStart w:id="3" w:name="_Toc513295846"/>
      <w:bookmarkStart w:id="4" w:name="_Toc490050000"/>
      <w:bookmarkStart w:id="5" w:name="_Toc512519480"/>
      <w:bookmarkStart w:id="6" w:name="_Toc438646451"/>
      <w:bookmarkStart w:id="7" w:name="_Toc481075046"/>
      <w:bookmarkStart w:id="8" w:name="_Toc17897936"/>
      <w:bookmarkStart w:id="9" w:name="_Toc34841028"/>
      <w:bookmarkStart w:id="10" w:name="_Toc17898178"/>
      <w:bookmarkStart w:id="11" w:name="m101"/>
      <w:bookmarkStart w:id="12" w:name="m01_01"/>
      <w:bookmarkStart w:id="13" w:name="_Toc194311890"/>
      <w:r>
        <w:rPr>
          <w:rFonts w:hAnsi="宋体" w:hint="eastAsia"/>
          <w:sz w:val="21"/>
          <w:szCs w:val="21"/>
        </w:rPr>
        <w:t>公告基本信息</w:t>
      </w:r>
      <w:bookmarkEnd w:id="1"/>
      <w:bookmarkEnd w:id="2"/>
      <w:bookmarkEnd w:id="3"/>
      <w:bookmarkEnd w:id="4"/>
      <w:bookmarkEnd w:id="5"/>
      <w:bookmarkEnd w:id="6"/>
      <w:bookmarkEnd w:id="7"/>
      <w:bookmarkEnd w:id="8"/>
      <w:bookmarkEnd w:id="9"/>
      <w:bookmarkEnd w:id="10"/>
      <w:r>
        <w:rPr>
          <w:rFonts w:hAnsi="宋体" w:hint="eastAsia"/>
          <w:sz w:val="21"/>
          <w:szCs w:val="21"/>
        </w:rPr>
        <w:t xml:space="preserve"> </w:t>
      </w:r>
    </w:p>
    <w:tbl>
      <w:tblPr>
        <w:tblW w:w="90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27"/>
        <w:gridCol w:w="2977"/>
        <w:gridCol w:w="2835"/>
      </w:tblGrid>
      <w:tr w:rsidR="007677E3">
        <w:tc>
          <w:tcPr>
            <w:tcW w:w="3227" w:type="dxa"/>
            <w:tcBorders>
              <w:top w:val="single" w:sz="4" w:space="0" w:color="000000"/>
              <w:left w:val="single" w:sz="4" w:space="0" w:color="000000"/>
              <w:bottom w:val="single" w:sz="4" w:space="0" w:color="000000"/>
              <w:right w:val="single" w:sz="4" w:space="0" w:color="000000"/>
            </w:tcBorders>
            <w:vAlign w:val="center"/>
          </w:tcPr>
          <w:p w:rsidR="007677E3" w:rsidRDefault="007677E3">
            <w:pPr>
              <w:rPr>
                <w:rFonts w:hint="eastAsia"/>
                <w:szCs w:val="21"/>
              </w:rPr>
            </w:pPr>
            <w:r>
              <w:rPr>
                <w:rFonts w:hint="eastAsia"/>
                <w:szCs w:val="21"/>
              </w:rPr>
              <w:t xml:space="preserve">基金名称 </w:t>
            </w:r>
          </w:p>
        </w:tc>
        <w:tc>
          <w:tcPr>
            <w:tcW w:w="5812" w:type="dxa"/>
            <w:gridSpan w:val="2"/>
            <w:tcBorders>
              <w:top w:val="single" w:sz="4" w:space="0" w:color="000000"/>
              <w:left w:val="single" w:sz="4" w:space="0" w:color="000000"/>
              <w:bottom w:val="single" w:sz="4" w:space="0" w:color="000000"/>
              <w:right w:val="single" w:sz="4" w:space="0" w:color="000000"/>
            </w:tcBorders>
            <w:vAlign w:val="center"/>
          </w:tcPr>
          <w:p w:rsidR="007677E3" w:rsidRDefault="007677E3">
            <w:pPr>
              <w:rPr>
                <w:rFonts w:hint="eastAsia"/>
                <w:szCs w:val="21"/>
              </w:rPr>
            </w:pPr>
            <w:r>
              <w:rPr>
                <w:rFonts w:hint="eastAsia"/>
                <w:szCs w:val="21"/>
              </w:rPr>
              <w:t>中邮北证50成份指数增强型发起式证券投资基金</w:t>
            </w:r>
          </w:p>
        </w:tc>
      </w:tr>
      <w:tr w:rsidR="007677E3">
        <w:tc>
          <w:tcPr>
            <w:tcW w:w="3227" w:type="dxa"/>
            <w:tcBorders>
              <w:top w:val="single" w:sz="4" w:space="0" w:color="000000"/>
              <w:left w:val="single" w:sz="4" w:space="0" w:color="000000"/>
              <w:bottom w:val="single" w:sz="4" w:space="0" w:color="000000"/>
              <w:right w:val="single" w:sz="4" w:space="0" w:color="000000"/>
            </w:tcBorders>
            <w:vAlign w:val="center"/>
          </w:tcPr>
          <w:p w:rsidR="007677E3" w:rsidRDefault="007677E3">
            <w:pPr>
              <w:rPr>
                <w:rFonts w:hint="eastAsia"/>
                <w:szCs w:val="21"/>
              </w:rPr>
            </w:pPr>
            <w:r>
              <w:rPr>
                <w:rFonts w:hint="eastAsia"/>
                <w:szCs w:val="21"/>
              </w:rPr>
              <w:t xml:space="preserve">基金简称 </w:t>
            </w:r>
          </w:p>
        </w:tc>
        <w:tc>
          <w:tcPr>
            <w:tcW w:w="5812" w:type="dxa"/>
            <w:gridSpan w:val="2"/>
            <w:tcBorders>
              <w:top w:val="single" w:sz="4" w:space="0" w:color="000000"/>
              <w:left w:val="single" w:sz="4" w:space="0" w:color="000000"/>
              <w:bottom w:val="single" w:sz="4" w:space="0" w:color="000000"/>
              <w:right w:val="single" w:sz="4" w:space="0" w:color="000000"/>
            </w:tcBorders>
            <w:vAlign w:val="center"/>
          </w:tcPr>
          <w:p w:rsidR="007677E3" w:rsidRDefault="007677E3">
            <w:pPr>
              <w:rPr>
                <w:rFonts w:hint="eastAsia"/>
                <w:szCs w:val="21"/>
              </w:rPr>
            </w:pPr>
            <w:r>
              <w:rPr>
                <w:rFonts w:hint="eastAsia"/>
                <w:szCs w:val="21"/>
              </w:rPr>
              <w:t>中邮北证50成份指数增强发起式</w:t>
            </w:r>
          </w:p>
        </w:tc>
      </w:tr>
      <w:tr w:rsidR="007677E3">
        <w:tc>
          <w:tcPr>
            <w:tcW w:w="3227" w:type="dxa"/>
            <w:tcBorders>
              <w:top w:val="single" w:sz="4" w:space="0" w:color="000000"/>
              <w:left w:val="single" w:sz="4" w:space="0" w:color="000000"/>
              <w:bottom w:val="single" w:sz="4" w:space="0" w:color="000000"/>
              <w:right w:val="single" w:sz="4" w:space="0" w:color="000000"/>
            </w:tcBorders>
            <w:vAlign w:val="center"/>
          </w:tcPr>
          <w:p w:rsidR="007677E3" w:rsidRDefault="007677E3">
            <w:pPr>
              <w:rPr>
                <w:rFonts w:hint="eastAsia"/>
                <w:szCs w:val="21"/>
              </w:rPr>
            </w:pPr>
            <w:r>
              <w:rPr>
                <w:rFonts w:hint="eastAsia"/>
                <w:szCs w:val="21"/>
              </w:rPr>
              <w:t xml:space="preserve">基金主代码 </w:t>
            </w:r>
          </w:p>
        </w:tc>
        <w:tc>
          <w:tcPr>
            <w:tcW w:w="5812" w:type="dxa"/>
            <w:gridSpan w:val="2"/>
            <w:tcBorders>
              <w:top w:val="single" w:sz="4" w:space="0" w:color="000000"/>
              <w:left w:val="single" w:sz="4" w:space="0" w:color="000000"/>
              <w:bottom w:val="single" w:sz="4" w:space="0" w:color="000000"/>
              <w:right w:val="single" w:sz="4" w:space="0" w:color="000000"/>
            </w:tcBorders>
            <w:vAlign w:val="center"/>
          </w:tcPr>
          <w:p w:rsidR="007677E3" w:rsidRDefault="007677E3">
            <w:pPr>
              <w:rPr>
                <w:rFonts w:hint="eastAsia"/>
                <w:szCs w:val="21"/>
              </w:rPr>
            </w:pPr>
            <w:r>
              <w:rPr>
                <w:rFonts w:hint="eastAsia"/>
                <w:szCs w:val="21"/>
              </w:rPr>
              <w:t>025488</w:t>
            </w:r>
          </w:p>
        </w:tc>
      </w:tr>
      <w:tr w:rsidR="007677E3">
        <w:tc>
          <w:tcPr>
            <w:tcW w:w="3227" w:type="dxa"/>
            <w:tcBorders>
              <w:top w:val="single" w:sz="4" w:space="0" w:color="000000"/>
              <w:left w:val="single" w:sz="4" w:space="0" w:color="000000"/>
              <w:bottom w:val="single" w:sz="4" w:space="0" w:color="000000"/>
              <w:right w:val="single" w:sz="4" w:space="0" w:color="000000"/>
            </w:tcBorders>
            <w:vAlign w:val="center"/>
          </w:tcPr>
          <w:p w:rsidR="007677E3" w:rsidRDefault="007677E3">
            <w:pPr>
              <w:rPr>
                <w:rFonts w:hint="eastAsia"/>
                <w:szCs w:val="21"/>
              </w:rPr>
            </w:pPr>
            <w:r>
              <w:rPr>
                <w:rFonts w:hint="eastAsia"/>
                <w:szCs w:val="21"/>
              </w:rPr>
              <w:t xml:space="preserve">基金运作方式 </w:t>
            </w:r>
          </w:p>
        </w:tc>
        <w:tc>
          <w:tcPr>
            <w:tcW w:w="5812" w:type="dxa"/>
            <w:gridSpan w:val="2"/>
            <w:tcBorders>
              <w:top w:val="single" w:sz="4" w:space="0" w:color="000000"/>
              <w:left w:val="single" w:sz="4" w:space="0" w:color="000000"/>
              <w:bottom w:val="single" w:sz="4" w:space="0" w:color="000000"/>
              <w:right w:val="single" w:sz="4" w:space="0" w:color="000000"/>
            </w:tcBorders>
            <w:vAlign w:val="center"/>
          </w:tcPr>
          <w:p w:rsidR="007677E3" w:rsidRDefault="007677E3">
            <w:pPr>
              <w:rPr>
                <w:rFonts w:hint="eastAsia"/>
                <w:szCs w:val="21"/>
              </w:rPr>
            </w:pPr>
            <w:r>
              <w:rPr>
                <w:rFonts w:hint="eastAsia"/>
                <w:szCs w:val="21"/>
              </w:rPr>
              <w:t>契约型开放式</w:t>
            </w:r>
          </w:p>
        </w:tc>
      </w:tr>
      <w:tr w:rsidR="007677E3">
        <w:tc>
          <w:tcPr>
            <w:tcW w:w="3227" w:type="dxa"/>
            <w:tcBorders>
              <w:top w:val="single" w:sz="4" w:space="0" w:color="000000"/>
              <w:left w:val="single" w:sz="4" w:space="0" w:color="000000"/>
              <w:bottom w:val="single" w:sz="4" w:space="0" w:color="000000"/>
              <w:right w:val="single" w:sz="4" w:space="0" w:color="000000"/>
            </w:tcBorders>
            <w:vAlign w:val="center"/>
          </w:tcPr>
          <w:p w:rsidR="007677E3" w:rsidRDefault="007677E3">
            <w:pPr>
              <w:rPr>
                <w:rFonts w:hint="eastAsia"/>
                <w:szCs w:val="21"/>
              </w:rPr>
            </w:pPr>
            <w:r>
              <w:rPr>
                <w:rFonts w:hint="eastAsia"/>
                <w:szCs w:val="21"/>
              </w:rPr>
              <w:t xml:space="preserve">基金合同生效日 </w:t>
            </w:r>
          </w:p>
        </w:tc>
        <w:tc>
          <w:tcPr>
            <w:tcW w:w="5812" w:type="dxa"/>
            <w:gridSpan w:val="2"/>
            <w:tcBorders>
              <w:top w:val="single" w:sz="4" w:space="0" w:color="000000"/>
              <w:left w:val="single" w:sz="4" w:space="0" w:color="000000"/>
              <w:bottom w:val="single" w:sz="4" w:space="0" w:color="000000"/>
              <w:right w:val="single" w:sz="4" w:space="0" w:color="000000"/>
            </w:tcBorders>
            <w:vAlign w:val="center"/>
          </w:tcPr>
          <w:p w:rsidR="007677E3" w:rsidRDefault="007677E3">
            <w:pPr>
              <w:rPr>
                <w:rFonts w:hint="eastAsia"/>
                <w:szCs w:val="21"/>
              </w:rPr>
            </w:pPr>
            <w:r>
              <w:rPr>
                <w:rFonts w:hint="eastAsia"/>
                <w:szCs w:val="21"/>
              </w:rPr>
              <w:t>2025年12月25日</w:t>
            </w:r>
          </w:p>
        </w:tc>
      </w:tr>
      <w:tr w:rsidR="007677E3">
        <w:tc>
          <w:tcPr>
            <w:tcW w:w="3227" w:type="dxa"/>
            <w:tcBorders>
              <w:top w:val="single" w:sz="4" w:space="0" w:color="000000"/>
              <w:left w:val="single" w:sz="4" w:space="0" w:color="000000"/>
              <w:bottom w:val="single" w:sz="4" w:space="0" w:color="000000"/>
              <w:right w:val="single" w:sz="4" w:space="0" w:color="000000"/>
            </w:tcBorders>
            <w:vAlign w:val="center"/>
          </w:tcPr>
          <w:p w:rsidR="007677E3" w:rsidRDefault="007677E3">
            <w:pPr>
              <w:rPr>
                <w:rFonts w:hint="eastAsia"/>
                <w:szCs w:val="21"/>
              </w:rPr>
            </w:pPr>
            <w:r>
              <w:rPr>
                <w:rFonts w:hint="eastAsia"/>
                <w:szCs w:val="21"/>
              </w:rPr>
              <w:t xml:space="preserve">基金管理人名称 </w:t>
            </w:r>
          </w:p>
        </w:tc>
        <w:tc>
          <w:tcPr>
            <w:tcW w:w="5812" w:type="dxa"/>
            <w:gridSpan w:val="2"/>
            <w:tcBorders>
              <w:top w:val="single" w:sz="4" w:space="0" w:color="000000"/>
              <w:left w:val="single" w:sz="4" w:space="0" w:color="000000"/>
              <w:bottom w:val="single" w:sz="4" w:space="0" w:color="000000"/>
              <w:right w:val="single" w:sz="4" w:space="0" w:color="000000"/>
            </w:tcBorders>
            <w:vAlign w:val="center"/>
          </w:tcPr>
          <w:p w:rsidR="007677E3" w:rsidRDefault="007677E3">
            <w:pPr>
              <w:rPr>
                <w:rFonts w:hint="eastAsia"/>
                <w:szCs w:val="21"/>
              </w:rPr>
            </w:pPr>
            <w:r>
              <w:rPr>
                <w:rFonts w:hint="eastAsia"/>
                <w:szCs w:val="21"/>
              </w:rPr>
              <w:t>中邮创业基金管理股份有限公司</w:t>
            </w:r>
          </w:p>
        </w:tc>
      </w:tr>
      <w:tr w:rsidR="007677E3">
        <w:tc>
          <w:tcPr>
            <w:tcW w:w="3227" w:type="dxa"/>
            <w:tcBorders>
              <w:top w:val="single" w:sz="4" w:space="0" w:color="000000"/>
              <w:left w:val="single" w:sz="4" w:space="0" w:color="000000"/>
              <w:bottom w:val="single" w:sz="4" w:space="0" w:color="000000"/>
              <w:right w:val="single" w:sz="4" w:space="0" w:color="000000"/>
            </w:tcBorders>
            <w:vAlign w:val="center"/>
          </w:tcPr>
          <w:p w:rsidR="007677E3" w:rsidRDefault="007677E3">
            <w:pPr>
              <w:rPr>
                <w:rFonts w:hint="eastAsia"/>
                <w:szCs w:val="21"/>
              </w:rPr>
            </w:pPr>
            <w:r>
              <w:rPr>
                <w:rFonts w:hint="eastAsia"/>
                <w:szCs w:val="21"/>
              </w:rPr>
              <w:t xml:space="preserve">基金托管人名称 </w:t>
            </w:r>
          </w:p>
        </w:tc>
        <w:tc>
          <w:tcPr>
            <w:tcW w:w="5812" w:type="dxa"/>
            <w:gridSpan w:val="2"/>
            <w:tcBorders>
              <w:top w:val="single" w:sz="4" w:space="0" w:color="000000"/>
              <w:left w:val="single" w:sz="4" w:space="0" w:color="000000"/>
              <w:bottom w:val="single" w:sz="4" w:space="0" w:color="000000"/>
              <w:right w:val="single" w:sz="4" w:space="0" w:color="000000"/>
            </w:tcBorders>
            <w:vAlign w:val="center"/>
          </w:tcPr>
          <w:p w:rsidR="007677E3" w:rsidRDefault="007677E3">
            <w:pPr>
              <w:rPr>
                <w:rFonts w:hint="eastAsia"/>
                <w:szCs w:val="21"/>
              </w:rPr>
            </w:pPr>
            <w:r>
              <w:rPr>
                <w:rFonts w:hint="eastAsia"/>
                <w:szCs w:val="21"/>
              </w:rPr>
              <w:t>苏州银行股份有限公司</w:t>
            </w:r>
          </w:p>
        </w:tc>
      </w:tr>
      <w:tr w:rsidR="007677E3">
        <w:tc>
          <w:tcPr>
            <w:tcW w:w="3227" w:type="dxa"/>
            <w:tcBorders>
              <w:top w:val="single" w:sz="4" w:space="0" w:color="000000"/>
              <w:left w:val="single" w:sz="4" w:space="0" w:color="000000"/>
              <w:bottom w:val="single" w:sz="4" w:space="0" w:color="000000"/>
              <w:right w:val="single" w:sz="4" w:space="0" w:color="000000"/>
            </w:tcBorders>
            <w:vAlign w:val="center"/>
          </w:tcPr>
          <w:p w:rsidR="007677E3" w:rsidRDefault="007677E3">
            <w:pPr>
              <w:rPr>
                <w:rFonts w:hint="eastAsia"/>
                <w:szCs w:val="21"/>
              </w:rPr>
            </w:pPr>
            <w:r>
              <w:rPr>
                <w:rFonts w:hint="eastAsia"/>
                <w:szCs w:val="21"/>
              </w:rPr>
              <w:t xml:space="preserve">基金注册登记机构名称 </w:t>
            </w:r>
          </w:p>
        </w:tc>
        <w:tc>
          <w:tcPr>
            <w:tcW w:w="5812" w:type="dxa"/>
            <w:gridSpan w:val="2"/>
            <w:tcBorders>
              <w:top w:val="single" w:sz="4" w:space="0" w:color="000000"/>
              <w:left w:val="single" w:sz="4" w:space="0" w:color="000000"/>
              <w:bottom w:val="single" w:sz="4" w:space="0" w:color="000000"/>
              <w:right w:val="single" w:sz="4" w:space="0" w:color="000000"/>
            </w:tcBorders>
            <w:vAlign w:val="center"/>
          </w:tcPr>
          <w:p w:rsidR="007677E3" w:rsidRDefault="007677E3">
            <w:pPr>
              <w:rPr>
                <w:rFonts w:hint="eastAsia"/>
                <w:szCs w:val="21"/>
              </w:rPr>
            </w:pPr>
            <w:r>
              <w:rPr>
                <w:rFonts w:hint="eastAsia"/>
                <w:szCs w:val="21"/>
              </w:rPr>
              <w:t>中邮创业基金管理股份有限公司</w:t>
            </w:r>
          </w:p>
        </w:tc>
      </w:tr>
      <w:tr w:rsidR="007677E3">
        <w:tc>
          <w:tcPr>
            <w:tcW w:w="3227" w:type="dxa"/>
            <w:tcBorders>
              <w:top w:val="single" w:sz="4" w:space="0" w:color="000000"/>
              <w:left w:val="single" w:sz="4" w:space="0" w:color="000000"/>
              <w:bottom w:val="single" w:sz="4" w:space="0" w:color="000000"/>
              <w:right w:val="single" w:sz="4" w:space="0" w:color="000000"/>
            </w:tcBorders>
            <w:vAlign w:val="center"/>
          </w:tcPr>
          <w:p w:rsidR="007677E3" w:rsidRDefault="007677E3">
            <w:pPr>
              <w:rPr>
                <w:rFonts w:hint="eastAsia"/>
                <w:szCs w:val="21"/>
              </w:rPr>
            </w:pPr>
            <w:r>
              <w:rPr>
                <w:rFonts w:hint="eastAsia"/>
                <w:szCs w:val="21"/>
              </w:rPr>
              <w:t xml:space="preserve">公告依据 </w:t>
            </w:r>
          </w:p>
        </w:tc>
        <w:tc>
          <w:tcPr>
            <w:tcW w:w="5812" w:type="dxa"/>
            <w:gridSpan w:val="2"/>
            <w:tcBorders>
              <w:top w:val="single" w:sz="4" w:space="0" w:color="000000"/>
              <w:left w:val="single" w:sz="4" w:space="0" w:color="000000"/>
              <w:bottom w:val="single" w:sz="4" w:space="0" w:color="000000"/>
              <w:right w:val="single" w:sz="4" w:space="0" w:color="000000"/>
            </w:tcBorders>
            <w:vAlign w:val="center"/>
          </w:tcPr>
          <w:p w:rsidR="007677E3" w:rsidRDefault="007677E3">
            <w:pPr>
              <w:rPr>
                <w:rFonts w:hint="eastAsia"/>
                <w:szCs w:val="21"/>
              </w:rPr>
            </w:pPr>
            <w:r>
              <w:rPr>
                <w:rFonts w:hint="eastAsia"/>
                <w:szCs w:val="21"/>
              </w:rPr>
              <w:t>根据《中华人民共和国证券投资基金法》、《公开募集证券投资基金信息披露管理办法》等法律法规以及《中邮北证50成份指数增强型发起式证券投资基金基金合同》、《中邮北证50成份指数增强型发起式证券投资基金招募说明书》。</w:t>
            </w:r>
          </w:p>
        </w:tc>
      </w:tr>
      <w:tr w:rsidR="007677E3">
        <w:tc>
          <w:tcPr>
            <w:tcW w:w="3227" w:type="dxa"/>
            <w:tcBorders>
              <w:top w:val="single" w:sz="4" w:space="0" w:color="000000"/>
              <w:left w:val="single" w:sz="4" w:space="0" w:color="000000"/>
              <w:bottom w:val="single" w:sz="4" w:space="0" w:color="000000"/>
              <w:right w:val="single" w:sz="4" w:space="0" w:color="000000"/>
            </w:tcBorders>
            <w:vAlign w:val="center"/>
          </w:tcPr>
          <w:p w:rsidR="007677E3" w:rsidRDefault="007677E3">
            <w:pPr>
              <w:rPr>
                <w:rFonts w:hint="eastAsia"/>
                <w:szCs w:val="21"/>
              </w:rPr>
            </w:pPr>
            <w:r>
              <w:rPr>
                <w:rFonts w:hint="eastAsia"/>
                <w:szCs w:val="21"/>
              </w:rPr>
              <w:t xml:space="preserve">申购起始日 </w:t>
            </w:r>
          </w:p>
        </w:tc>
        <w:tc>
          <w:tcPr>
            <w:tcW w:w="5812" w:type="dxa"/>
            <w:gridSpan w:val="2"/>
            <w:tcBorders>
              <w:top w:val="single" w:sz="4" w:space="0" w:color="000000"/>
              <w:left w:val="single" w:sz="4" w:space="0" w:color="000000"/>
              <w:bottom w:val="single" w:sz="4" w:space="0" w:color="000000"/>
              <w:right w:val="single" w:sz="4" w:space="0" w:color="000000"/>
            </w:tcBorders>
            <w:vAlign w:val="center"/>
          </w:tcPr>
          <w:p w:rsidR="007677E3" w:rsidRDefault="007677E3" w:rsidP="002A7B63">
            <w:pPr>
              <w:rPr>
                <w:rFonts w:hint="eastAsia"/>
                <w:szCs w:val="21"/>
              </w:rPr>
            </w:pPr>
            <w:r>
              <w:rPr>
                <w:rFonts w:hint="eastAsia"/>
                <w:szCs w:val="21"/>
              </w:rPr>
              <w:t>2026年1月</w:t>
            </w:r>
            <w:r w:rsidR="002A7B63">
              <w:rPr>
                <w:szCs w:val="21"/>
              </w:rPr>
              <w:t>19</w:t>
            </w:r>
            <w:r>
              <w:rPr>
                <w:rFonts w:hint="eastAsia"/>
                <w:szCs w:val="21"/>
              </w:rPr>
              <w:t>日</w:t>
            </w:r>
          </w:p>
        </w:tc>
      </w:tr>
      <w:tr w:rsidR="007677E3">
        <w:tc>
          <w:tcPr>
            <w:tcW w:w="3227" w:type="dxa"/>
            <w:tcBorders>
              <w:top w:val="single" w:sz="4" w:space="0" w:color="000000"/>
              <w:left w:val="single" w:sz="4" w:space="0" w:color="000000"/>
              <w:bottom w:val="single" w:sz="4" w:space="0" w:color="000000"/>
              <w:right w:val="single" w:sz="4" w:space="0" w:color="000000"/>
            </w:tcBorders>
            <w:vAlign w:val="center"/>
          </w:tcPr>
          <w:p w:rsidR="007677E3" w:rsidRDefault="007677E3">
            <w:pPr>
              <w:rPr>
                <w:rFonts w:hint="eastAsia"/>
                <w:szCs w:val="21"/>
              </w:rPr>
            </w:pPr>
            <w:r>
              <w:rPr>
                <w:rFonts w:hint="eastAsia"/>
                <w:szCs w:val="21"/>
              </w:rPr>
              <w:t xml:space="preserve">赎回起始日 </w:t>
            </w:r>
          </w:p>
        </w:tc>
        <w:tc>
          <w:tcPr>
            <w:tcW w:w="5812" w:type="dxa"/>
            <w:gridSpan w:val="2"/>
            <w:tcBorders>
              <w:top w:val="single" w:sz="4" w:space="0" w:color="000000"/>
              <w:left w:val="single" w:sz="4" w:space="0" w:color="000000"/>
              <w:bottom w:val="single" w:sz="4" w:space="0" w:color="000000"/>
              <w:right w:val="single" w:sz="4" w:space="0" w:color="000000"/>
            </w:tcBorders>
            <w:vAlign w:val="center"/>
          </w:tcPr>
          <w:p w:rsidR="007677E3" w:rsidRDefault="007677E3" w:rsidP="002A7B63">
            <w:pPr>
              <w:rPr>
                <w:rFonts w:hint="eastAsia"/>
                <w:szCs w:val="21"/>
              </w:rPr>
            </w:pPr>
            <w:r>
              <w:rPr>
                <w:rFonts w:hint="eastAsia"/>
                <w:szCs w:val="21"/>
              </w:rPr>
              <w:t>2026年1月</w:t>
            </w:r>
            <w:r w:rsidR="002A7B63">
              <w:rPr>
                <w:szCs w:val="21"/>
              </w:rPr>
              <w:t>19</w:t>
            </w:r>
            <w:r>
              <w:rPr>
                <w:rFonts w:hint="eastAsia"/>
                <w:szCs w:val="21"/>
              </w:rPr>
              <w:t>日</w:t>
            </w:r>
          </w:p>
        </w:tc>
      </w:tr>
      <w:tr w:rsidR="007677E3">
        <w:tc>
          <w:tcPr>
            <w:tcW w:w="3227" w:type="dxa"/>
            <w:tcBorders>
              <w:top w:val="single" w:sz="4" w:space="0" w:color="000000"/>
              <w:left w:val="single" w:sz="4" w:space="0" w:color="000000"/>
              <w:bottom w:val="single" w:sz="4" w:space="0" w:color="000000"/>
              <w:right w:val="single" w:sz="4" w:space="0" w:color="000000"/>
            </w:tcBorders>
            <w:vAlign w:val="center"/>
          </w:tcPr>
          <w:p w:rsidR="007677E3" w:rsidRDefault="007677E3">
            <w:pPr>
              <w:rPr>
                <w:rFonts w:hint="eastAsia"/>
                <w:szCs w:val="21"/>
              </w:rPr>
            </w:pPr>
            <w:r>
              <w:rPr>
                <w:rFonts w:hint="eastAsia"/>
                <w:szCs w:val="21"/>
              </w:rPr>
              <w:t>定期定额投资起始日</w:t>
            </w:r>
          </w:p>
        </w:tc>
        <w:tc>
          <w:tcPr>
            <w:tcW w:w="5812" w:type="dxa"/>
            <w:gridSpan w:val="2"/>
            <w:tcBorders>
              <w:top w:val="single" w:sz="4" w:space="0" w:color="000000"/>
              <w:left w:val="nil"/>
              <w:bottom w:val="single" w:sz="4" w:space="0" w:color="000000"/>
              <w:right w:val="single" w:sz="4" w:space="0" w:color="000000"/>
            </w:tcBorders>
            <w:vAlign w:val="center"/>
          </w:tcPr>
          <w:p w:rsidR="007677E3" w:rsidRDefault="007677E3" w:rsidP="002A7B63">
            <w:pPr>
              <w:rPr>
                <w:rFonts w:hint="eastAsia"/>
                <w:szCs w:val="21"/>
              </w:rPr>
            </w:pPr>
            <w:r>
              <w:rPr>
                <w:rFonts w:hint="eastAsia"/>
                <w:szCs w:val="21"/>
              </w:rPr>
              <w:t>2026年1月</w:t>
            </w:r>
            <w:r w:rsidR="002A7B63">
              <w:rPr>
                <w:szCs w:val="21"/>
              </w:rPr>
              <w:t>19</w:t>
            </w:r>
            <w:r>
              <w:rPr>
                <w:rFonts w:hint="eastAsia"/>
                <w:szCs w:val="21"/>
              </w:rPr>
              <w:t>日</w:t>
            </w:r>
          </w:p>
        </w:tc>
      </w:tr>
      <w:tr w:rsidR="007677E3">
        <w:tc>
          <w:tcPr>
            <w:tcW w:w="3227" w:type="dxa"/>
            <w:tcBorders>
              <w:top w:val="single" w:sz="4" w:space="0" w:color="000000"/>
              <w:left w:val="single" w:sz="4" w:space="0" w:color="000000"/>
              <w:bottom w:val="single" w:sz="4" w:space="0" w:color="000000"/>
              <w:right w:val="nil"/>
            </w:tcBorders>
            <w:vAlign w:val="center"/>
          </w:tcPr>
          <w:p w:rsidR="007677E3" w:rsidRDefault="007677E3">
            <w:pPr>
              <w:rPr>
                <w:rFonts w:hint="eastAsia"/>
                <w:szCs w:val="21"/>
              </w:rPr>
            </w:pPr>
            <w:r>
              <w:rPr>
                <w:rFonts w:hint="eastAsia"/>
                <w:szCs w:val="21"/>
              </w:rPr>
              <w:t xml:space="preserve">下属分级基金的基金简称 </w:t>
            </w:r>
          </w:p>
        </w:tc>
        <w:tc>
          <w:tcPr>
            <w:tcW w:w="2977" w:type="dxa"/>
            <w:tcBorders>
              <w:top w:val="single" w:sz="4" w:space="0" w:color="000000"/>
              <w:left w:val="single" w:sz="4" w:space="0" w:color="000000"/>
              <w:bottom w:val="single" w:sz="4" w:space="0" w:color="000000"/>
              <w:right w:val="single" w:sz="4" w:space="0" w:color="000000"/>
            </w:tcBorders>
            <w:vAlign w:val="center"/>
          </w:tcPr>
          <w:p w:rsidR="007677E3" w:rsidRDefault="007677E3">
            <w:pPr>
              <w:rPr>
                <w:rFonts w:hint="eastAsia"/>
                <w:szCs w:val="21"/>
              </w:rPr>
            </w:pPr>
            <w:r>
              <w:rPr>
                <w:rFonts w:hint="eastAsia"/>
                <w:szCs w:val="21"/>
              </w:rPr>
              <w:t xml:space="preserve">中邮北证50成份指数增强发起式A </w:t>
            </w:r>
          </w:p>
        </w:tc>
        <w:tc>
          <w:tcPr>
            <w:tcW w:w="2835" w:type="dxa"/>
            <w:tcBorders>
              <w:top w:val="single" w:sz="4" w:space="0" w:color="000000"/>
              <w:left w:val="single" w:sz="4" w:space="0" w:color="000000"/>
              <w:bottom w:val="single" w:sz="4" w:space="0" w:color="000000"/>
              <w:right w:val="single" w:sz="4" w:space="0" w:color="000000"/>
            </w:tcBorders>
            <w:vAlign w:val="center"/>
          </w:tcPr>
          <w:p w:rsidR="007677E3" w:rsidRDefault="007677E3">
            <w:pPr>
              <w:rPr>
                <w:rFonts w:hint="eastAsia"/>
                <w:szCs w:val="21"/>
              </w:rPr>
            </w:pPr>
            <w:r>
              <w:rPr>
                <w:rFonts w:hint="eastAsia"/>
                <w:szCs w:val="21"/>
              </w:rPr>
              <w:t xml:space="preserve">中邮北证50成份指数增强发起式C </w:t>
            </w:r>
          </w:p>
        </w:tc>
      </w:tr>
      <w:tr w:rsidR="007677E3">
        <w:tc>
          <w:tcPr>
            <w:tcW w:w="3227" w:type="dxa"/>
            <w:tcBorders>
              <w:top w:val="single" w:sz="4" w:space="0" w:color="000000"/>
              <w:left w:val="single" w:sz="4" w:space="0" w:color="000000"/>
              <w:bottom w:val="single" w:sz="4" w:space="0" w:color="000000"/>
              <w:right w:val="nil"/>
            </w:tcBorders>
            <w:vAlign w:val="center"/>
          </w:tcPr>
          <w:p w:rsidR="007677E3" w:rsidRDefault="007677E3">
            <w:pPr>
              <w:rPr>
                <w:rFonts w:hint="eastAsia"/>
                <w:szCs w:val="21"/>
              </w:rPr>
            </w:pPr>
            <w:r>
              <w:rPr>
                <w:rFonts w:hint="eastAsia"/>
                <w:szCs w:val="21"/>
              </w:rPr>
              <w:t xml:space="preserve">下属分级基金的交易代码 </w:t>
            </w:r>
          </w:p>
        </w:tc>
        <w:tc>
          <w:tcPr>
            <w:tcW w:w="2977" w:type="dxa"/>
            <w:tcBorders>
              <w:top w:val="single" w:sz="4" w:space="0" w:color="000000"/>
              <w:left w:val="single" w:sz="4" w:space="0" w:color="000000"/>
              <w:bottom w:val="single" w:sz="4" w:space="0" w:color="000000"/>
              <w:right w:val="single" w:sz="4" w:space="0" w:color="000000"/>
            </w:tcBorders>
            <w:vAlign w:val="center"/>
          </w:tcPr>
          <w:p w:rsidR="007677E3" w:rsidRDefault="007677E3">
            <w:pPr>
              <w:rPr>
                <w:rFonts w:hint="eastAsia"/>
                <w:szCs w:val="21"/>
              </w:rPr>
            </w:pPr>
            <w:r>
              <w:rPr>
                <w:rFonts w:hint="eastAsia"/>
                <w:szCs w:val="21"/>
              </w:rPr>
              <w:t xml:space="preserve">025488 </w:t>
            </w:r>
          </w:p>
        </w:tc>
        <w:tc>
          <w:tcPr>
            <w:tcW w:w="2835" w:type="dxa"/>
            <w:tcBorders>
              <w:top w:val="single" w:sz="4" w:space="0" w:color="000000"/>
              <w:left w:val="single" w:sz="4" w:space="0" w:color="000000"/>
              <w:bottom w:val="single" w:sz="4" w:space="0" w:color="000000"/>
              <w:right w:val="single" w:sz="4" w:space="0" w:color="000000"/>
            </w:tcBorders>
            <w:vAlign w:val="center"/>
          </w:tcPr>
          <w:p w:rsidR="007677E3" w:rsidRDefault="007677E3">
            <w:pPr>
              <w:rPr>
                <w:rFonts w:hint="eastAsia"/>
                <w:szCs w:val="21"/>
              </w:rPr>
            </w:pPr>
            <w:r>
              <w:rPr>
                <w:rFonts w:hint="eastAsia"/>
                <w:szCs w:val="21"/>
              </w:rPr>
              <w:t xml:space="preserve">025489 </w:t>
            </w:r>
          </w:p>
        </w:tc>
      </w:tr>
      <w:tr w:rsidR="007677E3">
        <w:tc>
          <w:tcPr>
            <w:tcW w:w="3227" w:type="dxa"/>
            <w:tcBorders>
              <w:top w:val="single" w:sz="4" w:space="0" w:color="000000"/>
              <w:left w:val="single" w:sz="4" w:space="0" w:color="000000"/>
              <w:bottom w:val="single" w:sz="4" w:space="0" w:color="000000"/>
              <w:right w:val="nil"/>
            </w:tcBorders>
            <w:vAlign w:val="center"/>
          </w:tcPr>
          <w:p w:rsidR="007677E3" w:rsidRDefault="007677E3">
            <w:pPr>
              <w:rPr>
                <w:rFonts w:hint="eastAsia"/>
                <w:szCs w:val="21"/>
              </w:rPr>
            </w:pPr>
            <w:r>
              <w:rPr>
                <w:rFonts w:hint="eastAsia"/>
                <w:szCs w:val="21"/>
              </w:rPr>
              <w:t xml:space="preserve">该分级基金是否开放申购、赎回、定期定额投资 </w:t>
            </w:r>
          </w:p>
        </w:tc>
        <w:tc>
          <w:tcPr>
            <w:tcW w:w="2977" w:type="dxa"/>
            <w:tcBorders>
              <w:top w:val="single" w:sz="4" w:space="0" w:color="000000"/>
              <w:left w:val="single" w:sz="4" w:space="0" w:color="000000"/>
              <w:bottom w:val="single" w:sz="4" w:space="0" w:color="000000"/>
              <w:right w:val="single" w:sz="4" w:space="0" w:color="000000"/>
            </w:tcBorders>
            <w:vAlign w:val="center"/>
          </w:tcPr>
          <w:p w:rsidR="007677E3" w:rsidRDefault="007677E3">
            <w:pPr>
              <w:rPr>
                <w:rFonts w:hint="eastAsia"/>
                <w:szCs w:val="21"/>
              </w:rPr>
            </w:pPr>
            <w:r>
              <w:rPr>
                <w:rFonts w:hint="eastAsia"/>
                <w:szCs w:val="21"/>
              </w:rPr>
              <w:t xml:space="preserve">是 </w:t>
            </w:r>
          </w:p>
        </w:tc>
        <w:tc>
          <w:tcPr>
            <w:tcW w:w="2835" w:type="dxa"/>
            <w:tcBorders>
              <w:top w:val="single" w:sz="4" w:space="0" w:color="000000"/>
              <w:left w:val="single" w:sz="4" w:space="0" w:color="000000"/>
              <w:bottom w:val="single" w:sz="4" w:space="0" w:color="000000"/>
              <w:right w:val="single" w:sz="4" w:space="0" w:color="000000"/>
            </w:tcBorders>
            <w:vAlign w:val="center"/>
          </w:tcPr>
          <w:p w:rsidR="007677E3" w:rsidRDefault="007677E3">
            <w:pPr>
              <w:rPr>
                <w:rFonts w:hint="eastAsia"/>
                <w:szCs w:val="21"/>
              </w:rPr>
            </w:pPr>
            <w:r>
              <w:rPr>
                <w:rFonts w:hint="eastAsia"/>
                <w:szCs w:val="21"/>
              </w:rPr>
              <w:t xml:space="preserve">是 </w:t>
            </w:r>
          </w:p>
        </w:tc>
      </w:tr>
    </w:tbl>
    <w:p w:rsidR="007677E3" w:rsidRDefault="007677E3">
      <w:pPr>
        <w:pStyle w:val="XBRLTitle1"/>
        <w:spacing w:before="156" w:line="360" w:lineRule="auto"/>
        <w:rPr>
          <w:rFonts w:hAnsi="宋体" w:hint="eastAsia"/>
          <w:sz w:val="21"/>
          <w:szCs w:val="21"/>
        </w:rPr>
      </w:pPr>
      <w:bookmarkStart w:id="14" w:name="_Toc34841029"/>
      <w:bookmarkStart w:id="15" w:name="_Toc34758520"/>
      <w:bookmarkStart w:id="16" w:name="_Toc490050001"/>
      <w:bookmarkStart w:id="17" w:name="_Toc17897937"/>
      <w:bookmarkStart w:id="18" w:name="_Toc17898179"/>
      <w:bookmarkStart w:id="19" w:name="_Toc481075047"/>
      <w:bookmarkStart w:id="20" w:name="_Toc438646452"/>
      <w:bookmarkStart w:id="21" w:name="_Toc513295847"/>
      <w:bookmarkStart w:id="22" w:name="_Toc512519481"/>
      <w:bookmarkStart w:id="23" w:name="_Toc513295893"/>
      <w:r>
        <w:rPr>
          <w:rFonts w:hAnsi="宋体" w:hint="eastAsia"/>
          <w:sz w:val="21"/>
          <w:szCs w:val="21"/>
        </w:rPr>
        <w:t>日常申购、赎回、定期定额投资业务的办理时间</w:t>
      </w:r>
      <w:bookmarkEnd w:id="14"/>
      <w:bookmarkEnd w:id="15"/>
      <w:r>
        <w:rPr>
          <w:rFonts w:hAnsi="宋体" w:hint="eastAsia"/>
          <w:sz w:val="21"/>
          <w:szCs w:val="21"/>
        </w:rPr>
        <w:t xml:space="preserve"> </w:t>
      </w:r>
    </w:p>
    <w:p w:rsidR="007677E3" w:rsidRDefault="007677E3">
      <w:pPr>
        <w:spacing w:line="360" w:lineRule="auto"/>
        <w:ind w:firstLineChars="200" w:firstLine="420"/>
        <w:rPr>
          <w:szCs w:val="21"/>
          <w:lang/>
        </w:rPr>
      </w:pPr>
      <w:bookmarkStart w:id="24" w:name="m201_01"/>
      <w:bookmarkStart w:id="25" w:name="m07_04_07_09"/>
      <w:bookmarkStart w:id="26" w:name="m201"/>
      <w:bookmarkStart w:id="27" w:name="m07_04_07_09_tab"/>
      <w:bookmarkStart w:id="28" w:name="m07_04_13_00"/>
      <w:r>
        <w:rPr>
          <w:rFonts w:hint="eastAsia"/>
          <w:szCs w:val="21"/>
          <w:lang/>
        </w:rPr>
        <w:t>投资人在开放日办理基金份额的申购和赎回，具体办理时间为上海证券交易所、深圳证券交易所的正常交易日的交易时间，若本基金参与港股通交易且该工作日为非港股通交易日时，则基金管理人有权根据实际情况决定本基金暂停申购和赎回等业务，具体以届时公告为准。但基金管理人根据法律法规、中国证监会的要求或基金合同的规定公告暂停申购、赎回时除外。</w:t>
      </w:r>
    </w:p>
    <w:p w:rsidR="007677E3" w:rsidRDefault="007677E3">
      <w:pPr>
        <w:spacing w:line="360" w:lineRule="auto"/>
        <w:ind w:firstLineChars="200" w:firstLine="420"/>
        <w:rPr>
          <w:szCs w:val="21"/>
        </w:rPr>
      </w:pPr>
    </w:p>
    <w:p w:rsidR="00CF2827" w:rsidRDefault="00CF2827">
      <w:pPr>
        <w:spacing w:line="360" w:lineRule="auto"/>
        <w:ind w:firstLineChars="200" w:firstLine="420"/>
        <w:rPr>
          <w:rFonts w:hint="eastAsia"/>
          <w:szCs w:val="21"/>
        </w:rPr>
      </w:pPr>
    </w:p>
    <w:p w:rsidR="007677E3" w:rsidRDefault="007677E3">
      <w:pPr>
        <w:pStyle w:val="XBRLTitle1"/>
        <w:spacing w:before="156" w:line="360" w:lineRule="auto"/>
        <w:rPr>
          <w:rFonts w:hAnsi="宋体" w:hint="eastAsia"/>
          <w:sz w:val="21"/>
          <w:szCs w:val="21"/>
        </w:rPr>
      </w:pPr>
      <w:bookmarkStart w:id="29" w:name="m401_tab"/>
      <w:bookmarkStart w:id="30" w:name="_Toc512519482"/>
      <w:bookmarkStart w:id="31" w:name="_Toc34841030"/>
      <w:bookmarkStart w:id="32" w:name="_Toc34758521"/>
      <w:bookmarkStart w:id="33" w:name="_Toc490050003"/>
      <w:bookmarkStart w:id="34" w:name="_Toc438646455"/>
      <w:bookmarkStart w:id="35" w:name="_Toc481075049"/>
      <w:bookmarkStart w:id="36" w:name="m401"/>
      <w:bookmarkStart w:id="37" w:name="_Toc513295894"/>
      <w:bookmarkStart w:id="38" w:name="_Toc17898180"/>
      <w:bookmarkStart w:id="39" w:name="_Toc513295848"/>
      <w:bookmarkStart w:id="40" w:name="_Toc17897938"/>
      <w:r>
        <w:rPr>
          <w:rFonts w:hAnsi="宋体" w:hint="eastAsia"/>
          <w:sz w:val="21"/>
          <w:szCs w:val="21"/>
        </w:rPr>
        <w:lastRenderedPageBreak/>
        <w:t>日常申购业务</w:t>
      </w:r>
      <w:bookmarkEnd w:id="31"/>
      <w:bookmarkEnd w:id="32"/>
      <w:r>
        <w:rPr>
          <w:rFonts w:hAnsi="宋体" w:hint="eastAsia"/>
          <w:sz w:val="21"/>
          <w:szCs w:val="21"/>
        </w:rPr>
        <w:t xml:space="preserve"> </w:t>
      </w:r>
    </w:p>
    <w:p w:rsidR="007677E3" w:rsidRDefault="007677E3">
      <w:pPr>
        <w:pStyle w:val="XBRLTitle2"/>
        <w:spacing w:before="156" w:line="360" w:lineRule="auto"/>
        <w:rPr>
          <w:rFonts w:hAnsi="宋体" w:hint="eastAsia"/>
          <w:sz w:val="21"/>
          <w:szCs w:val="21"/>
        </w:rPr>
      </w:pPr>
      <w:bookmarkStart w:id="41" w:name="_Toc490050004"/>
      <w:bookmarkStart w:id="42" w:name="_Toc34758522"/>
      <w:bookmarkStart w:id="43" w:name="_Toc438646456"/>
      <w:bookmarkStart w:id="44" w:name="_Toc17898181"/>
      <w:bookmarkStart w:id="45" w:name="_Toc34841031"/>
      <w:bookmarkStart w:id="46" w:name="_Toc512519483"/>
      <w:bookmarkStart w:id="47" w:name="_Toc481075050"/>
      <w:bookmarkStart w:id="48" w:name="_Toc17897939"/>
      <w:bookmarkStart w:id="49" w:name="_Toc513295849"/>
      <w:bookmarkStart w:id="50" w:name="_Toc513295895"/>
      <w:r>
        <w:rPr>
          <w:rFonts w:hAnsi="宋体" w:hint="eastAsia"/>
          <w:sz w:val="21"/>
          <w:szCs w:val="21"/>
        </w:rPr>
        <w:t>申购金额限制</w:t>
      </w:r>
      <w:bookmarkEnd w:id="41"/>
      <w:bookmarkEnd w:id="42"/>
      <w:bookmarkEnd w:id="43"/>
      <w:bookmarkEnd w:id="44"/>
      <w:bookmarkEnd w:id="45"/>
      <w:bookmarkEnd w:id="46"/>
      <w:bookmarkEnd w:id="47"/>
      <w:bookmarkEnd w:id="48"/>
      <w:bookmarkEnd w:id="49"/>
      <w:bookmarkEnd w:id="50"/>
      <w:r>
        <w:rPr>
          <w:rFonts w:hAnsi="宋体" w:hint="eastAsia"/>
          <w:sz w:val="21"/>
          <w:szCs w:val="21"/>
        </w:rPr>
        <w:t xml:space="preserve"> </w:t>
      </w:r>
    </w:p>
    <w:p w:rsidR="007677E3" w:rsidRDefault="007677E3">
      <w:pPr>
        <w:spacing w:line="360" w:lineRule="auto"/>
        <w:ind w:firstLineChars="200" w:firstLine="420"/>
        <w:rPr>
          <w:rFonts w:hint="eastAsia"/>
          <w:szCs w:val="21"/>
        </w:rPr>
      </w:pPr>
      <w:r>
        <w:rPr>
          <w:rFonts w:hint="eastAsia"/>
          <w:szCs w:val="21"/>
          <w:lang/>
        </w:rPr>
        <w:t xml:space="preserve">投资者通过其他销售机构申购本基金时，单笔申购金额不得低于1元人民币（含申购费），其他销售机构另有规定的，从其规定。基金管理人直销机构单个账户首次申购的最低金额为10,000元人民币（含申购费），追加申购的单笔最低金额为1,000元人民币（含申购费）；通过基金管理人网上交易系统等特定交易方式办理基金申购业务的不受直销机构单笔申购最低金额的限制，首次申购和追加申购的单笔最低金额均为1元人民币（含申购费）。基金管理人可根据市场情况，调整本基金首次申购的最低金额。 </w:t>
      </w:r>
      <w:r>
        <w:rPr>
          <w:rFonts w:hint="eastAsia"/>
          <w:szCs w:val="21"/>
          <w:lang/>
        </w:rPr>
        <w:br/>
        <w:t xml:space="preserve">　　投资者可多次申购，对单个投资人的累计持有份额不设上限限制，但对于可能导致单一投资者（基金管理人、基金管理人高级管理人员或基金经理等人员作为发起资金提供方除外）持有基金份额的比例达到或者超过50%，或者变相规避50%集中度的情形，基金管理人有权采取控制措施。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相关公告。</w:t>
      </w:r>
    </w:p>
    <w:p w:rsidR="007677E3" w:rsidRDefault="007677E3">
      <w:pPr>
        <w:pStyle w:val="XBRLTitle2"/>
        <w:spacing w:before="156" w:line="360" w:lineRule="auto"/>
        <w:rPr>
          <w:rFonts w:hAnsi="宋体" w:hint="eastAsia"/>
          <w:sz w:val="21"/>
          <w:szCs w:val="21"/>
        </w:rPr>
      </w:pPr>
      <w:bookmarkStart w:id="51" w:name="_Toc513465658"/>
      <w:bookmarkStart w:id="52" w:name="_Toc481075051"/>
      <w:bookmarkStart w:id="53" w:name="_Toc512519484"/>
      <w:bookmarkStart w:id="54" w:name="_Toc438646457"/>
      <w:bookmarkStart w:id="55" w:name="_Toc490050005"/>
      <w:r>
        <w:rPr>
          <w:rFonts w:hAnsi="宋体" w:hint="eastAsia"/>
          <w:sz w:val="21"/>
          <w:szCs w:val="21"/>
        </w:rPr>
        <w:t>申购费率</w:t>
      </w:r>
      <w:bookmarkEnd w:id="51"/>
      <w:r>
        <w:rPr>
          <w:rFonts w:hAnsi="宋体" w:hint="eastAsia"/>
          <w:sz w:val="21"/>
          <w:szCs w:val="21"/>
        </w:rPr>
        <w:t xml:space="preserve"> </w:t>
      </w:r>
    </w:p>
    <w:p w:rsidR="007677E3" w:rsidRDefault="007677E3">
      <w:pPr>
        <w:spacing w:line="360" w:lineRule="auto"/>
        <w:ind w:firstLineChars="200" w:firstLine="420"/>
        <w:rPr>
          <w:rFonts w:hint="eastAsia"/>
          <w:szCs w:val="21"/>
        </w:rPr>
      </w:pPr>
      <w:r>
        <w:rPr>
          <w:rFonts w:hint="eastAsia"/>
          <w:szCs w:val="21"/>
          <w:lang/>
        </w:rPr>
        <w:t>投资人在申购A类基金份额时支付申购费用，申购C类基金份额不收取申购费用。本基金A类基金份额的申购费率如下：</w:t>
      </w:r>
    </w:p>
    <w:p w:rsidR="007677E3" w:rsidRDefault="007677E3">
      <w:pPr>
        <w:pStyle w:val="XBRLTitle3"/>
        <w:spacing w:before="156"/>
        <w:rPr>
          <w:rFonts w:hAnsi="宋体" w:hint="eastAsia"/>
          <w:sz w:val="21"/>
          <w:szCs w:val="21"/>
        </w:rPr>
      </w:pPr>
      <w:bookmarkStart w:id="56" w:name="_Toc513465659"/>
      <w:bookmarkStart w:id="57" w:name="_Toc490050006"/>
      <w:bookmarkStart w:id="58" w:name="_Toc481075052"/>
      <w:bookmarkStart w:id="59" w:name="_Toc512519485"/>
      <w:r>
        <w:rPr>
          <w:rFonts w:hAnsi="宋体" w:hint="eastAsia"/>
          <w:sz w:val="21"/>
          <w:szCs w:val="21"/>
        </w:rPr>
        <w:t>前端收费</w:t>
      </w:r>
      <w:bookmarkEnd w:id="56"/>
      <w:r>
        <w:rPr>
          <w:rFonts w:hAnsi="宋体" w:hint="eastAsia"/>
          <w:sz w:val="21"/>
          <w:szCs w:val="21"/>
        </w:rPr>
        <w:t xml:space="preserve"> </w:t>
      </w:r>
    </w:p>
    <w:p w:rsidR="007677E3" w:rsidRDefault="007677E3">
      <w:pPr>
        <w:spacing w:line="360" w:lineRule="auto"/>
        <w:jc w:val="center"/>
        <w:rPr>
          <w:rFonts w:hint="eastAsia"/>
          <w:szCs w:val="21"/>
        </w:rPr>
      </w:pPr>
      <w:r>
        <w:rPr>
          <w:rFonts w:hint="eastAsia"/>
          <w:szCs w:val="21"/>
        </w:rPr>
        <w:t>中邮北证50成份指数增强发起式A</w:t>
      </w:r>
      <w:r>
        <w:rPr>
          <w:rFonts w:hint="eastAsia"/>
          <w:kern w:val="0"/>
          <w:szCs w:val="21"/>
        </w:rPr>
        <w:t xml:space="preserve"> </w:t>
      </w:r>
    </w:p>
    <w:tbl>
      <w:tblPr>
        <w:tblW w:w="5000" w:type="pct"/>
        <w:tblInd w:w="0" w:type="dxa"/>
        <w:tblBorders>
          <w:top w:val="single" w:sz="4" w:space="0" w:color="000000"/>
          <w:left w:val="single" w:sz="4" w:space="0" w:color="000000"/>
          <w:bottom w:val="single" w:sz="4" w:space="0" w:color="000000"/>
          <w:right w:val="single" w:sz="4" w:space="0" w:color="000000"/>
        </w:tblBorders>
        <w:tblLayout w:type="fixed"/>
        <w:tblLook w:val="0000"/>
      </w:tblPr>
      <w:tblGrid>
        <w:gridCol w:w="3582"/>
        <w:gridCol w:w="2712"/>
        <w:gridCol w:w="2767"/>
      </w:tblGrid>
      <w:tr w:rsidR="007677E3">
        <w:tc>
          <w:tcPr>
            <w:tcW w:w="3369" w:type="dxa"/>
            <w:tcBorders>
              <w:top w:val="single" w:sz="4" w:space="0" w:color="000000"/>
              <w:left w:val="single" w:sz="4" w:space="0" w:color="000000"/>
              <w:bottom w:val="single" w:sz="4" w:space="0" w:color="000000"/>
              <w:right w:val="single" w:sz="4" w:space="0" w:color="000000"/>
            </w:tcBorders>
            <w:vAlign w:val="center"/>
          </w:tcPr>
          <w:p w:rsidR="007677E3" w:rsidRDefault="007677E3">
            <w:pPr>
              <w:jc w:val="center"/>
              <w:rPr>
                <w:rFonts w:hint="eastAsia"/>
                <w:szCs w:val="21"/>
              </w:rPr>
            </w:pPr>
            <w:r>
              <w:rPr>
                <w:rFonts w:hint="eastAsia"/>
                <w:szCs w:val="21"/>
              </w:rPr>
              <w:t xml:space="preserve">申购金额(M) </w:t>
            </w:r>
          </w:p>
        </w:tc>
        <w:tc>
          <w:tcPr>
            <w:tcW w:w="2551" w:type="dxa"/>
            <w:tcBorders>
              <w:top w:val="single" w:sz="4" w:space="0" w:color="000000"/>
              <w:left w:val="single" w:sz="4" w:space="0" w:color="000000"/>
              <w:bottom w:val="single" w:sz="4" w:space="0" w:color="000000"/>
              <w:right w:val="single" w:sz="4" w:space="0" w:color="000000"/>
            </w:tcBorders>
            <w:vAlign w:val="center"/>
          </w:tcPr>
          <w:p w:rsidR="007677E3" w:rsidRDefault="007677E3">
            <w:pPr>
              <w:jc w:val="center"/>
              <w:rPr>
                <w:rFonts w:hint="eastAsia"/>
                <w:szCs w:val="21"/>
              </w:rPr>
            </w:pPr>
            <w:r>
              <w:rPr>
                <w:rFonts w:hint="eastAsia"/>
                <w:szCs w:val="21"/>
              </w:rPr>
              <w:t xml:space="preserve">申购费率 </w:t>
            </w:r>
          </w:p>
        </w:tc>
        <w:tc>
          <w:tcPr>
            <w:tcW w:w="2602" w:type="dxa"/>
            <w:tcBorders>
              <w:top w:val="single" w:sz="4" w:space="0" w:color="000000"/>
              <w:left w:val="single" w:sz="4" w:space="0" w:color="000000"/>
              <w:bottom w:val="single" w:sz="4" w:space="0" w:color="000000"/>
              <w:right w:val="single" w:sz="4" w:space="0" w:color="000000"/>
            </w:tcBorders>
            <w:vAlign w:val="center"/>
          </w:tcPr>
          <w:p w:rsidR="007677E3" w:rsidRDefault="007677E3">
            <w:pPr>
              <w:jc w:val="center"/>
              <w:rPr>
                <w:rFonts w:hint="eastAsia"/>
                <w:szCs w:val="21"/>
              </w:rPr>
            </w:pPr>
            <w:r>
              <w:rPr>
                <w:rFonts w:hint="eastAsia"/>
                <w:szCs w:val="21"/>
              </w:rPr>
              <w:t xml:space="preserve">备注 </w:t>
            </w:r>
          </w:p>
        </w:tc>
      </w:tr>
      <w:tr w:rsidR="007677E3">
        <w:tc>
          <w:tcPr>
            <w:tcW w:w="817" w:type="dxa"/>
            <w:tcBorders>
              <w:top w:val="single" w:sz="4" w:space="0" w:color="000000"/>
              <w:left w:val="single" w:sz="4" w:space="0" w:color="000000"/>
              <w:bottom w:val="single" w:sz="4" w:space="0" w:color="000000"/>
              <w:right w:val="single" w:sz="4" w:space="0" w:color="000000"/>
            </w:tcBorders>
            <w:vAlign w:val="center"/>
          </w:tcPr>
          <w:p w:rsidR="007677E3" w:rsidRDefault="007677E3">
            <w:pPr>
              <w:jc w:val="center"/>
              <w:rPr>
                <w:rFonts w:hint="eastAsia"/>
                <w:szCs w:val="21"/>
              </w:rPr>
            </w:pPr>
            <w:r>
              <w:rPr>
                <w:rFonts w:hint="eastAsia"/>
                <w:szCs w:val="21"/>
              </w:rPr>
              <w:t>M＜1,000,000</w:t>
            </w:r>
          </w:p>
        </w:tc>
        <w:tc>
          <w:tcPr>
            <w:tcW w:w="1275" w:type="dxa"/>
            <w:tcBorders>
              <w:top w:val="single" w:sz="4" w:space="0" w:color="000000"/>
              <w:left w:val="single" w:sz="4" w:space="0" w:color="000000"/>
              <w:bottom w:val="single" w:sz="4" w:space="0" w:color="000000"/>
              <w:right w:val="single" w:sz="4" w:space="0" w:color="000000"/>
            </w:tcBorders>
            <w:vAlign w:val="center"/>
          </w:tcPr>
          <w:p w:rsidR="007677E3" w:rsidRDefault="007677E3">
            <w:pPr>
              <w:jc w:val="center"/>
              <w:rPr>
                <w:rFonts w:hint="eastAsia"/>
                <w:szCs w:val="21"/>
              </w:rPr>
            </w:pPr>
            <w:r>
              <w:rPr>
                <w:rFonts w:hint="eastAsia"/>
                <w:szCs w:val="21"/>
              </w:rPr>
              <w:t>1.2%</w:t>
            </w:r>
          </w:p>
        </w:tc>
        <w:tc>
          <w:tcPr>
            <w:tcW w:w="2602" w:type="dxa"/>
            <w:tcBorders>
              <w:top w:val="single" w:sz="4" w:space="0" w:color="000000"/>
              <w:left w:val="single" w:sz="4" w:space="0" w:color="000000"/>
              <w:bottom w:val="single" w:sz="4" w:space="0" w:color="000000"/>
              <w:right w:val="single" w:sz="4" w:space="0" w:color="000000"/>
            </w:tcBorders>
            <w:vAlign w:val="center"/>
          </w:tcPr>
          <w:p w:rsidR="007677E3" w:rsidRDefault="007677E3">
            <w:pPr>
              <w:jc w:val="center"/>
              <w:rPr>
                <w:rFonts w:hint="eastAsia"/>
                <w:szCs w:val="21"/>
              </w:rPr>
            </w:pPr>
            <w:r>
              <w:rPr>
                <w:rFonts w:hint="eastAsia"/>
                <w:szCs w:val="21"/>
              </w:rPr>
              <w:t>-</w:t>
            </w:r>
          </w:p>
        </w:tc>
      </w:tr>
      <w:tr w:rsidR="007677E3">
        <w:tc>
          <w:tcPr>
            <w:tcW w:w="817" w:type="dxa"/>
            <w:tcBorders>
              <w:top w:val="single" w:sz="4" w:space="0" w:color="000000"/>
              <w:left w:val="single" w:sz="4" w:space="0" w:color="000000"/>
              <w:bottom w:val="single" w:sz="4" w:space="0" w:color="000000"/>
              <w:right w:val="single" w:sz="4" w:space="0" w:color="000000"/>
            </w:tcBorders>
            <w:vAlign w:val="center"/>
          </w:tcPr>
          <w:p w:rsidR="007677E3" w:rsidRDefault="007677E3">
            <w:pPr>
              <w:jc w:val="center"/>
              <w:rPr>
                <w:rFonts w:hint="eastAsia"/>
                <w:szCs w:val="21"/>
              </w:rPr>
            </w:pPr>
            <w:r>
              <w:rPr>
                <w:rFonts w:hint="eastAsia"/>
                <w:szCs w:val="21"/>
              </w:rPr>
              <w:t>1,000,000≤M＜2,000,000</w:t>
            </w:r>
          </w:p>
        </w:tc>
        <w:tc>
          <w:tcPr>
            <w:tcW w:w="1275" w:type="dxa"/>
            <w:tcBorders>
              <w:top w:val="single" w:sz="4" w:space="0" w:color="000000"/>
              <w:left w:val="single" w:sz="4" w:space="0" w:color="000000"/>
              <w:bottom w:val="single" w:sz="4" w:space="0" w:color="000000"/>
              <w:right w:val="single" w:sz="4" w:space="0" w:color="000000"/>
            </w:tcBorders>
            <w:vAlign w:val="center"/>
          </w:tcPr>
          <w:p w:rsidR="007677E3" w:rsidRDefault="007677E3">
            <w:pPr>
              <w:jc w:val="center"/>
              <w:rPr>
                <w:rFonts w:hint="eastAsia"/>
                <w:szCs w:val="21"/>
              </w:rPr>
            </w:pPr>
            <w:r>
              <w:rPr>
                <w:rFonts w:hint="eastAsia"/>
                <w:szCs w:val="21"/>
              </w:rPr>
              <w:t>0.8%</w:t>
            </w:r>
          </w:p>
        </w:tc>
        <w:tc>
          <w:tcPr>
            <w:tcW w:w="2602" w:type="dxa"/>
            <w:tcBorders>
              <w:top w:val="single" w:sz="4" w:space="0" w:color="000000"/>
              <w:left w:val="single" w:sz="4" w:space="0" w:color="000000"/>
              <w:bottom w:val="single" w:sz="4" w:space="0" w:color="000000"/>
              <w:right w:val="single" w:sz="4" w:space="0" w:color="000000"/>
            </w:tcBorders>
            <w:vAlign w:val="center"/>
          </w:tcPr>
          <w:p w:rsidR="007677E3" w:rsidRDefault="007677E3">
            <w:pPr>
              <w:jc w:val="center"/>
              <w:rPr>
                <w:rFonts w:hint="eastAsia"/>
                <w:szCs w:val="21"/>
              </w:rPr>
            </w:pPr>
            <w:r>
              <w:rPr>
                <w:rFonts w:hint="eastAsia"/>
                <w:szCs w:val="21"/>
              </w:rPr>
              <w:t>-</w:t>
            </w:r>
          </w:p>
        </w:tc>
      </w:tr>
      <w:tr w:rsidR="007677E3">
        <w:tc>
          <w:tcPr>
            <w:tcW w:w="817" w:type="dxa"/>
            <w:tcBorders>
              <w:top w:val="single" w:sz="4" w:space="0" w:color="000000"/>
              <w:left w:val="single" w:sz="4" w:space="0" w:color="000000"/>
              <w:bottom w:val="single" w:sz="4" w:space="0" w:color="000000"/>
              <w:right w:val="single" w:sz="4" w:space="0" w:color="000000"/>
            </w:tcBorders>
            <w:vAlign w:val="center"/>
          </w:tcPr>
          <w:p w:rsidR="007677E3" w:rsidRDefault="007677E3">
            <w:pPr>
              <w:jc w:val="center"/>
              <w:rPr>
                <w:rFonts w:hint="eastAsia"/>
                <w:szCs w:val="21"/>
              </w:rPr>
            </w:pPr>
            <w:r>
              <w:rPr>
                <w:rFonts w:hint="eastAsia"/>
                <w:szCs w:val="21"/>
              </w:rPr>
              <w:t>2,000,000≤M＜5,000,000</w:t>
            </w:r>
          </w:p>
        </w:tc>
        <w:tc>
          <w:tcPr>
            <w:tcW w:w="1275" w:type="dxa"/>
            <w:tcBorders>
              <w:top w:val="single" w:sz="4" w:space="0" w:color="000000"/>
              <w:left w:val="single" w:sz="4" w:space="0" w:color="000000"/>
              <w:bottom w:val="single" w:sz="4" w:space="0" w:color="000000"/>
              <w:right w:val="single" w:sz="4" w:space="0" w:color="000000"/>
            </w:tcBorders>
            <w:vAlign w:val="center"/>
          </w:tcPr>
          <w:p w:rsidR="007677E3" w:rsidRDefault="007677E3">
            <w:pPr>
              <w:jc w:val="center"/>
              <w:rPr>
                <w:rFonts w:hint="eastAsia"/>
                <w:szCs w:val="21"/>
              </w:rPr>
            </w:pPr>
            <w:r>
              <w:rPr>
                <w:rFonts w:hint="eastAsia"/>
                <w:szCs w:val="21"/>
              </w:rPr>
              <w:t>0.4%</w:t>
            </w:r>
          </w:p>
        </w:tc>
        <w:tc>
          <w:tcPr>
            <w:tcW w:w="2602" w:type="dxa"/>
            <w:tcBorders>
              <w:top w:val="single" w:sz="4" w:space="0" w:color="000000"/>
              <w:left w:val="single" w:sz="4" w:space="0" w:color="000000"/>
              <w:bottom w:val="single" w:sz="4" w:space="0" w:color="000000"/>
              <w:right w:val="single" w:sz="4" w:space="0" w:color="000000"/>
            </w:tcBorders>
            <w:vAlign w:val="center"/>
          </w:tcPr>
          <w:p w:rsidR="007677E3" w:rsidRDefault="007677E3">
            <w:pPr>
              <w:jc w:val="center"/>
              <w:rPr>
                <w:rFonts w:hint="eastAsia"/>
                <w:szCs w:val="21"/>
              </w:rPr>
            </w:pPr>
            <w:r>
              <w:rPr>
                <w:rFonts w:hint="eastAsia"/>
                <w:szCs w:val="21"/>
              </w:rPr>
              <w:t>-</w:t>
            </w:r>
          </w:p>
        </w:tc>
      </w:tr>
      <w:tr w:rsidR="007677E3">
        <w:tc>
          <w:tcPr>
            <w:tcW w:w="817" w:type="dxa"/>
            <w:tcBorders>
              <w:top w:val="single" w:sz="4" w:space="0" w:color="000000"/>
              <w:left w:val="single" w:sz="4" w:space="0" w:color="000000"/>
              <w:bottom w:val="single" w:sz="4" w:space="0" w:color="000000"/>
              <w:right w:val="single" w:sz="4" w:space="0" w:color="000000"/>
            </w:tcBorders>
            <w:vAlign w:val="center"/>
          </w:tcPr>
          <w:p w:rsidR="007677E3" w:rsidRDefault="007677E3">
            <w:pPr>
              <w:jc w:val="center"/>
              <w:rPr>
                <w:rFonts w:hint="eastAsia"/>
                <w:szCs w:val="21"/>
              </w:rPr>
            </w:pPr>
            <w:r>
              <w:rPr>
                <w:rFonts w:hint="eastAsia"/>
                <w:szCs w:val="21"/>
              </w:rPr>
              <w:t>M≥5,000,000</w:t>
            </w:r>
          </w:p>
        </w:tc>
        <w:tc>
          <w:tcPr>
            <w:tcW w:w="1275" w:type="dxa"/>
            <w:tcBorders>
              <w:top w:val="single" w:sz="4" w:space="0" w:color="000000"/>
              <w:left w:val="single" w:sz="4" w:space="0" w:color="000000"/>
              <w:bottom w:val="single" w:sz="4" w:space="0" w:color="000000"/>
              <w:right w:val="single" w:sz="4" w:space="0" w:color="000000"/>
            </w:tcBorders>
            <w:vAlign w:val="center"/>
          </w:tcPr>
          <w:p w:rsidR="007677E3" w:rsidRDefault="007677E3">
            <w:pPr>
              <w:jc w:val="center"/>
              <w:rPr>
                <w:rFonts w:hint="eastAsia"/>
                <w:szCs w:val="21"/>
              </w:rPr>
            </w:pPr>
            <w:r>
              <w:rPr>
                <w:rFonts w:hint="eastAsia"/>
                <w:szCs w:val="21"/>
              </w:rPr>
              <w:t>1,000元/笔</w:t>
            </w:r>
          </w:p>
        </w:tc>
        <w:tc>
          <w:tcPr>
            <w:tcW w:w="2602" w:type="dxa"/>
            <w:tcBorders>
              <w:top w:val="single" w:sz="4" w:space="0" w:color="000000"/>
              <w:left w:val="single" w:sz="4" w:space="0" w:color="000000"/>
              <w:bottom w:val="single" w:sz="4" w:space="0" w:color="000000"/>
              <w:right w:val="single" w:sz="4" w:space="0" w:color="000000"/>
            </w:tcBorders>
            <w:vAlign w:val="center"/>
          </w:tcPr>
          <w:p w:rsidR="007677E3" w:rsidRDefault="007677E3">
            <w:pPr>
              <w:jc w:val="center"/>
              <w:rPr>
                <w:rFonts w:hint="eastAsia"/>
                <w:szCs w:val="21"/>
              </w:rPr>
            </w:pPr>
            <w:r>
              <w:rPr>
                <w:rFonts w:hint="eastAsia"/>
                <w:szCs w:val="21"/>
              </w:rPr>
              <w:t>-</w:t>
            </w:r>
          </w:p>
        </w:tc>
      </w:tr>
    </w:tbl>
    <w:p w:rsidR="007677E3" w:rsidRDefault="007677E3">
      <w:pPr>
        <w:spacing w:line="360" w:lineRule="auto"/>
        <w:jc w:val="center"/>
        <w:rPr>
          <w:rFonts w:hint="eastAsia"/>
          <w:szCs w:val="21"/>
        </w:rPr>
      </w:pPr>
      <w:r>
        <w:rPr>
          <w:rFonts w:hint="eastAsia"/>
          <w:szCs w:val="21"/>
        </w:rPr>
        <w:t>中邮北证50成份指数增强发起式C</w:t>
      </w:r>
      <w:r>
        <w:rPr>
          <w:rFonts w:hint="eastAsia"/>
          <w:kern w:val="0"/>
          <w:szCs w:val="21"/>
        </w:rPr>
        <w:t xml:space="preserve"> </w:t>
      </w:r>
    </w:p>
    <w:tbl>
      <w:tblPr>
        <w:tblW w:w="5000" w:type="pct"/>
        <w:tblInd w:w="0" w:type="dxa"/>
        <w:tblBorders>
          <w:top w:val="single" w:sz="4" w:space="0" w:color="000000"/>
          <w:left w:val="single" w:sz="4" w:space="0" w:color="000000"/>
          <w:bottom w:val="single" w:sz="4" w:space="0" w:color="000000"/>
          <w:right w:val="single" w:sz="4" w:space="0" w:color="000000"/>
        </w:tblBorders>
        <w:tblLayout w:type="fixed"/>
        <w:tblLook w:val="0000"/>
      </w:tblPr>
      <w:tblGrid>
        <w:gridCol w:w="3582"/>
        <w:gridCol w:w="2712"/>
        <w:gridCol w:w="2767"/>
      </w:tblGrid>
      <w:tr w:rsidR="007677E3">
        <w:tc>
          <w:tcPr>
            <w:tcW w:w="3369" w:type="dxa"/>
            <w:tcBorders>
              <w:top w:val="single" w:sz="4" w:space="0" w:color="000000"/>
              <w:left w:val="single" w:sz="4" w:space="0" w:color="000000"/>
              <w:bottom w:val="single" w:sz="4" w:space="0" w:color="000000"/>
              <w:right w:val="single" w:sz="4" w:space="0" w:color="000000"/>
            </w:tcBorders>
            <w:vAlign w:val="center"/>
          </w:tcPr>
          <w:p w:rsidR="007677E3" w:rsidRDefault="007677E3">
            <w:pPr>
              <w:jc w:val="center"/>
              <w:rPr>
                <w:rFonts w:hint="eastAsia"/>
                <w:szCs w:val="21"/>
              </w:rPr>
            </w:pPr>
            <w:r>
              <w:rPr>
                <w:rFonts w:hint="eastAsia"/>
                <w:szCs w:val="21"/>
              </w:rPr>
              <w:t xml:space="preserve">申购金额(M) </w:t>
            </w:r>
          </w:p>
        </w:tc>
        <w:tc>
          <w:tcPr>
            <w:tcW w:w="2551" w:type="dxa"/>
            <w:tcBorders>
              <w:top w:val="single" w:sz="4" w:space="0" w:color="000000"/>
              <w:left w:val="single" w:sz="4" w:space="0" w:color="000000"/>
              <w:bottom w:val="single" w:sz="4" w:space="0" w:color="000000"/>
              <w:right w:val="single" w:sz="4" w:space="0" w:color="000000"/>
            </w:tcBorders>
            <w:vAlign w:val="center"/>
          </w:tcPr>
          <w:p w:rsidR="007677E3" w:rsidRDefault="007677E3">
            <w:pPr>
              <w:jc w:val="center"/>
              <w:rPr>
                <w:rFonts w:hint="eastAsia"/>
                <w:szCs w:val="21"/>
              </w:rPr>
            </w:pPr>
            <w:r>
              <w:rPr>
                <w:rFonts w:hint="eastAsia"/>
                <w:szCs w:val="21"/>
              </w:rPr>
              <w:t xml:space="preserve">申购费率 </w:t>
            </w:r>
          </w:p>
        </w:tc>
        <w:tc>
          <w:tcPr>
            <w:tcW w:w="2602" w:type="dxa"/>
            <w:tcBorders>
              <w:top w:val="single" w:sz="4" w:space="0" w:color="000000"/>
              <w:left w:val="single" w:sz="4" w:space="0" w:color="000000"/>
              <w:bottom w:val="single" w:sz="4" w:space="0" w:color="000000"/>
              <w:right w:val="single" w:sz="4" w:space="0" w:color="000000"/>
            </w:tcBorders>
            <w:vAlign w:val="center"/>
          </w:tcPr>
          <w:p w:rsidR="007677E3" w:rsidRDefault="007677E3">
            <w:pPr>
              <w:jc w:val="center"/>
              <w:rPr>
                <w:rFonts w:hint="eastAsia"/>
                <w:szCs w:val="21"/>
              </w:rPr>
            </w:pPr>
            <w:r>
              <w:rPr>
                <w:rFonts w:hint="eastAsia"/>
                <w:szCs w:val="21"/>
              </w:rPr>
              <w:t xml:space="preserve">备注 </w:t>
            </w:r>
          </w:p>
        </w:tc>
      </w:tr>
      <w:tr w:rsidR="007677E3">
        <w:tc>
          <w:tcPr>
            <w:tcW w:w="817" w:type="dxa"/>
            <w:tcBorders>
              <w:top w:val="single" w:sz="4" w:space="0" w:color="000000"/>
              <w:left w:val="single" w:sz="4" w:space="0" w:color="000000"/>
              <w:bottom w:val="single" w:sz="4" w:space="0" w:color="000000"/>
              <w:right w:val="single" w:sz="4" w:space="0" w:color="000000"/>
            </w:tcBorders>
            <w:vAlign w:val="center"/>
          </w:tcPr>
          <w:p w:rsidR="007677E3" w:rsidRDefault="007677E3">
            <w:pPr>
              <w:jc w:val="center"/>
              <w:rPr>
                <w:rFonts w:hint="eastAsia"/>
                <w:szCs w:val="21"/>
              </w:rPr>
            </w:pPr>
            <w:r>
              <w:rPr>
                <w:rFonts w:hint="eastAsia"/>
                <w:szCs w:val="21"/>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7677E3" w:rsidRDefault="007677E3">
            <w:pPr>
              <w:jc w:val="center"/>
              <w:rPr>
                <w:rFonts w:hint="eastAsia"/>
                <w:szCs w:val="21"/>
              </w:rPr>
            </w:pPr>
            <w:r>
              <w:rPr>
                <w:rFonts w:hint="eastAsia"/>
                <w:szCs w:val="21"/>
              </w:rPr>
              <w:t>-</w:t>
            </w:r>
          </w:p>
        </w:tc>
        <w:tc>
          <w:tcPr>
            <w:tcW w:w="2602" w:type="dxa"/>
            <w:tcBorders>
              <w:top w:val="single" w:sz="4" w:space="0" w:color="000000"/>
              <w:left w:val="single" w:sz="4" w:space="0" w:color="000000"/>
              <w:bottom w:val="single" w:sz="4" w:space="0" w:color="000000"/>
              <w:right w:val="single" w:sz="4" w:space="0" w:color="000000"/>
            </w:tcBorders>
            <w:vAlign w:val="center"/>
          </w:tcPr>
          <w:p w:rsidR="007677E3" w:rsidRDefault="007677E3">
            <w:pPr>
              <w:jc w:val="center"/>
              <w:rPr>
                <w:rFonts w:hint="eastAsia"/>
                <w:szCs w:val="21"/>
              </w:rPr>
            </w:pPr>
            <w:r>
              <w:rPr>
                <w:rFonts w:hint="eastAsia"/>
                <w:szCs w:val="21"/>
              </w:rPr>
              <w:t>本基金C类基金份额不收取申购费用。</w:t>
            </w:r>
          </w:p>
        </w:tc>
      </w:tr>
    </w:tbl>
    <w:p w:rsidR="007677E3" w:rsidRDefault="007677E3">
      <w:pPr>
        <w:pStyle w:val="XBRLTitle3"/>
        <w:spacing w:before="156"/>
        <w:rPr>
          <w:rFonts w:hAnsi="宋体" w:hint="eastAsia"/>
          <w:sz w:val="21"/>
          <w:szCs w:val="21"/>
        </w:rPr>
      </w:pPr>
      <w:bookmarkStart w:id="60" w:name="_Toc513465660"/>
      <w:bookmarkStart w:id="61" w:name="_Toc490050007"/>
      <w:bookmarkStart w:id="62" w:name="_Toc512519486"/>
      <w:bookmarkStart w:id="63" w:name="_Toc481075053"/>
      <w:r>
        <w:rPr>
          <w:rFonts w:hAnsi="宋体" w:hint="eastAsia"/>
          <w:sz w:val="21"/>
          <w:szCs w:val="21"/>
        </w:rPr>
        <w:t>后端收费</w:t>
      </w:r>
      <w:bookmarkEnd w:id="60"/>
    </w:p>
    <w:p w:rsidR="007677E3" w:rsidRDefault="007677E3">
      <w:pPr>
        <w:spacing w:line="360" w:lineRule="auto"/>
        <w:rPr>
          <w:rFonts w:hint="eastAsia"/>
          <w:szCs w:val="21"/>
        </w:rPr>
      </w:pPr>
      <w:bookmarkStart w:id="64" w:name="m07_04_07_02"/>
      <w:r>
        <w:rPr>
          <w:rFonts w:hint="eastAsia"/>
          <w:kern w:val="0"/>
          <w:szCs w:val="21"/>
        </w:rPr>
        <w:t>注：</w:t>
      </w:r>
      <w:bookmarkStart w:id="65" w:name="m07_04_13_04_02_01"/>
      <w:bookmarkStart w:id="66" w:name="OLE_LINK45"/>
      <w:bookmarkStart w:id="67" w:name="OLE_LINK46"/>
      <w:bookmarkStart w:id="68" w:name="OLE_LINK42"/>
      <w:bookmarkStart w:id="69" w:name="OLE_LINK41"/>
      <w:bookmarkEnd w:id="64"/>
      <w:r>
        <w:rPr>
          <w:rFonts w:hint="eastAsia"/>
          <w:szCs w:val="21"/>
          <w:lang/>
        </w:rPr>
        <w:t>本基金未开通后端收费模式。</w:t>
      </w:r>
      <w:bookmarkEnd w:id="65"/>
      <w:bookmarkEnd w:id="66"/>
      <w:bookmarkEnd w:id="67"/>
      <w:bookmarkEnd w:id="68"/>
      <w:bookmarkEnd w:id="69"/>
      <w:r>
        <w:rPr>
          <w:rFonts w:hint="eastAsia"/>
          <w:szCs w:val="21"/>
          <w:lang/>
        </w:rPr>
        <w:t xml:space="preserve"> </w:t>
      </w:r>
    </w:p>
    <w:p w:rsidR="007677E3" w:rsidRDefault="007677E3">
      <w:pPr>
        <w:pStyle w:val="XBRLTitle2"/>
        <w:spacing w:before="156"/>
        <w:rPr>
          <w:rFonts w:hAnsi="宋体" w:hint="eastAsia"/>
          <w:sz w:val="21"/>
          <w:szCs w:val="21"/>
        </w:rPr>
      </w:pPr>
      <w:bookmarkStart w:id="70" w:name="_Toc34841033"/>
      <w:bookmarkStart w:id="71" w:name="_Toc34758524"/>
      <w:bookmarkStart w:id="72" w:name="_Toc245003735"/>
      <w:bookmarkStart w:id="73" w:name="_Toc454983260"/>
      <w:bookmarkStart w:id="74" w:name="_Toc452398732"/>
      <w:bookmarkStart w:id="75" w:name="m03_03"/>
      <w:bookmarkStart w:id="76" w:name="_Toc17898185"/>
      <w:bookmarkStart w:id="77" w:name="_Toc453852604"/>
      <w:bookmarkStart w:id="78" w:name="_Toc506208214"/>
      <w:bookmarkStart w:id="79" w:name="_Toc433036679"/>
      <w:bookmarkStart w:id="80" w:name="_Toc247616208"/>
      <w:bookmarkStart w:id="81" w:name="_Toc485300223"/>
      <w:bookmarkStart w:id="82" w:name="_Toc17897941"/>
      <w:bookmarkStart w:id="83" w:name="_Toc497398101"/>
      <w:bookmarkStart w:id="84" w:name="_Toc244948694"/>
      <w:r>
        <w:rPr>
          <w:rFonts w:hAnsi="宋体" w:hint="eastAsia"/>
          <w:sz w:val="21"/>
          <w:szCs w:val="21"/>
        </w:rPr>
        <w:lastRenderedPageBreak/>
        <w:t>其他与申购相关的事项</w:t>
      </w:r>
      <w:bookmarkEnd w:id="70"/>
      <w:bookmarkEnd w:id="71"/>
    </w:p>
    <w:p w:rsidR="007677E3" w:rsidRDefault="007677E3">
      <w:pPr>
        <w:spacing w:line="360" w:lineRule="auto"/>
        <w:ind w:firstLineChars="200" w:firstLine="420"/>
        <w:rPr>
          <w:rFonts w:hint="eastAsia"/>
          <w:szCs w:val="21"/>
        </w:rPr>
      </w:pPr>
      <w:r>
        <w:rPr>
          <w:rFonts w:hint="eastAsia"/>
          <w:szCs w:val="21"/>
          <w:lang/>
        </w:rPr>
        <w:t>无。</w:t>
      </w:r>
    </w:p>
    <w:p w:rsidR="007677E3" w:rsidRDefault="007677E3">
      <w:pPr>
        <w:pStyle w:val="XBRLTitle1"/>
        <w:spacing w:before="156" w:line="360" w:lineRule="auto"/>
        <w:rPr>
          <w:rFonts w:hAnsi="宋体" w:hint="eastAsia"/>
          <w:sz w:val="21"/>
          <w:szCs w:val="21"/>
        </w:rPr>
      </w:pPr>
      <w:bookmarkStart w:id="85" w:name="_Toc17897942"/>
      <w:bookmarkStart w:id="86" w:name="_Toc34758525"/>
      <w:bookmarkStart w:id="87" w:name="_Toc438646458"/>
      <w:bookmarkStart w:id="88" w:name="_Toc481075054"/>
      <w:bookmarkStart w:id="89" w:name="_Toc513295899"/>
      <w:bookmarkStart w:id="90" w:name="_Toc513295851"/>
      <w:bookmarkStart w:id="91" w:name="_Toc512519487"/>
      <w:bookmarkStart w:id="92" w:name="_Toc17898186"/>
      <w:bookmarkStart w:id="93" w:name="_Toc490050008"/>
      <w:bookmarkStart w:id="94" w:name="_Toc34841034"/>
      <w:r>
        <w:rPr>
          <w:rFonts w:hAnsi="宋体" w:hint="eastAsia"/>
          <w:sz w:val="21"/>
          <w:szCs w:val="21"/>
        </w:rPr>
        <w:t>日常赎回业务</w:t>
      </w:r>
      <w:bookmarkEnd w:id="85"/>
      <w:bookmarkEnd w:id="86"/>
      <w:bookmarkEnd w:id="87"/>
      <w:bookmarkEnd w:id="88"/>
      <w:bookmarkEnd w:id="89"/>
      <w:bookmarkEnd w:id="90"/>
      <w:bookmarkEnd w:id="91"/>
      <w:bookmarkEnd w:id="92"/>
      <w:bookmarkEnd w:id="93"/>
      <w:bookmarkEnd w:id="94"/>
      <w:r>
        <w:rPr>
          <w:rFonts w:hAnsi="宋体" w:hint="eastAsia"/>
          <w:sz w:val="21"/>
          <w:szCs w:val="21"/>
        </w:rPr>
        <w:t xml:space="preserve"> </w:t>
      </w:r>
    </w:p>
    <w:p w:rsidR="007677E3" w:rsidRDefault="007677E3">
      <w:pPr>
        <w:pStyle w:val="XBRLTitle2"/>
        <w:spacing w:before="156" w:line="360" w:lineRule="auto"/>
        <w:rPr>
          <w:rFonts w:hAnsi="宋体" w:hint="eastAsia"/>
          <w:sz w:val="21"/>
          <w:szCs w:val="21"/>
        </w:rPr>
      </w:pPr>
      <w:bookmarkStart w:id="95" w:name="_Toc513295852"/>
      <w:bookmarkStart w:id="96" w:name="_Toc34841035"/>
      <w:bookmarkStart w:id="97" w:name="_Toc481075055"/>
      <w:bookmarkStart w:id="98" w:name="_Toc438646459"/>
      <w:bookmarkStart w:id="99" w:name="_Toc490050009"/>
      <w:bookmarkStart w:id="100" w:name="_Toc513295900"/>
      <w:bookmarkStart w:id="101" w:name="_Toc512519488"/>
      <w:bookmarkStart w:id="102" w:name="_Toc17898187"/>
      <w:bookmarkStart w:id="103" w:name="_Toc34758526"/>
      <w:bookmarkStart w:id="104" w:name="_Toc17897943"/>
      <w:r>
        <w:rPr>
          <w:rFonts w:hAnsi="宋体" w:hint="eastAsia"/>
          <w:sz w:val="21"/>
          <w:szCs w:val="21"/>
        </w:rPr>
        <w:t>赎回份额限制</w:t>
      </w:r>
      <w:bookmarkEnd w:id="95"/>
      <w:bookmarkEnd w:id="96"/>
      <w:bookmarkEnd w:id="97"/>
      <w:bookmarkEnd w:id="98"/>
      <w:bookmarkEnd w:id="99"/>
      <w:bookmarkEnd w:id="100"/>
      <w:bookmarkEnd w:id="101"/>
      <w:bookmarkEnd w:id="102"/>
      <w:bookmarkEnd w:id="103"/>
      <w:bookmarkEnd w:id="104"/>
      <w:r>
        <w:rPr>
          <w:rFonts w:hAnsi="宋体" w:hint="eastAsia"/>
          <w:sz w:val="21"/>
          <w:szCs w:val="21"/>
        </w:rPr>
        <w:t xml:space="preserve"> </w:t>
      </w:r>
    </w:p>
    <w:p w:rsidR="007677E3" w:rsidRDefault="007677E3">
      <w:pPr>
        <w:spacing w:line="360" w:lineRule="auto"/>
        <w:ind w:firstLineChars="200" w:firstLine="420"/>
        <w:rPr>
          <w:rFonts w:hint="eastAsia"/>
          <w:szCs w:val="21"/>
        </w:rPr>
      </w:pPr>
      <w:r>
        <w:rPr>
          <w:rFonts w:hint="eastAsia"/>
          <w:szCs w:val="21"/>
          <w:lang/>
        </w:rPr>
        <w:t>单笔赎回不得少于1份(如该账户在该销售机构保留的基金余额不足1份，则必须一次性赎回基金全部份额)；若某笔赎回将导致投资者在销售机构保留的基金余额不足1份时，基金管理人有权将投资者在该销售机构保留的剩余基金份额一次性全部赎回。</w:t>
      </w:r>
    </w:p>
    <w:p w:rsidR="007677E3" w:rsidRDefault="007677E3">
      <w:pPr>
        <w:pStyle w:val="XBRLTitle2"/>
        <w:spacing w:before="156" w:line="360" w:lineRule="auto"/>
        <w:rPr>
          <w:rFonts w:hAnsi="宋体" w:hint="eastAsia"/>
          <w:sz w:val="21"/>
          <w:szCs w:val="21"/>
        </w:rPr>
      </w:pPr>
      <w:bookmarkStart w:id="105" w:name="_Toc513295853"/>
      <w:bookmarkStart w:id="106" w:name="_Toc513295901"/>
      <w:bookmarkStart w:id="107" w:name="_Toc512519489"/>
      <w:bookmarkStart w:id="108" w:name="_Toc17898188"/>
      <w:bookmarkStart w:id="109" w:name="_Toc438646460"/>
      <w:bookmarkStart w:id="110" w:name="_Toc490050010"/>
      <w:bookmarkStart w:id="111" w:name="_Toc481075056"/>
      <w:bookmarkStart w:id="112" w:name="m402"/>
      <w:bookmarkStart w:id="113" w:name="_Toc34841036"/>
      <w:bookmarkStart w:id="114" w:name="_Toc17897944"/>
      <w:bookmarkStart w:id="115" w:name="_Toc34758527"/>
      <w:r>
        <w:rPr>
          <w:rFonts w:hAnsi="宋体" w:hint="eastAsia"/>
          <w:sz w:val="21"/>
          <w:szCs w:val="21"/>
        </w:rPr>
        <w:t>赎回费率</w:t>
      </w:r>
      <w:bookmarkEnd w:id="105"/>
      <w:bookmarkEnd w:id="106"/>
      <w:bookmarkEnd w:id="107"/>
      <w:bookmarkEnd w:id="108"/>
      <w:bookmarkEnd w:id="109"/>
      <w:bookmarkEnd w:id="110"/>
      <w:bookmarkEnd w:id="111"/>
      <w:bookmarkEnd w:id="113"/>
      <w:bookmarkEnd w:id="114"/>
      <w:bookmarkEnd w:id="115"/>
      <w:r>
        <w:rPr>
          <w:rFonts w:hAnsi="宋体" w:hint="eastAsia"/>
          <w:sz w:val="21"/>
          <w:szCs w:val="21"/>
        </w:rPr>
        <w:t xml:space="preserve"> </w:t>
      </w:r>
    </w:p>
    <w:bookmarkEnd w:id="112"/>
    <w:p w:rsidR="007677E3" w:rsidRDefault="007677E3">
      <w:pPr>
        <w:spacing w:line="360" w:lineRule="auto"/>
        <w:jc w:val="center"/>
        <w:rPr>
          <w:rFonts w:hint="eastAsia"/>
          <w:szCs w:val="21"/>
        </w:rPr>
      </w:pPr>
      <w:r>
        <w:rPr>
          <w:rFonts w:hint="eastAsia"/>
          <w:szCs w:val="21"/>
        </w:rPr>
        <w:t>中邮北证50成份指数增强发起式A</w:t>
      </w:r>
      <w:r>
        <w:rPr>
          <w:rFonts w:hint="eastAsia"/>
          <w:kern w:val="0"/>
          <w:szCs w:val="21"/>
        </w:rPr>
        <w:t xml:space="preserve"> </w:t>
      </w:r>
    </w:p>
    <w:tbl>
      <w:tblPr>
        <w:tblW w:w="5000" w:type="pct"/>
        <w:tblInd w:w="0" w:type="dxa"/>
        <w:tblBorders>
          <w:top w:val="single" w:sz="4" w:space="0" w:color="000000"/>
          <w:left w:val="single" w:sz="4" w:space="0" w:color="000000"/>
          <w:bottom w:val="single" w:sz="4" w:space="0" w:color="000000"/>
          <w:right w:val="single" w:sz="4" w:space="0" w:color="000000"/>
        </w:tblBorders>
        <w:tblLayout w:type="fixed"/>
        <w:tblLook w:val="0000"/>
      </w:tblPr>
      <w:tblGrid>
        <w:gridCol w:w="6265"/>
        <w:gridCol w:w="2796"/>
      </w:tblGrid>
      <w:tr w:rsidR="007677E3">
        <w:tc>
          <w:tcPr>
            <w:tcW w:w="5140" w:type="dxa"/>
            <w:tcBorders>
              <w:top w:val="single" w:sz="4" w:space="0" w:color="000000"/>
              <w:left w:val="single" w:sz="4" w:space="0" w:color="000000"/>
              <w:bottom w:val="single" w:sz="4" w:space="0" w:color="000000"/>
              <w:right w:val="single" w:sz="4" w:space="0" w:color="000000"/>
            </w:tcBorders>
          </w:tcPr>
          <w:p w:rsidR="007677E3" w:rsidRDefault="007677E3">
            <w:pPr>
              <w:jc w:val="center"/>
              <w:rPr>
                <w:rFonts w:hint="eastAsia"/>
                <w:szCs w:val="21"/>
              </w:rPr>
            </w:pPr>
            <w:r>
              <w:rPr>
                <w:rFonts w:hint="eastAsia"/>
                <w:szCs w:val="21"/>
              </w:rPr>
              <w:t xml:space="preserve">持有期限(N) </w:t>
            </w:r>
          </w:p>
        </w:tc>
        <w:tc>
          <w:tcPr>
            <w:tcW w:w="2294" w:type="dxa"/>
            <w:tcBorders>
              <w:top w:val="single" w:sz="4" w:space="0" w:color="000000"/>
              <w:left w:val="single" w:sz="4" w:space="0" w:color="000000"/>
              <w:bottom w:val="single" w:sz="4" w:space="0" w:color="000000"/>
              <w:right w:val="single" w:sz="4" w:space="0" w:color="000000"/>
            </w:tcBorders>
          </w:tcPr>
          <w:p w:rsidR="007677E3" w:rsidRDefault="007677E3">
            <w:pPr>
              <w:jc w:val="center"/>
              <w:rPr>
                <w:rFonts w:hint="eastAsia"/>
                <w:szCs w:val="21"/>
              </w:rPr>
            </w:pPr>
            <w:r>
              <w:rPr>
                <w:rFonts w:hint="eastAsia"/>
                <w:szCs w:val="21"/>
              </w:rPr>
              <w:t xml:space="preserve">赎回费率 </w:t>
            </w:r>
          </w:p>
        </w:tc>
      </w:tr>
      <w:tr w:rsidR="007677E3">
        <w:tc>
          <w:tcPr>
            <w:tcW w:w="1384" w:type="dxa"/>
            <w:tcBorders>
              <w:top w:val="single" w:sz="4" w:space="0" w:color="000000"/>
              <w:left w:val="single" w:sz="4" w:space="0" w:color="000000"/>
              <w:bottom w:val="single" w:sz="4" w:space="0" w:color="000000"/>
              <w:right w:val="single" w:sz="4" w:space="0" w:color="000000"/>
            </w:tcBorders>
          </w:tcPr>
          <w:p w:rsidR="007677E3" w:rsidRDefault="007677E3">
            <w:pPr>
              <w:jc w:val="center"/>
              <w:rPr>
                <w:rFonts w:hint="eastAsia"/>
                <w:szCs w:val="21"/>
              </w:rPr>
            </w:pPr>
            <w:r>
              <w:rPr>
                <w:rFonts w:hint="eastAsia"/>
                <w:szCs w:val="21"/>
              </w:rPr>
              <w:t>N＜7天</w:t>
            </w:r>
          </w:p>
        </w:tc>
        <w:tc>
          <w:tcPr>
            <w:tcW w:w="1048" w:type="dxa"/>
            <w:tcBorders>
              <w:top w:val="single" w:sz="4" w:space="0" w:color="000000"/>
              <w:left w:val="single" w:sz="4" w:space="0" w:color="000000"/>
              <w:bottom w:val="single" w:sz="4" w:space="0" w:color="000000"/>
              <w:right w:val="single" w:sz="4" w:space="0" w:color="000000"/>
            </w:tcBorders>
          </w:tcPr>
          <w:p w:rsidR="007677E3" w:rsidRDefault="007677E3">
            <w:pPr>
              <w:jc w:val="center"/>
              <w:rPr>
                <w:rFonts w:hint="eastAsia"/>
                <w:szCs w:val="21"/>
              </w:rPr>
            </w:pPr>
            <w:r>
              <w:rPr>
                <w:rFonts w:hint="eastAsia"/>
                <w:szCs w:val="21"/>
              </w:rPr>
              <w:t>1.5%</w:t>
            </w:r>
          </w:p>
        </w:tc>
      </w:tr>
      <w:tr w:rsidR="007677E3">
        <w:tc>
          <w:tcPr>
            <w:tcW w:w="1384" w:type="dxa"/>
            <w:tcBorders>
              <w:top w:val="single" w:sz="4" w:space="0" w:color="000000"/>
              <w:left w:val="single" w:sz="4" w:space="0" w:color="000000"/>
              <w:bottom w:val="single" w:sz="4" w:space="0" w:color="000000"/>
              <w:right w:val="single" w:sz="4" w:space="0" w:color="000000"/>
            </w:tcBorders>
          </w:tcPr>
          <w:p w:rsidR="007677E3" w:rsidRDefault="007677E3">
            <w:pPr>
              <w:jc w:val="center"/>
              <w:rPr>
                <w:rFonts w:hint="eastAsia"/>
                <w:szCs w:val="21"/>
              </w:rPr>
            </w:pPr>
            <w:r>
              <w:rPr>
                <w:rFonts w:hint="eastAsia"/>
                <w:szCs w:val="21"/>
              </w:rPr>
              <w:t>N≥7天</w:t>
            </w:r>
          </w:p>
        </w:tc>
        <w:tc>
          <w:tcPr>
            <w:tcW w:w="1048" w:type="dxa"/>
            <w:tcBorders>
              <w:top w:val="single" w:sz="4" w:space="0" w:color="000000"/>
              <w:left w:val="single" w:sz="4" w:space="0" w:color="000000"/>
              <w:bottom w:val="single" w:sz="4" w:space="0" w:color="000000"/>
              <w:right w:val="single" w:sz="4" w:space="0" w:color="000000"/>
            </w:tcBorders>
          </w:tcPr>
          <w:p w:rsidR="007677E3" w:rsidRDefault="007677E3">
            <w:pPr>
              <w:jc w:val="center"/>
              <w:rPr>
                <w:rFonts w:hint="eastAsia"/>
                <w:szCs w:val="21"/>
              </w:rPr>
            </w:pPr>
            <w:r>
              <w:rPr>
                <w:rFonts w:hint="eastAsia"/>
                <w:szCs w:val="21"/>
              </w:rPr>
              <w:t>0%</w:t>
            </w:r>
          </w:p>
        </w:tc>
      </w:tr>
    </w:tbl>
    <w:p w:rsidR="007677E3" w:rsidRDefault="007677E3">
      <w:pPr>
        <w:spacing w:line="360" w:lineRule="auto"/>
        <w:jc w:val="center"/>
        <w:rPr>
          <w:rFonts w:hint="eastAsia"/>
          <w:szCs w:val="21"/>
        </w:rPr>
      </w:pPr>
      <w:r>
        <w:rPr>
          <w:rFonts w:hint="eastAsia"/>
          <w:szCs w:val="21"/>
        </w:rPr>
        <w:t>中邮北证50成份指数增强发起式C</w:t>
      </w:r>
      <w:r>
        <w:rPr>
          <w:rFonts w:hint="eastAsia"/>
          <w:kern w:val="0"/>
          <w:szCs w:val="21"/>
        </w:rPr>
        <w:t xml:space="preserve"> </w:t>
      </w:r>
    </w:p>
    <w:tbl>
      <w:tblPr>
        <w:tblW w:w="5000" w:type="pct"/>
        <w:tblInd w:w="0" w:type="dxa"/>
        <w:tblBorders>
          <w:top w:val="single" w:sz="4" w:space="0" w:color="000000"/>
          <w:left w:val="single" w:sz="4" w:space="0" w:color="000000"/>
          <w:bottom w:val="single" w:sz="4" w:space="0" w:color="000000"/>
          <w:right w:val="single" w:sz="4" w:space="0" w:color="000000"/>
        </w:tblBorders>
        <w:tblLayout w:type="fixed"/>
        <w:tblLook w:val="0000"/>
      </w:tblPr>
      <w:tblGrid>
        <w:gridCol w:w="6265"/>
        <w:gridCol w:w="2796"/>
      </w:tblGrid>
      <w:tr w:rsidR="007677E3">
        <w:tc>
          <w:tcPr>
            <w:tcW w:w="5140" w:type="dxa"/>
            <w:tcBorders>
              <w:top w:val="single" w:sz="4" w:space="0" w:color="000000"/>
              <w:left w:val="single" w:sz="4" w:space="0" w:color="000000"/>
              <w:bottom w:val="single" w:sz="4" w:space="0" w:color="000000"/>
              <w:right w:val="single" w:sz="4" w:space="0" w:color="000000"/>
            </w:tcBorders>
          </w:tcPr>
          <w:p w:rsidR="007677E3" w:rsidRDefault="007677E3">
            <w:pPr>
              <w:jc w:val="center"/>
              <w:rPr>
                <w:rFonts w:hint="eastAsia"/>
                <w:szCs w:val="21"/>
              </w:rPr>
            </w:pPr>
            <w:r>
              <w:rPr>
                <w:rFonts w:hint="eastAsia"/>
                <w:szCs w:val="21"/>
              </w:rPr>
              <w:t xml:space="preserve">持有期限(N) </w:t>
            </w:r>
          </w:p>
        </w:tc>
        <w:tc>
          <w:tcPr>
            <w:tcW w:w="2294" w:type="dxa"/>
            <w:tcBorders>
              <w:top w:val="single" w:sz="4" w:space="0" w:color="000000"/>
              <w:left w:val="single" w:sz="4" w:space="0" w:color="000000"/>
              <w:bottom w:val="single" w:sz="4" w:space="0" w:color="000000"/>
              <w:right w:val="single" w:sz="4" w:space="0" w:color="000000"/>
            </w:tcBorders>
          </w:tcPr>
          <w:p w:rsidR="007677E3" w:rsidRDefault="007677E3">
            <w:pPr>
              <w:jc w:val="center"/>
              <w:rPr>
                <w:rFonts w:hint="eastAsia"/>
                <w:szCs w:val="21"/>
              </w:rPr>
            </w:pPr>
            <w:r>
              <w:rPr>
                <w:rFonts w:hint="eastAsia"/>
                <w:szCs w:val="21"/>
              </w:rPr>
              <w:t xml:space="preserve">赎回费率 </w:t>
            </w:r>
          </w:p>
        </w:tc>
      </w:tr>
      <w:tr w:rsidR="007677E3">
        <w:tc>
          <w:tcPr>
            <w:tcW w:w="1384" w:type="dxa"/>
            <w:tcBorders>
              <w:top w:val="single" w:sz="4" w:space="0" w:color="000000"/>
              <w:left w:val="single" w:sz="4" w:space="0" w:color="000000"/>
              <w:bottom w:val="single" w:sz="4" w:space="0" w:color="000000"/>
              <w:right w:val="single" w:sz="4" w:space="0" w:color="000000"/>
            </w:tcBorders>
          </w:tcPr>
          <w:p w:rsidR="007677E3" w:rsidRDefault="007677E3">
            <w:pPr>
              <w:jc w:val="center"/>
              <w:rPr>
                <w:rFonts w:hint="eastAsia"/>
                <w:szCs w:val="21"/>
              </w:rPr>
            </w:pPr>
            <w:r>
              <w:rPr>
                <w:rFonts w:hint="eastAsia"/>
                <w:szCs w:val="21"/>
              </w:rPr>
              <w:t>N＜7天</w:t>
            </w:r>
          </w:p>
        </w:tc>
        <w:tc>
          <w:tcPr>
            <w:tcW w:w="1048" w:type="dxa"/>
            <w:tcBorders>
              <w:top w:val="single" w:sz="4" w:space="0" w:color="000000"/>
              <w:left w:val="single" w:sz="4" w:space="0" w:color="000000"/>
              <w:bottom w:val="single" w:sz="4" w:space="0" w:color="000000"/>
              <w:right w:val="single" w:sz="4" w:space="0" w:color="000000"/>
            </w:tcBorders>
          </w:tcPr>
          <w:p w:rsidR="007677E3" w:rsidRDefault="007677E3">
            <w:pPr>
              <w:jc w:val="center"/>
              <w:rPr>
                <w:rFonts w:hint="eastAsia"/>
                <w:szCs w:val="21"/>
              </w:rPr>
            </w:pPr>
            <w:r>
              <w:rPr>
                <w:rFonts w:hint="eastAsia"/>
                <w:szCs w:val="21"/>
              </w:rPr>
              <w:t>1.5%</w:t>
            </w:r>
          </w:p>
        </w:tc>
      </w:tr>
      <w:tr w:rsidR="007677E3">
        <w:tc>
          <w:tcPr>
            <w:tcW w:w="1384" w:type="dxa"/>
            <w:tcBorders>
              <w:top w:val="single" w:sz="4" w:space="0" w:color="000000"/>
              <w:left w:val="single" w:sz="4" w:space="0" w:color="000000"/>
              <w:bottom w:val="single" w:sz="4" w:space="0" w:color="000000"/>
              <w:right w:val="single" w:sz="4" w:space="0" w:color="000000"/>
            </w:tcBorders>
          </w:tcPr>
          <w:p w:rsidR="007677E3" w:rsidRDefault="007677E3">
            <w:pPr>
              <w:jc w:val="center"/>
              <w:rPr>
                <w:rFonts w:hint="eastAsia"/>
                <w:szCs w:val="21"/>
              </w:rPr>
            </w:pPr>
            <w:r>
              <w:rPr>
                <w:rFonts w:hint="eastAsia"/>
                <w:szCs w:val="21"/>
              </w:rPr>
              <w:t>N≥7天</w:t>
            </w:r>
          </w:p>
        </w:tc>
        <w:tc>
          <w:tcPr>
            <w:tcW w:w="1048" w:type="dxa"/>
            <w:tcBorders>
              <w:top w:val="single" w:sz="4" w:space="0" w:color="000000"/>
              <w:left w:val="single" w:sz="4" w:space="0" w:color="000000"/>
              <w:bottom w:val="single" w:sz="4" w:space="0" w:color="000000"/>
              <w:right w:val="single" w:sz="4" w:space="0" w:color="000000"/>
            </w:tcBorders>
          </w:tcPr>
          <w:p w:rsidR="007677E3" w:rsidRDefault="007677E3">
            <w:pPr>
              <w:jc w:val="center"/>
              <w:rPr>
                <w:rFonts w:hint="eastAsia"/>
                <w:szCs w:val="21"/>
              </w:rPr>
            </w:pPr>
            <w:r>
              <w:rPr>
                <w:rFonts w:hint="eastAsia"/>
                <w:szCs w:val="21"/>
              </w:rPr>
              <w:t>0%</w:t>
            </w:r>
          </w:p>
        </w:tc>
      </w:tr>
    </w:tbl>
    <w:p w:rsidR="007677E3" w:rsidRDefault="007677E3">
      <w:pPr>
        <w:pStyle w:val="XBRLTitle2"/>
        <w:spacing w:before="156" w:line="360" w:lineRule="auto"/>
        <w:rPr>
          <w:rFonts w:hAnsi="宋体" w:hint="eastAsia"/>
          <w:sz w:val="21"/>
          <w:szCs w:val="21"/>
        </w:rPr>
      </w:pPr>
      <w:bookmarkStart w:id="116" w:name="_Toc512519493"/>
      <w:bookmarkStart w:id="117" w:name="_Toc17897946"/>
      <w:bookmarkStart w:id="118" w:name="_Toc481075061"/>
      <w:bookmarkStart w:id="119" w:name="_Toc513295855"/>
      <w:bookmarkStart w:id="120" w:name="_Toc490050014"/>
      <w:bookmarkStart w:id="121" w:name="m403"/>
      <w:bookmarkStart w:id="122" w:name="_Toc34841037"/>
      <w:bookmarkStart w:id="123" w:name="m405_01_2550"/>
      <w:bookmarkStart w:id="124" w:name="_Toc17898192"/>
      <w:bookmarkStart w:id="125" w:name="_Toc34758528"/>
      <w:bookmarkStart w:id="126" w:name="_Toc513295905"/>
      <w:bookmarkEnd w:id="121"/>
      <w:r>
        <w:rPr>
          <w:rFonts w:hAnsi="宋体" w:hint="eastAsia"/>
          <w:sz w:val="21"/>
          <w:szCs w:val="21"/>
        </w:rPr>
        <w:t>其他与赎回相关的事项</w:t>
      </w:r>
      <w:bookmarkEnd w:id="116"/>
      <w:bookmarkEnd w:id="117"/>
      <w:bookmarkEnd w:id="118"/>
      <w:bookmarkEnd w:id="119"/>
      <w:bookmarkEnd w:id="120"/>
      <w:bookmarkEnd w:id="122"/>
      <w:bookmarkEnd w:id="124"/>
      <w:bookmarkEnd w:id="125"/>
      <w:bookmarkEnd w:id="126"/>
      <w:r>
        <w:rPr>
          <w:rFonts w:hAnsi="宋体" w:hint="eastAsia"/>
          <w:sz w:val="21"/>
          <w:szCs w:val="21"/>
        </w:rPr>
        <w:t xml:space="preserve"> </w:t>
      </w:r>
    </w:p>
    <w:p w:rsidR="007677E3" w:rsidRDefault="007677E3">
      <w:pPr>
        <w:spacing w:line="360" w:lineRule="auto"/>
        <w:ind w:firstLineChars="200" w:firstLine="420"/>
        <w:rPr>
          <w:rFonts w:hint="eastAsia"/>
          <w:szCs w:val="21"/>
        </w:rPr>
      </w:pPr>
      <w:r>
        <w:rPr>
          <w:rFonts w:hint="eastAsia"/>
          <w:szCs w:val="21"/>
          <w:lang/>
        </w:rPr>
        <w:t>无。</w:t>
      </w:r>
    </w:p>
    <w:p w:rsidR="007677E3" w:rsidRDefault="007677E3">
      <w:pPr>
        <w:pStyle w:val="XBRLTitle1"/>
        <w:spacing w:before="156" w:line="360" w:lineRule="auto"/>
        <w:rPr>
          <w:rFonts w:hAnsi="宋体"/>
          <w:sz w:val="21"/>
          <w:szCs w:val="21"/>
        </w:rPr>
      </w:pPr>
      <w:bookmarkStart w:id="127" w:name="_Toc34841041"/>
      <w:bookmarkStart w:id="128" w:name="_Toc34758532"/>
      <w:bookmarkEnd w:id="123"/>
      <w:r>
        <w:rPr>
          <w:rFonts w:hAnsi="宋体" w:hint="eastAsia"/>
          <w:sz w:val="21"/>
          <w:szCs w:val="21"/>
        </w:rPr>
        <w:t>定期定额投资业务</w:t>
      </w:r>
      <w:bookmarkEnd w:id="127"/>
      <w:bookmarkEnd w:id="128"/>
      <w:r>
        <w:rPr>
          <w:rFonts w:hAnsi="宋体" w:hint="eastAsia"/>
          <w:sz w:val="21"/>
          <w:szCs w:val="21"/>
        </w:rPr>
        <w:t xml:space="preserve"> </w:t>
      </w:r>
    </w:p>
    <w:p w:rsidR="007677E3" w:rsidRDefault="007677E3">
      <w:pPr>
        <w:spacing w:line="360" w:lineRule="auto"/>
        <w:ind w:firstLineChars="200" w:firstLine="420"/>
        <w:rPr>
          <w:szCs w:val="21"/>
        </w:rPr>
      </w:pPr>
      <w:r>
        <w:rPr>
          <w:rFonts w:hint="eastAsia"/>
          <w:szCs w:val="21"/>
        </w:rPr>
        <w:t>定期定额投资业务是指投资人通过基金管理人指定的销售机构提出申请，约定每期申购日、扣款金额及扣款方式，由指定的销售机构于每期约定扣款日在投资人指定银行账户内自动完成扣款及受理基金申购申请的一种投资方式。</w:t>
      </w:r>
    </w:p>
    <w:p w:rsidR="007677E3" w:rsidRDefault="007677E3">
      <w:pPr>
        <w:pStyle w:val="XBRLTitle2"/>
        <w:spacing w:before="156" w:line="360" w:lineRule="auto"/>
        <w:rPr>
          <w:rFonts w:hAnsi="宋体" w:hint="eastAsia"/>
          <w:sz w:val="21"/>
          <w:szCs w:val="21"/>
        </w:rPr>
      </w:pPr>
      <w:r>
        <w:rPr>
          <w:rFonts w:hAnsi="宋体" w:hint="eastAsia"/>
          <w:sz w:val="21"/>
          <w:szCs w:val="21"/>
        </w:rPr>
        <w:t>办理时间</w:t>
      </w:r>
    </w:p>
    <w:p w:rsidR="007677E3" w:rsidRDefault="007677E3">
      <w:pPr>
        <w:spacing w:line="360" w:lineRule="auto"/>
        <w:ind w:firstLineChars="200" w:firstLine="420"/>
        <w:rPr>
          <w:rFonts w:hint="eastAsia"/>
          <w:szCs w:val="21"/>
        </w:rPr>
      </w:pPr>
      <w:r>
        <w:rPr>
          <w:rFonts w:hint="eastAsia"/>
          <w:szCs w:val="21"/>
        </w:rPr>
        <w:t>定期定额投资业务的申请受理时间与本基金日常申购业务受理时间相同。</w:t>
      </w:r>
    </w:p>
    <w:p w:rsidR="007677E3" w:rsidRDefault="007677E3">
      <w:pPr>
        <w:pStyle w:val="XBRLTitle2"/>
        <w:spacing w:before="156" w:line="360" w:lineRule="auto"/>
        <w:rPr>
          <w:rFonts w:hAnsi="宋体" w:hint="eastAsia"/>
          <w:sz w:val="21"/>
          <w:szCs w:val="21"/>
        </w:rPr>
      </w:pPr>
      <w:r>
        <w:rPr>
          <w:rFonts w:hAnsi="宋体" w:hint="eastAsia"/>
          <w:sz w:val="21"/>
          <w:szCs w:val="21"/>
        </w:rPr>
        <w:t>费率及起点金额</w:t>
      </w:r>
    </w:p>
    <w:p w:rsidR="007677E3" w:rsidRDefault="007677E3">
      <w:pPr>
        <w:spacing w:line="360" w:lineRule="auto"/>
        <w:ind w:firstLineChars="200" w:firstLine="420"/>
        <w:rPr>
          <w:rFonts w:hint="eastAsia"/>
          <w:szCs w:val="21"/>
        </w:rPr>
      </w:pPr>
      <w:r>
        <w:rPr>
          <w:rFonts w:hint="eastAsia"/>
          <w:szCs w:val="21"/>
        </w:rPr>
        <w:t>除另有公告外，定期定额投资费率和计费方式与日常申购业务相同，基金定期定额投资起点金额与申购一致，以销售机构相关公告为准。</w:t>
      </w:r>
    </w:p>
    <w:p w:rsidR="007677E3" w:rsidRDefault="007677E3">
      <w:pPr>
        <w:pStyle w:val="XBRLTitle2"/>
        <w:spacing w:before="156" w:line="360" w:lineRule="auto"/>
        <w:rPr>
          <w:rFonts w:hAnsi="宋体" w:hint="eastAsia"/>
          <w:sz w:val="21"/>
          <w:szCs w:val="21"/>
        </w:rPr>
      </w:pPr>
      <w:r>
        <w:rPr>
          <w:rFonts w:hAnsi="宋体" w:hint="eastAsia"/>
          <w:sz w:val="21"/>
          <w:szCs w:val="21"/>
        </w:rPr>
        <w:t>业务安排</w:t>
      </w:r>
    </w:p>
    <w:p w:rsidR="007677E3" w:rsidRDefault="007677E3">
      <w:pPr>
        <w:spacing w:line="360" w:lineRule="auto"/>
        <w:ind w:firstLineChars="200" w:firstLine="420"/>
        <w:rPr>
          <w:rFonts w:hint="eastAsia"/>
          <w:szCs w:val="21"/>
        </w:rPr>
      </w:pPr>
      <w:r>
        <w:rPr>
          <w:rFonts w:hint="eastAsia"/>
          <w:szCs w:val="21"/>
        </w:rPr>
        <w:t>销售机构将按照投资者申请时所约定的每期约定扣款日、扣款金额进行扣款。由于销售机构关于具体扣款方式和扣款日期的规定有所不同，投资者应参照各销售机构的具体规定。若遇非基金开放日时，扣款是否顺延以销售机构的具体规定为准。</w:t>
      </w:r>
    </w:p>
    <w:p w:rsidR="007677E3" w:rsidRDefault="007677E3">
      <w:pPr>
        <w:spacing w:line="360" w:lineRule="auto"/>
        <w:ind w:firstLineChars="200" w:firstLine="420"/>
        <w:rPr>
          <w:rFonts w:hint="eastAsia"/>
          <w:szCs w:val="21"/>
        </w:rPr>
      </w:pPr>
      <w:r>
        <w:rPr>
          <w:rFonts w:hint="eastAsia"/>
          <w:szCs w:val="21"/>
        </w:rPr>
        <w:t>投资者应与销售机构约定每期扣款金额，除另有公告外,该金额应不低于销售机构规定的最低申购金额。</w:t>
      </w:r>
    </w:p>
    <w:p w:rsidR="007677E3" w:rsidRDefault="007677E3">
      <w:pPr>
        <w:spacing w:line="360" w:lineRule="auto"/>
        <w:ind w:firstLineChars="200" w:firstLine="420"/>
        <w:rPr>
          <w:rFonts w:hint="eastAsia"/>
          <w:szCs w:val="21"/>
        </w:rPr>
      </w:pPr>
      <w:r>
        <w:rPr>
          <w:rFonts w:hint="eastAsia"/>
          <w:szCs w:val="21"/>
        </w:rPr>
        <w:t>销售机构办理本基金定期定额投资业务及参加费率优惠活动的情况，详见该销售机构的相关公告或说明。</w:t>
      </w:r>
    </w:p>
    <w:p w:rsidR="007677E3" w:rsidRDefault="007677E3">
      <w:pPr>
        <w:pStyle w:val="XBRLTitle2"/>
        <w:spacing w:before="156" w:line="360" w:lineRule="auto"/>
        <w:rPr>
          <w:rFonts w:hAnsi="宋体" w:hint="eastAsia"/>
          <w:sz w:val="21"/>
          <w:szCs w:val="21"/>
        </w:rPr>
      </w:pPr>
      <w:r>
        <w:rPr>
          <w:rFonts w:hAnsi="宋体" w:hint="eastAsia"/>
          <w:sz w:val="21"/>
          <w:szCs w:val="21"/>
        </w:rPr>
        <w:t>开通定期定额投资业务的非直销机构</w:t>
      </w:r>
    </w:p>
    <w:p w:rsidR="007677E3" w:rsidRDefault="007677E3">
      <w:pPr>
        <w:spacing w:line="360" w:lineRule="auto"/>
        <w:ind w:firstLineChars="200" w:firstLine="420"/>
        <w:rPr>
          <w:rFonts w:hint="eastAsia"/>
          <w:szCs w:val="21"/>
        </w:rPr>
      </w:pPr>
      <w:r>
        <w:rPr>
          <w:rFonts w:hint="eastAsia"/>
          <w:szCs w:val="21"/>
        </w:rPr>
        <w:t>招商银行股份有限公司、苏州银行股份有限公司、中信建投证券股份有限公司、中信证券股份有限公司、湘财证券股份有限公司、中信证券（山东）有限责任公司、东吴证券股份有限公司、中信证券华南股份有限公司、首创证券股份有限公司、上海天天基金销售有限公司、上海好买基金销售有限公司、蚂蚁（杭州）基金销售有限公司、珠海盈米基金销售有限公司、京东肯特瑞基金销售有限公司、中信期货有限公司。</w:t>
      </w:r>
    </w:p>
    <w:p w:rsidR="007677E3" w:rsidRDefault="007677E3">
      <w:pPr>
        <w:pStyle w:val="XBRLTitle1"/>
        <w:spacing w:before="156" w:line="360" w:lineRule="auto"/>
        <w:rPr>
          <w:rFonts w:hAnsi="宋体" w:hint="eastAsia"/>
          <w:sz w:val="21"/>
          <w:szCs w:val="21"/>
        </w:rPr>
      </w:pPr>
      <w:bookmarkStart w:id="129" w:name="_Toc34841042"/>
      <w:bookmarkStart w:id="130" w:name="_Toc3475852111"/>
      <w:r>
        <w:rPr>
          <w:rFonts w:hAnsi="宋体" w:hint="eastAsia"/>
          <w:sz w:val="21"/>
          <w:szCs w:val="21"/>
        </w:rPr>
        <w:t>基金销售机构</w:t>
      </w:r>
      <w:bookmarkEnd w:id="30"/>
      <w:bookmarkEnd w:id="33"/>
      <w:bookmarkEnd w:id="34"/>
      <w:bookmarkEnd w:id="35"/>
      <w:bookmarkEnd w:id="37"/>
      <w:bookmarkEnd w:id="38"/>
      <w:bookmarkEnd w:id="39"/>
      <w:bookmarkEnd w:id="40"/>
      <w:bookmarkEnd w:id="129"/>
      <w:bookmarkEnd w:id="130"/>
      <w:r>
        <w:rPr>
          <w:rFonts w:hAnsi="宋体" w:hint="eastAsia"/>
          <w:sz w:val="21"/>
          <w:szCs w:val="21"/>
        </w:rPr>
        <w:t xml:space="preserve"> </w:t>
      </w:r>
    </w:p>
    <w:p w:rsidR="007677E3" w:rsidRDefault="007677E3">
      <w:pPr>
        <w:pStyle w:val="XBRLTitle2"/>
        <w:spacing w:before="156" w:line="360" w:lineRule="auto"/>
        <w:rPr>
          <w:rFonts w:hAnsi="宋体" w:hint="eastAsia"/>
          <w:sz w:val="21"/>
          <w:szCs w:val="21"/>
        </w:rPr>
      </w:pPr>
      <w:bookmarkStart w:id="131" w:name="_Toc51346565811"/>
      <w:r>
        <w:rPr>
          <w:rFonts w:hAnsi="宋体" w:hint="eastAsia"/>
          <w:sz w:val="21"/>
          <w:szCs w:val="21"/>
        </w:rPr>
        <w:t>场外销售机构</w:t>
      </w:r>
      <w:bookmarkEnd w:id="52"/>
      <w:bookmarkEnd w:id="53"/>
      <w:bookmarkEnd w:id="54"/>
      <w:bookmarkEnd w:id="55"/>
      <w:bookmarkEnd w:id="131"/>
      <w:r>
        <w:rPr>
          <w:rFonts w:hAnsi="宋体" w:hint="eastAsia"/>
          <w:sz w:val="21"/>
          <w:szCs w:val="21"/>
        </w:rPr>
        <w:t xml:space="preserve"> </w:t>
      </w:r>
    </w:p>
    <w:p w:rsidR="007677E3" w:rsidRDefault="007677E3">
      <w:pPr>
        <w:pStyle w:val="XBRLTitle3"/>
        <w:spacing w:before="156"/>
        <w:rPr>
          <w:rFonts w:hAnsi="宋体" w:hint="eastAsia"/>
          <w:sz w:val="21"/>
          <w:szCs w:val="21"/>
        </w:rPr>
      </w:pPr>
      <w:bookmarkStart w:id="132" w:name="_Toc51346565911"/>
      <w:r>
        <w:rPr>
          <w:rFonts w:hAnsi="宋体" w:hint="eastAsia"/>
          <w:sz w:val="21"/>
          <w:szCs w:val="21"/>
        </w:rPr>
        <w:t>直销机构</w:t>
      </w:r>
      <w:bookmarkEnd w:id="57"/>
      <w:bookmarkEnd w:id="58"/>
      <w:bookmarkEnd w:id="59"/>
      <w:bookmarkEnd w:id="132"/>
      <w:r>
        <w:rPr>
          <w:rFonts w:hAnsi="宋体" w:hint="eastAsia"/>
          <w:sz w:val="21"/>
          <w:szCs w:val="21"/>
        </w:rPr>
        <w:t xml:space="preserve"> </w:t>
      </w:r>
    </w:p>
    <w:p w:rsidR="007677E3" w:rsidRDefault="007677E3">
      <w:pPr>
        <w:spacing w:line="360" w:lineRule="auto"/>
        <w:ind w:firstLineChars="200" w:firstLine="420"/>
      </w:pPr>
      <w:r>
        <w:rPr>
          <w:rFonts w:hint="eastAsia"/>
          <w:lang/>
        </w:rPr>
        <w:t>中邮创业基金管理股份有限公司直销中心、中邮基金网上直销平台——i.postfund.com.cn、中邮基金官方微信平台——中邮基金服务号。</w:t>
      </w:r>
    </w:p>
    <w:p w:rsidR="007677E3" w:rsidRDefault="007677E3">
      <w:pPr>
        <w:pStyle w:val="XBRLTitle3"/>
        <w:spacing w:before="156"/>
        <w:rPr>
          <w:rFonts w:hAnsi="宋体" w:hint="eastAsia"/>
          <w:sz w:val="21"/>
          <w:szCs w:val="21"/>
        </w:rPr>
      </w:pPr>
      <w:bookmarkStart w:id="133" w:name="_Toc51346566011"/>
      <w:r>
        <w:rPr>
          <w:rFonts w:hAnsi="宋体" w:hint="eastAsia"/>
          <w:sz w:val="21"/>
          <w:szCs w:val="21"/>
        </w:rPr>
        <w:t>场外非直销机构</w:t>
      </w:r>
      <w:bookmarkEnd w:id="61"/>
      <w:bookmarkEnd w:id="62"/>
      <w:bookmarkEnd w:id="63"/>
      <w:bookmarkEnd w:id="133"/>
    </w:p>
    <w:p w:rsidR="007677E3" w:rsidRDefault="007677E3">
      <w:pPr>
        <w:pStyle w:val="4"/>
        <w:ind w:firstLineChars="200" w:firstLine="420"/>
        <w:rPr>
          <w:rFonts w:hint="eastAsia"/>
        </w:rPr>
      </w:pPr>
      <w:r>
        <w:rPr>
          <w:rFonts w:hint="eastAsia"/>
          <w:b w:val="0"/>
          <w:bCs w:val="0"/>
          <w:sz w:val="21"/>
          <w:szCs w:val="21"/>
        </w:rPr>
        <w:t>招商银行股份有限公司、苏州银行股份有限公司、中信建投证券股份有限公司、中信证券股份有限公司、湘财证券股份有限公司、中信证券（山东）有限责任公司、东吴证券股份有限公司、中信证券华南股份有限公司、首创证券股份有限公司、腾安基金销售（深圳）有限公司、上海天天基金销售有限公司、上海好买基金销售有限公司、蚂蚁（杭州）基金销售有限公司、珠海盈米基金销售有限公司、京东肯特瑞基金销售有限公司、中信期货有限公司。</w:t>
      </w:r>
    </w:p>
    <w:p w:rsidR="007677E3" w:rsidRDefault="007677E3">
      <w:pPr>
        <w:pStyle w:val="XBRLTitle2"/>
        <w:spacing w:before="156"/>
        <w:rPr>
          <w:rFonts w:hAnsi="宋体" w:hint="eastAsia"/>
          <w:sz w:val="21"/>
          <w:szCs w:val="21"/>
        </w:rPr>
      </w:pPr>
      <w:bookmarkStart w:id="134" w:name="_Toc34841044"/>
      <w:bookmarkStart w:id="135" w:name="_Toc3475852411"/>
      <w:r>
        <w:rPr>
          <w:rFonts w:hAnsi="宋体" w:hint="eastAsia"/>
          <w:sz w:val="21"/>
          <w:szCs w:val="21"/>
        </w:rPr>
        <w:t>场内销售机构</w:t>
      </w:r>
      <w:bookmarkEnd w:id="72"/>
      <w:bookmarkEnd w:id="73"/>
      <w:bookmarkEnd w:id="74"/>
      <w:bookmarkEnd w:id="75"/>
      <w:bookmarkEnd w:id="76"/>
      <w:bookmarkEnd w:id="77"/>
      <w:bookmarkEnd w:id="78"/>
      <w:bookmarkEnd w:id="79"/>
      <w:bookmarkEnd w:id="80"/>
      <w:bookmarkEnd w:id="81"/>
      <w:bookmarkEnd w:id="82"/>
      <w:bookmarkEnd w:id="83"/>
      <w:bookmarkEnd w:id="84"/>
      <w:bookmarkEnd w:id="134"/>
      <w:bookmarkEnd w:id="135"/>
    </w:p>
    <w:p w:rsidR="007677E3" w:rsidRDefault="007677E3">
      <w:pPr>
        <w:spacing w:line="360" w:lineRule="auto"/>
        <w:ind w:firstLineChars="200" w:firstLine="420"/>
        <w:rPr>
          <w:rFonts w:hint="eastAsia"/>
          <w:szCs w:val="21"/>
        </w:rPr>
      </w:pPr>
      <w:r>
        <w:rPr>
          <w:rFonts w:hint="eastAsia"/>
          <w:szCs w:val="21"/>
          <w:lang/>
        </w:rPr>
        <w:t>无。</w:t>
      </w:r>
    </w:p>
    <w:p w:rsidR="007677E3" w:rsidRDefault="007677E3">
      <w:pPr>
        <w:pStyle w:val="XBRLTitle1"/>
        <w:spacing w:before="156" w:line="360" w:lineRule="auto"/>
        <w:rPr>
          <w:rFonts w:hAnsi="宋体" w:hint="eastAsia"/>
          <w:sz w:val="21"/>
          <w:szCs w:val="21"/>
        </w:rPr>
      </w:pPr>
      <w:bookmarkStart w:id="136" w:name="_Toc34841045"/>
      <w:bookmarkStart w:id="137" w:name="_Toc3475853211"/>
      <w:r>
        <w:rPr>
          <w:rFonts w:hAnsi="宋体" w:hint="eastAsia"/>
          <w:sz w:val="21"/>
          <w:szCs w:val="21"/>
        </w:rPr>
        <w:t>基金份额净值公告/基金收益公告的披露安排</w:t>
      </w:r>
      <w:bookmarkEnd w:id="136"/>
      <w:bookmarkEnd w:id="137"/>
      <w:r>
        <w:rPr>
          <w:rFonts w:hAnsi="宋体" w:hint="eastAsia"/>
          <w:sz w:val="21"/>
          <w:szCs w:val="21"/>
        </w:rPr>
        <w:t xml:space="preserve"> </w:t>
      </w:r>
    </w:p>
    <w:p w:rsidR="007677E3" w:rsidRDefault="007677E3">
      <w:pPr>
        <w:spacing w:line="360" w:lineRule="auto"/>
        <w:ind w:firstLineChars="200" w:firstLine="420"/>
        <w:rPr>
          <w:rFonts w:hint="eastAsia"/>
          <w:szCs w:val="21"/>
        </w:rPr>
      </w:pPr>
      <w:r>
        <w:rPr>
          <w:rFonts w:hint="eastAsia"/>
          <w:szCs w:val="21"/>
          <w:lang/>
        </w:rPr>
        <w:t>基金管理人将通过规定网站、基金销售机构网站或者营业网点披露本基金开放日的基金份额净值和基金份额累计净值，敬请投资者留意。</w:t>
      </w:r>
    </w:p>
    <w:p w:rsidR="007677E3" w:rsidRDefault="007677E3">
      <w:pPr>
        <w:pStyle w:val="XBRLTitle1"/>
        <w:spacing w:before="156" w:line="360" w:lineRule="auto"/>
        <w:rPr>
          <w:rFonts w:hAnsi="宋体" w:hint="eastAsia"/>
          <w:sz w:val="21"/>
          <w:szCs w:val="21"/>
        </w:rPr>
      </w:pPr>
      <w:bookmarkStart w:id="138" w:name="_Toc34841046"/>
      <w:bookmarkStart w:id="139" w:name="_Toc3475853212"/>
      <w:r>
        <w:rPr>
          <w:rFonts w:hAnsi="宋体" w:hint="eastAsia"/>
          <w:sz w:val="21"/>
          <w:szCs w:val="21"/>
        </w:rPr>
        <w:t>其他需要提示的事项</w:t>
      </w:r>
      <w:bookmarkEnd w:id="16"/>
      <w:bookmarkEnd w:id="17"/>
      <w:bookmarkEnd w:id="18"/>
      <w:bookmarkEnd w:id="19"/>
      <w:bookmarkEnd w:id="20"/>
      <w:bookmarkEnd w:id="21"/>
      <w:bookmarkEnd w:id="22"/>
      <w:bookmarkEnd w:id="23"/>
      <w:bookmarkEnd w:id="29"/>
      <w:bookmarkEnd w:id="36"/>
      <w:bookmarkEnd w:id="138"/>
      <w:bookmarkEnd w:id="139"/>
      <w:r>
        <w:rPr>
          <w:rFonts w:hAnsi="宋体" w:hint="eastAsia"/>
          <w:sz w:val="21"/>
          <w:szCs w:val="21"/>
        </w:rPr>
        <w:t xml:space="preserve"> </w:t>
      </w:r>
    </w:p>
    <w:bookmarkEnd w:id="11"/>
    <w:p w:rsidR="007677E3" w:rsidRDefault="007677E3">
      <w:pPr>
        <w:spacing w:line="360" w:lineRule="auto"/>
        <w:ind w:firstLineChars="200" w:firstLine="420"/>
        <w:rPr>
          <w:rFonts w:hint="eastAsia"/>
          <w:szCs w:val="21"/>
        </w:rPr>
      </w:pPr>
      <w:r>
        <w:rPr>
          <w:rFonts w:hint="eastAsia"/>
          <w:szCs w:val="21"/>
          <w:lang/>
        </w:rPr>
        <w:t>1、本公告仅对本基金开放日常申购、赎回及定期定额投资业务的有关事项予以说明。投资者欲了解本基金的详细情况，请详细阅读《</w:t>
      </w:r>
      <w:r>
        <w:rPr>
          <w:rFonts w:hint="eastAsia"/>
          <w:szCs w:val="21"/>
        </w:rPr>
        <w:t>中邮北证50成份指数增强型发起式证券投资基金</w:t>
      </w:r>
      <w:r>
        <w:rPr>
          <w:rFonts w:hint="eastAsia"/>
          <w:szCs w:val="21"/>
          <w:lang/>
        </w:rPr>
        <w:t>基金合同》和《</w:t>
      </w:r>
      <w:r>
        <w:rPr>
          <w:rFonts w:hint="eastAsia"/>
          <w:szCs w:val="21"/>
        </w:rPr>
        <w:t>中邮北证50成份指数增强型发起式证券投资基金</w:t>
      </w:r>
      <w:r>
        <w:rPr>
          <w:rFonts w:hint="eastAsia"/>
          <w:szCs w:val="21"/>
          <w:lang/>
        </w:rPr>
        <w:t>招募说明书》等相关资料。</w:t>
      </w:r>
      <w:r>
        <w:rPr>
          <w:rFonts w:hint="eastAsia"/>
          <w:szCs w:val="21"/>
          <w:lang/>
        </w:rPr>
        <w:br/>
        <w:t xml:space="preserve">　　2、有关本基金开放日常申购、赎回及定期定额投资业务的具体规定若有变化，本公司将另行公告。</w:t>
      </w:r>
      <w:r>
        <w:rPr>
          <w:rFonts w:hint="eastAsia"/>
          <w:szCs w:val="21"/>
          <w:lang/>
        </w:rPr>
        <w:br/>
        <w:t xml:space="preserve">　　3、咨询方式：中邮创业基金管理股份有限公司客户服务电话：010-58511618、400-880-1618（固定电话、移动电话均可拨打）,公司网址：www.postfund.com.cn.</w:t>
      </w:r>
      <w:r>
        <w:rPr>
          <w:rFonts w:hint="eastAsia"/>
          <w:szCs w:val="21"/>
          <w:lang/>
        </w:rPr>
        <w:br/>
        <w:t xml:space="preserve">　　4、风险提示：本公司承诺以诚实信用、勤勉尽责的原则管理和运用基金财产，但不保证本基金一定盈利，也不保证最低收益。基金的过往业绩不代表未来业绩。敬请广大投资者注意投资风险，理性投资。</w:t>
      </w:r>
      <w:r>
        <w:rPr>
          <w:rFonts w:hint="eastAsia"/>
          <w:szCs w:val="21"/>
          <w:lang/>
        </w:rPr>
        <w:br/>
        <w:t xml:space="preserve">　　特此公告。</w:t>
      </w:r>
      <w:bookmarkEnd w:id="12"/>
      <w:bookmarkEnd w:id="13"/>
      <w:bookmarkEnd w:id="25"/>
      <w:bookmarkEnd w:id="26"/>
      <w:bookmarkEnd w:id="27"/>
      <w:bookmarkEnd w:id="28"/>
      <w:r>
        <w:rPr>
          <w:rFonts w:hint="eastAsia"/>
          <w:szCs w:val="21"/>
          <w:lang/>
        </w:rPr>
        <w:t xml:space="preserve"> </w:t>
      </w:r>
    </w:p>
    <w:p w:rsidR="007677E3" w:rsidRDefault="007677E3">
      <w:pPr>
        <w:spacing w:line="360" w:lineRule="auto"/>
        <w:ind w:firstLineChars="600" w:firstLine="1265"/>
        <w:jc w:val="left"/>
        <w:rPr>
          <w:rFonts w:hint="eastAsia"/>
          <w:szCs w:val="21"/>
        </w:rPr>
      </w:pPr>
      <w:r>
        <w:rPr>
          <w:rFonts w:hint="eastAsia"/>
          <w:b/>
          <w:bCs/>
          <w:szCs w:val="21"/>
        </w:rPr>
        <w:t xml:space="preserve">　 </w:t>
      </w:r>
    </w:p>
    <w:p w:rsidR="007677E3" w:rsidRDefault="007677E3">
      <w:pPr>
        <w:spacing w:line="360" w:lineRule="auto"/>
        <w:ind w:firstLineChars="600" w:firstLine="1265"/>
        <w:jc w:val="left"/>
        <w:rPr>
          <w:rFonts w:hint="eastAsia"/>
          <w:szCs w:val="21"/>
        </w:rPr>
      </w:pPr>
      <w:r>
        <w:rPr>
          <w:rFonts w:hint="eastAsia"/>
          <w:b/>
          <w:bCs/>
          <w:szCs w:val="21"/>
        </w:rPr>
        <w:t xml:space="preserve">　 </w:t>
      </w:r>
    </w:p>
    <w:p w:rsidR="007677E3" w:rsidRDefault="007677E3">
      <w:pPr>
        <w:spacing w:line="360" w:lineRule="auto"/>
        <w:ind w:firstLineChars="600" w:firstLine="1260"/>
        <w:jc w:val="right"/>
        <w:rPr>
          <w:rFonts w:hint="eastAsia"/>
          <w:szCs w:val="21"/>
        </w:rPr>
      </w:pPr>
      <w:r>
        <w:rPr>
          <w:rFonts w:hint="eastAsia"/>
          <w:bCs/>
          <w:szCs w:val="21"/>
        </w:rPr>
        <w:t>中邮创业基金管理股份有限公司</w:t>
      </w:r>
    </w:p>
    <w:p w:rsidR="007677E3" w:rsidRDefault="007677E3">
      <w:pPr>
        <w:spacing w:line="360" w:lineRule="auto"/>
        <w:ind w:right="633"/>
        <w:jc w:val="right"/>
        <w:rPr>
          <w:szCs w:val="21"/>
        </w:rPr>
      </w:pPr>
      <w:r>
        <w:rPr>
          <w:rFonts w:hint="eastAsia"/>
          <w:bCs/>
          <w:szCs w:val="21"/>
        </w:rPr>
        <w:t>2026年1月</w:t>
      </w:r>
      <w:r w:rsidR="002A7B63">
        <w:rPr>
          <w:bCs/>
          <w:szCs w:val="21"/>
        </w:rPr>
        <w:t>19</w:t>
      </w:r>
      <w:r>
        <w:rPr>
          <w:rFonts w:hint="eastAsia"/>
          <w:bCs/>
          <w:szCs w:val="21"/>
        </w:rPr>
        <w:t>日</w:t>
      </w:r>
      <w:bookmarkEnd w:id="24"/>
      <w:r>
        <w:rPr>
          <w:rFonts w:hint="eastAsia"/>
          <w:szCs w:val="21"/>
        </w:rPr>
        <w:t xml:space="preserve">　 </w:t>
      </w:r>
    </w:p>
    <w:p w:rsidR="00BA4820" w:rsidRDefault="00BA4820">
      <w:pPr>
        <w:spacing w:line="360" w:lineRule="auto"/>
        <w:ind w:right="633"/>
        <w:jc w:val="right"/>
        <w:rPr>
          <w:rFonts w:hint="eastAsia"/>
          <w:szCs w:val="21"/>
        </w:rPr>
      </w:pPr>
    </w:p>
    <w:p w:rsidR="007677E3" w:rsidRDefault="007677E3">
      <w:pPr>
        <w:spacing w:line="360" w:lineRule="auto"/>
        <w:jc w:val="center"/>
        <w:rPr>
          <w:rFonts w:hint="eastAsia"/>
          <w:sz w:val="24"/>
          <w:szCs w:val="30"/>
        </w:rPr>
      </w:pPr>
      <w:r>
        <w:rPr>
          <w:rFonts w:hint="eastAsia"/>
          <w:sz w:val="24"/>
          <w:szCs w:val="30"/>
        </w:rPr>
        <w:t xml:space="preserve">　 </w:t>
      </w:r>
    </w:p>
    <w:p w:rsidR="007677E3" w:rsidRDefault="007677E3">
      <w:pPr>
        <w:spacing w:line="360" w:lineRule="auto"/>
        <w:jc w:val="center"/>
        <w:rPr>
          <w:rFonts w:hint="eastAsia"/>
          <w:sz w:val="24"/>
          <w:szCs w:val="30"/>
        </w:rPr>
      </w:pPr>
      <w:r>
        <w:rPr>
          <w:rFonts w:hint="eastAsia"/>
          <w:sz w:val="24"/>
          <w:szCs w:val="30"/>
        </w:rPr>
        <w:t xml:space="preserve">　 </w:t>
      </w:r>
    </w:p>
    <w:p w:rsidR="007677E3" w:rsidRDefault="007677E3">
      <w:pPr>
        <w:spacing w:line="360" w:lineRule="auto"/>
        <w:jc w:val="center"/>
        <w:rPr>
          <w:rFonts w:hint="eastAsia"/>
          <w:sz w:val="24"/>
          <w:szCs w:val="30"/>
        </w:rPr>
      </w:pPr>
      <w:r>
        <w:rPr>
          <w:rFonts w:hint="eastAsia"/>
          <w:sz w:val="24"/>
          <w:szCs w:val="30"/>
        </w:rPr>
        <w:t xml:space="preserve">　 </w:t>
      </w:r>
    </w:p>
    <w:p w:rsidR="007677E3" w:rsidRDefault="007677E3">
      <w:pPr>
        <w:spacing w:line="360" w:lineRule="auto"/>
        <w:jc w:val="center"/>
        <w:rPr>
          <w:rFonts w:hint="eastAsia"/>
          <w:sz w:val="24"/>
          <w:szCs w:val="30"/>
        </w:rPr>
      </w:pPr>
      <w:r>
        <w:rPr>
          <w:rFonts w:hint="eastAsia"/>
          <w:sz w:val="24"/>
          <w:szCs w:val="30"/>
        </w:rPr>
        <w:t xml:space="preserve">　 </w:t>
      </w:r>
    </w:p>
    <w:p w:rsidR="007677E3" w:rsidRDefault="007677E3">
      <w:pPr>
        <w:spacing w:line="360" w:lineRule="auto"/>
        <w:jc w:val="center"/>
        <w:rPr>
          <w:rFonts w:hint="eastAsia"/>
          <w:sz w:val="24"/>
          <w:szCs w:val="30"/>
        </w:rPr>
      </w:pPr>
      <w:r>
        <w:rPr>
          <w:rFonts w:hint="eastAsia"/>
          <w:sz w:val="24"/>
          <w:szCs w:val="30"/>
        </w:rPr>
        <w:t xml:space="preserve">　 </w:t>
      </w:r>
    </w:p>
    <w:p w:rsidR="007677E3" w:rsidRDefault="007677E3">
      <w:pPr>
        <w:spacing w:line="360" w:lineRule="auto"/>
        <w:jc w:val="center"/>
        <w:rPr>
          <w:rFonts w:hint="eastAsia"/>
          <w:sz w:val="24"/>
          <w:szCs w:val="30"/>
        </w:rPr>
      </w:pPr>
      <w:r>
        <w:rPr>
          <w:rFonts w:hint="eastAsia"/>
          <w:sz w:val="24"/>
          <w:szCs w:val="30"/>
        </w:rPr>
        <w:t xml:space="preserve">　 </w:t>
      </w:r>
    </w:p>
    <w:p w:rsidR="007677E3" w:rsidRPr="00236C4C" w:rsidRDefault="007677E3" w:rsidP="00236C4C">
      <w:pPr>
        <w:pStyle w:val="XBRLTitle1"/>
        <w:numPr>
          <w:ilvl w:val="0"/>
          <w:numId w:val="0"/>
        </w:numPr>
        <w:spacing w:before="156" w:line="360" w:lineRule="auto"/>
        <w:rPr>
          <w:rFonts w:hint="eastAsia"/>
          <w:b w:val="0"/>
          <w:bCs w:val="0"/>
          <w:szCs w:val="24"/>
        </w:rPr>
      </w:pPr>
      <w:r w:rsidRPr="00236C4C">
        <w:rPr>
          <w:rFonts w:hint="eastAsia"/>
          <w:szCs w:val="24"/>
        </w:rPr>
        <w:t xml:space="preserve"> </w:t>
      </w:r>
    </w:p>
    <w:sectPr w:rsidR="007677E3" w:rsidRPr="00236C4C">
      <w:headerReference w:type="default" r:id="rId7"/>
      <w:footerReference w:type="default" r:id="rId8"/>
      <w:headerReference w:type="first" r:id="rId9"/>
      <w:footerReference w:type="first" r:id="rId10"/>
      <w:pgSz w:w="11907" w:h="16839"/>
      <w:pgMar w:top="1440" w:right="1531" w:bottom="1134"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F5D" w:rsidRDefault="00C44F5D">
      <w:r>
        <w:separator/>
      </w:r>
    </w:p>
  </w:endnote>
  <w:endnote w:type="continuationSeparator" w:id="0">
    <w:p w:rsidR="00C44F5D" w:rsidRDefault="00C44F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E3" w:rsidRDefault="007677E3">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D17BCD">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D17BCD">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E3" w:rsidRDefault="007677E3">
    <w:pPr>
      <w:pStyle w:val="a6"/>
      <w:rPr>
        <w:rFonts w:hint="eastAsia"/>
      </w:rPr>
    </w:pPr>
  </w:p>
  <w:p w:rsidR="007677E3" w:rsidRDefault="007677E3">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D17BCD">
      <w:rPr>
        <w:noProof/>
        <w:sz w:val="18"/>
        <w:szCs w:val="18"/>
      </w:rPr>
      <w:t>1</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D17BCD">
      <w:rPr>
        <w:noProof/>
        <w:sz w:val="18"/>
        <w:szCs w:val="18"/>
      </w:rPr>
      <w:t>1</w:t>
    </w:r>
    <w:r>
      <w:rPr>
        <w:rFonts w:hint="eastAsia"/>
        <w:sz w:val="18"/>
        <w:szCs w:val="18"/>
      </w:rPr>
      <w:fldChar w:fldCharType="end"/>
    </w:r>
    <w:r>
      <w:rPr>
        <w:rFonts w:hint="eastAsia"/>
        <w:sz w:val="18"/>
        <w:szCs w:val="18"/>
      </w:rPr>
      <w:t>页</w:t>
    </w:r>
    <w:r>
      <w:rPr>
        <w:rFonts w:hint="eastAsia"/>
      </w:rPr>
      <w:t xml:space="preserve"> </w:t>
    </w:r>
  </w:p>
  <w:p w:rsidR="007677E3" w:rsidRDefault="007677E3">
    <w:pPr>
      <w:pStyle w:val="a6"/>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F5D" w:rsidRDefault="00C44F5D">
      <w:r>
        <w:separator/>
      </w:r>
    </w:p>
  </w:footnote>
  <w:footnote w:type="continuationSeparator" w:id="0">
    <w:p w:rsidR="00C44F5D" w:rsidRDefault="00C44F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E3" w:rsidRDefault="007677E3">
    <w:pPr>
      <w:pStyle w:val="a7"/>
      <w:jc w:val="right"/>
    </w:pPr>
    <w:r>
      <w:rPr>
        <w:rFonts w:hint="eastAsia"/>
      </w:rPr>
      <w:t>中邮北证50成份指数增强型发起式证券投资基金开放日常申购、赎回、定期定额投资业务公告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E3" w:rsidRDefault="007677E3">
    <w:pPr>
      <w:pStyle w:val="a7"/>
      <w:jc w:val="right"/>
      <w:rPr>
        <w:rFonts w:hint="eastAsia"/>
      </w:rPr>
    </w:pPr>
    <w:r>
      <w:rPr>
        <w:rFonts w:hint="eastAsia"/>
      </w:rPr>
      <w:t>中邮北证50成份指数增强型发起式证券投资基金开放日常申购、赎回、定期定额投资业务公告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547D73EE"/>
    <w:lvl w:ilvl="0">
      <w:start w:val="1"/>
      <w:numFmt w:val="decimal"/>
      <w:suff w:val="space"/>
      <w:lvlText w:val="%1"/>
      <w:lvlJc w:val="left"/>
      <w:pPr>
        <w:ind w:left="425" w:hanging="425"/>
      </w:pPr>
      <w:rPr>
        <w:sz w:val="24"/>
        <w:szCs w:val="24"/>
      </w:rPr>
    </w:lvl>
    <w:lvl w:ilvl="1">
      <w:start w:val="1"/>
      <w:numFmt w:val="decimal"/>
      <w:suff w:val="space"/>
      <w:lvlText w:val="%1.%2"/>
      <w:lvlJc w:val="left"/>
      <w:pPr>
        <w:ind w:left="454" w:hanging="454"/>
      </w:pPr>
    </w:lvl>
    <w:lvl w:ilvl="2">
      <w:start w:val="1"/>
      <w:numFmt w:val="decimal"/>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1082D"/>
    <w:rsid w:val="00066ACB"/>
    <w:rsid w:val="00236C4C"/>
    <w:rsid w:val="002A7B63"/>
    <w:rsid w:val="003C3BB0"/>
    <w:rsid w:val="005608B0"/>
    <w:rsid w:val="005C2617"/>
    <w:rsid w:val="00676D98"/>
    <w:rsid w:val="007677E3"/>
    <w:rsid w:val="00A44AC2"/>
    <w:rsid w:val="00B1082D"/>
    <w:rsid w:val="00BA4820"/>
    <w:rsid w:val="00C44F5D"/>
    <w:rsid w:val="00CF2827"/>
    <w:rsid w:val="00D17BCD"/>
    <w:rsid w:val="0A9B6453"/>
    <w:rsid w:val="0AB47515"/>
    <w:rsid w:val="13250FB0"/>
    <w:rsid w:val="17E86A50"/>
    <w:rsid w:val="20B120D5"/>
    <w:rsid w:val="27007912"/>
    <w:rsid w:val="34784F8C"/>
    <w:rsid w:val="3D7D3613"/>
    <w:rsid w:val="3EB85378"/>
    <w:rsid w:val="4A5C2802"/>
    <w:rsid w:val="53937294"/>
    <w:rsid w:val="624F4CCE"/>
    <w:rsid w:val="65071890"/>
    <w:rsid w:val="7E780F8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uiPriority="1"/>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rPr>
  </w:style>
  <w:style w:type="paragraph" w:styleId="5">
    <w:name w:val="heading 5"/>
    <w:basedOn w:val="a"/>
    <w:next w:val="a"/>
    <w:link w:val="51"/>
    <w:uiPriority w:val="9"/>
    <w:qFormat/>
    <w:pPr>
      <w:keepNext/>
      <w:keepLines/>
      <w:spacing w:before="240" w:after="290" w:line="372" w:lineRule="auto"/>
      <w:outlineLvl w:val="4"/>
    </w:pPr>
    <w:rPr>
      <w:b/>
      <w:bCs/>
      <w:sz w:val="24"/>
      <w:szCs w:val="24"/>
    </w:rPr>
  </w:style>
  <w:style w:type="paragraph" w:styleId="6">
    <w:name w:val="heading 6"/>
    <w:basedOn w:val="a"/>
    <w:next w:val="a"/>
    <w:link w:val="61"/>
    <w:uiPriority w:val="9"/>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paragraph" w:styleId="a3">
    <w:name w:val="Document Map"/>
    <w:basedOn w:val="a"/>
    <w:link w:val="10"/>
    <w:pPr>
      <w:shd w:val="clear" w:color="auto" w:fill="000080"/>
    </w:pPr>
  </w:style>
  <w:style w:type="character" w:customStyle="1" w:styleId="10">
    <w:name w:val="文档结构图 字符1"/>
    <w:link w:val="a3"/>
    <w:locked/>
    <w:rPr>
      <w:rFonts w:ascii="宋体" w:eastAsia="宋体" w:hAnsi="宋体" w:hint="eastAsia"/>
      <w:kern w:val="2"/>
      <w:sz w:val="18"/>
      <w:szCs w:val="18"/>
    </w:rPr>
  </w:style>
  <w:style w:type="paragraph" w:styleId="30">
    <w:name w:val="toc 3"/>
    <w:basedOn w:val="a"/>
    <w:next w:val="a"/>
    <w:uiPriority w:val="39"/>
    <w:unhideWhenUsed/>
    <w:pPr>
      <w:ind w:leftChars="200" w:left="420"/>
    </w:pPr>
  </w:style>
  <w:style w:type="paragraph" w:styleId="a4">
    <w:name w:val="Date"/>
    <w:basedOn w:val="a"/>
    <w:next w:val="a"/>
    <w:link w:val="12"/>
    <w:rPr>
      <w:sz w:val="32"/>
    </w:rPr>
  </w:style>
  <w:style w:type="character" w:customStyle="1" w:styleId="12">
    <w:name w:val="日期 字符1"/>
    <w:link w:val="a4"/>
    <w:locked/>
    <w:rPr>
      <w:rFonts w:ascii="宋体" w:eastAsia="宋体" w:hAnsi="宋体" w:hint="eastAsia"/>
      <w:kern w:val="2"/>
      <w:sz w:val="32"/>
    </w:rPr>
  </w:style>
  <w:style w:type="paragraph" w:styleId="a5">
    <w:name w:val="Balloon Text"/>
    <w:basedOn w:val="a"/>
    <w:link w:val="13"/>
    <w:uiPriority w:val="99"/>
    <w:unhideWhenUsed/>
    <w:rPr>
      <w:sz w:val="18"/>
      <w:szCs w:val="18"/>
    </w:rPr>
  </w:style>
  <w:style w:type="character" w:customStyle="1" w:styleId="13">
    <w:name w:val="批注框文本 字符1"/>
    <w:link w:val="a5"/>
    <w:uiPriority w:val="99"/>
    <w:semiHidden/>
    <w:locked/>
    <w:rPr>
      <w:kern w:val="2"/>
      <w:sz w:val="18"/>
      <w:szCs w:val="18"/>
    </w:rPr>
  </w:style>
  <w:style w:type="paragraph" w:styleId="a6">
    <w:name w:val="footer"/>
    <w:basedOn w:val="a"/>
    <w:link w:val="14"/>
    <w:uiPriority w:val="99"/>
    <w:pPr>
      <w:tabs>
        <w:tab w:val="center" w:pos="4153"/>
        <w:tab w:val="right" w:pos="8306"/>
      </w:tabs>
      <w:snapToGrid w:val="0"/>
      <w:jc w:val="left"/>
    </w:pPr>
    <w:rPr>
      <w:sz w:val="18"/>
      <w:szCs w:val="18"/>
    </w:rPr>
  </w:style>
  <w:style w:type="character" w:customStyle="1" w:styleId="14">
    <w:name w:val="页脚 字符1"/>
    <w:link w:val="a6"/>
    <w:uiPriority w:val="99"/>
    <w:locked/>
    <w:rPr>
      <w:kern w:val="2"/>
      <w:sz w:val="18"/>
      <w:szCs w:val="18"/>
    </w:rPr>
  </w:style>
  <w:style w:type="paragraph" w:styleId="a7">
    <w:name w:val="header"/>
    <w:basedOn w:val="a"/>
    <w:link w:val="20"/>
    <w:uiPriority w:val="99"/>
    <w:pPr>
      <w:pBdr>
        <w:bottom w:val="single" w:sz="6" w:space="1" w:color="auto"/>
      </w:pBdr>
      <w:tabs>
        <w:tab w:val="center" w:pos="4153"/>
        <w:tab w:val="right" w:pos="8306"/>
      </w:tabs>
      <w:snapToGrid w:val="0"/>
      <w:jc w:val="center"/>
    </w:pPr>
    <w:rPr>
      <w:sz w:val="18"/>
      <w:szCs w:val="18"/>
    </w:rPr>
  </w:style>
  <w:style w:type="character" w:customStyle="1" w:styleId="20">
    <w:name w:val="页眉 字符2"/>
    <w:link w:val="a7"/>
    <w:locked/>
    <w:rPr>
      <w:kern w:val="2"/>
      <w:sz w:val="18"/>
      <w:szCs w:val="18"/>
    </w:rPr>
  </w:style>
  <w:style w:type="paragraph" w:styleId="15">
    <w:name w:val="toc 1"/>
    <w:basedOn w:val="a"/>
    <w:next w:val="a"/>
    <w:uiPriority w:val="39"/>
    <w:unhideWhenUsed/>
    <w:pPr>
      <w:tabs>
        <w:tab w:val="right" w:leader="dot" w:pos="8835"/>
      </w:tabs>
    </w:pPr>
    <w:rPr>
      <w:lang w:val="en-US" w:eastAsia="zh-CN"/>
    </w:rPr>
  </w:style>
  <w:style w:type="paragraph" w:styleId="a8">
    <w:name w:val="Subtitle"/>
    <w:basedOn w:val="2"/>
    <w:next w:val="3"/>
    <w:link w:val="16"/>
    <w:qFormat/>
    <w:pPr>
      <w:spacing w:before="240" w:after="60" w:line="312" w:lineRule="auto"/>
      <w:jc w:val="left"/>
    </w:pPr>
    <w:rPr>
      <w:bCs w:val="0"/>
      <w:kern w:val="24"/>
      <w:sz w:val="24"/>
    </w:rPr>
  </w:style>
  <w:style w:type="character" w:customStyle="1" w:styleId="16">
    <w:name w:val="副标题 字符1"/>
    <w:link w:val="a8"/>
    <w:locked/>
    <w:rPr>
      <w:rFonts w:ascii="Cambria" w:eastAsia="宋体" w:hAnsi="Cambria" w:cs="宋体" w:hint="default"/>
      <w:b/>
      <w:bCs w:val="0"/>
      <w:kern w:val="24"/>
      <w:sz w:val="24"/>
      <w:szCs w:val="32"/>
    </w:rPr>
  </w:style>
  <w:style w:type="paragraph" w:styleId="a9">
    <w:name w:val="footnote text"/>
    <w:basedOn w:val="a"/>
    <w:link w:val="17"/>
    <w:pPr>
      <w:snapToGrid w:val="0"/>
      <w:jc w:val="left"/>
    </w:pPr>
    <w:rPr>
      <w:sz w:val="18"/>
      <w:szCs w:val="18"/>
    </w:rPr>
  </w:style>
  <w:style w:type="character" w:customStyle="1" w:styleId="17">
    <w:name w:val="脚注文本 字符1"/>
    <w:link w:val="a9"/>
    <w:locked/>
    <w:rPr>
      <w:kern w:val="2"/>
      <w:sz w:val="18"/>
      <w:szCs w:val="18"/>
    </w:rPr>
  </w:style>
  <w:style w:type="paragraph" w:styleId="22">
    <w:name w:val="toc 2"/>
    <w:basedOn w:val="a"/>
    <w:next w:val="a"/>
    <w:uiPriority w:val="39"/>
    <w:unhideWhenUsed/>
    <w:pPr>
      <w:ind w:leftChars="200" w:left="420"/>
    </w:pPr>
  </w:style>
  <w:style w:type="paragraph" w:styleId="aa">
    <w:name w:val="Normal (Web)"/>
    <w:basedOn w:val="a"/>
    <w:pPr>
      <w:widowControl/>
      <w:spacing w:before="100" w:beforeAutospacing="1" w:after="100" w:afterAutospacing="1"/>
      <w:jc w:val="left"/>
    </w:pPr>
    <w:rPr>
      <w:kern w:val="0"/>
      <w:sz w:val="24"/>
    </w:rPr>
  </w:style>
  <w:style w:type="paragraph" w:styleId="ab">
    <w:name w:val="Title"/>
    <w:basedOn w:val="1"/>
    <w:next w:val="2"/>
    <w:link w:val="18"/>
    <w:uiPriority w:val="10"/>
    <w:qFormat/>
    <w:pPr>
      <w:keepNext w:val="0"/>
      <w:keepLines w:val="0"/>
      <w:spacing w:before="240" w:after="60" w:line="240" w:lineRule="auto"/>
      <w:jc w:val="center"/>
    </w:pPr>
    <w:rPr>
      <w:rFonts w:ascii="Cambria" w:hAnsi="Cambria"/>
      <w:kern w:val="0"/>
      <w:sz w:val="32"/>
      <w:szCs w:val="32"/>
    </w:rPr>
  </w:style>
  <w:style w:type="character" w:customStyle="1" w:styleId="18">
    <w:name w:val="标题 字符1"/>
    <w:link w:val="ab"/>
    <w:uiPriority w:val="10"/>
    <w:locked/>
    <w:rPr>
      <w:rFonts w:ascii="Cambria" w:hAnsi="Cambria" w:cs="宋体" w:hint="default"/>
      <w:b/>
      <w:bCs/>
      <w:sz w:val="32"/>
      <w:szCs w:val="32"/>
    </w:rPr>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访问过的超链接"/>
    <w:uiPriority w:val="99"/>
    <w:unhideWhenUsed/>
    <w:rPr>
      <w:color w:val="800080"/>
      <w:u w:val="single"/>
    </w:rPr>
  </w:style>
  <w:style w:type="character" w:styleId="ae">
    <w:name w:val="Hyperlink"/>
    <w:uiPriority w:val="99"/>
    <w:unhideWhenUsed/>
    <w:rPr>
      <w:color w:val="0000FF"/>
      <w:u w:val="single"/>
    </w:rPr>
  </w:style>
  <w:style w:type="character" w:styleId="af">
    <w:name w:val="footnote reference"/>
    <w:rPr>
      <w:vertAlign w:val="superscript"/>
    </w:rPr>
  </w:style>
  <w:style w:type="character" w:customStyle="1" w:styleId="19">
    <w:name w:val="标题 1 字符"/>
    <w:link w:val="1"/>
    <w:uiPriority w:val="9"/>
    <w:locked/>
    <w:rPr>
      <w:b/>
      <w:bCs/>
      <w:kern w:val="44"/>
      <w:sz w:val="44"/>
      <w:szCs w:val="44"/>
    </w:rPr>
  </w:style>
  <w:style w:type="character" w:customStyle="1" w:styleId="23">
    <w:name w:val="标题 2 字符"/>
    <w:link w:val="2"/>
    <w:uiPriority w:val="9"/>
    <w:locked/>
    <w:rPr>
      <w:rFonts w:ascii="Cambria" w:eastAsia="宋体" w:hAnsi="Cambria" w:cs="Times New Roman" w:hint="default"/>
      <w:b/>
      <w:bCs/>
      <w:kern w:val="2"/>
      <w:sz w:val="32"/>
      <w:szCs w:val="32"/>
    </w:rPr>
  </w:style>
  <w:style w:type="character" w:customStyle="1" w:styleId="32">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character" w:customStyle="1" w:styleId="af0">
    <w:name w:val="脚注文本 字符"/>
    <w:link w:val="a9"/>
    <w:locked/>
    <w:rPr>
      <w:kern w:val="2"/>
      <w:sz w:val="18"/>
      <w:szCs w:val="18"/>
    </w:rPr>
  </w:style>
  <w:style w:type="character" w:customStyle="1" w:styleId="af1">
    <w:name w:val="页眉 字符"/>
    <w:link w:val="a7"/>
    <w:uiPriority w:val="99"/>
    <w:locked/>
    <w:rPr>
      <w:kern w:val="2"/>
      <w:sz w:val="18"/>
      <w:szCs w:val="18"/>
    </w:rPr>
  </w:style>
  <w:style w:type="character" w:customStyle="1" w:styleId="af2">
    <w:name w:val="页脚 字符"/>
    <w:link w:val="a6"/>
    <w:uiPriority w:val="99"/>
    <w:locked/>
    <w:rPr>
      <w:kern w:val="2"/>
      <w:sz w:val="18"/>
      <w:szCs w:val="18"/>
    </w:rPr>
  </w:style>
  <w:style w:type="character" w:customStyle="1" w:styleId="af3">
    <w:name w:val="标题 字符"/>
    <w:link w:val="ab"/>
    <w:uiPriority w:val="10"/>
    <w:locked/>
    <w:rPr>
      <w:rFonts w:ascii="Cambria" w:eastAsia="宋体" w:hAnsi="Cambria" w:cs="Times New Roman" w:hint="default"/>
      <w:b/>
      <w:bCs/>
      <w:kern w:val="2"/>
      <w:sz w:val="32"/>
      <w:szCs w:val="32"/>
    </w:rPr>
  </w:style>
  <w:style w:type="character" w:customStyle="1" w:styleId="af4">
    <w:name w:val="副标题 字符"/>
    <w:link w:val="a8"/>
    <w:locked/>
    <w:rPr>
      <w:rFonts w:ascii="Calibri" w:eastAsia="宋体" w:hAnsi="Calibri" w:cs="Times New Roman" w:hint="default"/>
      <w:b/>
      <w:bCs/>
      <w:kern w:val="24"/>
      <w:sz w:val="32"/>
      <w:szCs w:val="32"/>
    </w:rPr>
  </w:style>
  <w:style w:type="character" w:customStyle="1" w:styleId="af5">
    <w:name w:val="日期 字符"/>
    <w:link w:val="a4"/>
    <w:locked/>
    <w:rPr>
      <w:kern w:val="2"/>
      <w:sz w:val="21"/>
    </w:rPr>
  </w:style>
  <w:style w:type="character" w:customStyle="1" w:styleId="af6">
    <w:name w:val="文档结构图 字符"/>
    <w:link w:val="a3"/>
    <w:locked/>
    <w:rPr>
      <w:rFonts w:ascii="Microsoft YaHei UI" w:eastAsia="Microsoft YaHei UI" w:hAnsi="Microsoft YaHei UI" w:hint="eastAsia"/>
      <w:kern w:val="2"/>
      <w:sz w:val="18"/>
      <w:szCs w:val="18"/>
    </w:rPr>
  </w:style>
  <w:style w:type="character" w:customStyle="1" w:styleId="af7">
    <w:name w:val="批注框文本 字符"/>
    <w:link w:val="a5"/>
    <w:uiPriority w:val="99"/>
    <w:semiHidden/>
    <w:locked/>
    <w:rPr>
      <w:kern w:val="2"/>
      <w:sz w:val="18"/>
      <w:szCs w:val="18"/>
    </w:rPr>
  </w:style>
  <w:style w:type="paragraph" w:styleId="TOC">
    <w:name w:val="TOC Heading"/>
    <w:basedOn w:val="1"/>
    <w:next w:val="a"/>
    <w:uiPriority w:val="39"/>
    <w:qFormat/>
    <w:pPr>
      <w:widowControl/>
      <w:spacing w:before="480" w:after="0" w:line="276" w:lineRule="auto"/>
      <w:jc w:val="left"/>
      <w:outlineLvl w:val="9"/>
    </w:pPr>
    <w:rPr>
      <w:rFonts w:ascii="Cambria" w:hAnsi="Cambria"/>
      <w:color w:val="365F91"/>
      <w:kern w:val="0"/>
      <w:sz w:val="24"/>
      <w:szCs w:val="24"/>
    </w:rPr>
  </w:style>
  <w:style w:type="paragraph" w:customStyle="1" w:styleId="XBRLTitle6">
    <w:name w:val="XBRLTitle6"/>
    <w:basedOn w:val="a8"/>
    <w:next w:val="4"/>
    <w:qFormat/>
    <w:pPr>
      <w:numPr>
        <w:ilvl w:val="5"/>
        <w:numId w:val="1"/>
      </w:numPr>
      <w:spacing w:beforeLines="50" w:after="0" w:line="240" w:lineRule="auto"/>
      <w:outlineLvl w:val="9"/>
    </w:pPr>
    <w:rPr>
      <w:bCs/>
    </w:rPr>
  </w:style>
  <w:style w:type="paragraph" w:customStyle="1" w:styleId="af8">
    <w:name w:val="次标题"/>
    <w:basedOn w:val="3"/>
    <w:next w:val="a"/>
    <w:pPr>
      <w:spacing w:before="120" w:after="120"/>
      <w:jc w:val="left"/>
    </w:pPr>
    <w:rPr>
      <w:sz w:val="21"/>
    </w:rPr>
  </w:style>
  <w:style w:type="paragraph" w:customStyle="1" w:styleId="XBRL6">
    <w:name w:val="XBRL标题6"/>
    <w:basedOn w:val="a8"/>
    <w:next w:val="4"/>
    <w:qFormat/>
    <w:pPr>
      <w:spacing w:beforeLines="50" w:after="0" w:line="240" w:lineRule="auto"/>
      <w:outlineLvl w:val="9"/>
    </w:pPr>
    <w:rPr>
      <w:bCs/>
    </w:rPr>
  </w:style>
  <w:style w:type="paragraph" w:customStyle="1" w:styleId="XBRL2">
    <w:name w:val="XBRL标题2"/>
    <w:basedOn w:val="a8"/>
    <w:next w:val="4"/>
    <w:qFormat/>
    <w:pPr>
      <w:spacing w:beforeLines="50" w:after="0" w:line="240" w:lineRule="auto"/>
    </w:pPr>
    <w:rPr>
      <w:bCs/>
    </w:rPr>
  </w:style>
  <w:style w:type="paragraph" w:customStyle="1" w:styleId="XBRL3">
    <w:name w:val="XBRL标题3"/>
    <w:basedOn w:val="a8"/>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1"/>
      </w:numPr>
      <w:spacing w:beforeLines="50" w:after="0" w:line="240" w:lineRule="auto"/>
      <w:jc w:val="left"/>
    </w:pPr>
    <w:rPr>
      <w:rFonts w:hAnsi="Cambria"/>
      <w:sz w:val="24"/>
      <w:szCs w:val="32"/>
    </w:rPr>
  </w:style>
  <w:style w:type="paragraph" w:customStyle="1" w:styleId="XBRLTitle2">
    <w:name w:val="XBRLTitle2"/>
    <w:basedOn w:val="a8"/>
    <w:next w:val="4"/>
    <w:qFormat/>
    <w:pPr>
      <w:keepNext w:val="0"/>
      <w:keepLines w:val="0"/>
      <w:numPr>
        <w:ilvl w:val="1"/>
        <w:numId w:val="1"/>
      </w:numPr>
      <w:spacing w:beforeLines="50" w:after="0" w:line="240" w:lineRule="auto"/>
    </w:pPr>
    <w:rPr>
      <w:rFonts w:ascii="宋体"/>
      <w:bCs/>
    </w:rPr>
  </w:style>
  <w:style w:type="paragraph" w:customStyle="1" w:styleId="XBRLTitle5">
    <w:name w:val="XBRLTitle5"/>
    <w:basedOn w:val="a8"/>
    <w:next w:val="4"/>
    <w:qFormat/>
    <w:pPr>
      <w:numPr>
        <w:ilvl w:val="4"/>
        <w:numId w:val="1"/>
      </w:numPr>
      <w:spacing w:beforeLines="50" w:after="0" w:line="240" w:lineRule="auto"/>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8"/>
    <w:next w:val="4"/>
    <w:qFormat/>
    <w:pPr>
      <w:spacing w:beforeLines="50" w:after="0" w:line="240" w:lineRule="auto"/>
      <w:outlineLvl w:val="9"/>
    </w:pPr>
    <w:rPr>
      <w:bCs/>
    </w:rPr>
  </w:style>
  <w:style w:type="paragraph" w:customStyle="1" w:styleId="XBRL4">
    <w:name w:val="XBRL标题4"/>
    <w:basedOn w:val="a8"/>
    <w:next w:val="4"/>
    <w:qFormat/>
    <w:pPr>
      <w:spacing w:beforeLines="50" w:after="0" w:line="240" w:lineRule="auto"/>
      <w:outlineLvl w:val="9"/>
    </w:pPr>
    <w:rPr>
      <w:bCs/>
    </w:rPr>
  </w:style>
  <w:style w:type="paragraph" w:customStyle="1" w:styleId="XBRLTitle4">
    <w:name w:val="XBRLTitle4"/>
    <w:basedOn w:val="a8"/>
    <w:next w:val="4"/>
    <w:qFormat/>
    <w:pPr>
      <w:numPr>
        <w:ilvl w:val="3"/>
        <w:numId w:val="1"/>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8"/>
    <w:next w:val="4"/>
    <w:qFormat/>
    <w:pPr>
      <w:keepNext w:val="0"/>
      <w:keepLines w:val="0"/>
      <w:numPr>
        <w:ilvl w:val="2"/>
        <w:numId w:val="1"/>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9"/>
    <w:locked/>
    <w:rPr>
      <w:kern w:val="2"/>
      <w:sz w:val="18"/>
      <w:szCs w:val="18"/>
    </w:rPr>
  </w:style>
  <w:style w:type="character" w:customStyle="1" w:styleId="Char1">
    <w:name w:val="页眉 Char"/>
    <w:link w:val="a7"/>
    <w:uiPriority w:val="99"/>
    <w:locked/>
    <w:rPr>
      <w:kern w:val="2"/>
      <w:sz w:val="18"/>
      <w:szCs w:val="18"/>
    </w:rPr>
  </w:style>
  <w:style w:type="character" w:customStyle="1" w:styleId="Char2">
    <w:name w:val="页脚 Char"/>
    <w:link w:val="a6"/>
    <w:uiPriority w:val="99"/>
    <w:locked/>
    <w:rPr>
      <w:kern w:val="2"/>
      <w:sz w:val="18"/>
      <w:szCs w:val="18"/>
    </w:rPr>
  </w:style>
  <w:style w:type="character" w:customStyle="1" w:styleId="Char3">
    <w:name w:val="标题 Char"/>
    <w:link w:val="ab"/>
    <w:uiPriority w:val="10"/>
    <w:locked/>
    <w:rPr>
      <w:rFonts w:ascii="Cambria" w:hAnsi="Cambria" w:cs="Times New Roman" w:hint="default"/>
      <w:b/>
      <w:bCs/>
      <w:kern w:val="2"/>
      <w:sz w:val="32"/>
      <w:szCs w:val="32"/>
    </w:rPr>
  </w:style>
  <w:style w:type="character" w:customStyle="1" w:styleId="Char4">
    <w:name w:val="副标题 Char"/>
    <w:link w:val="a8"/>
    <w:locked/>
    <w:rPr>
      <w:rFonts w:ascii="Cambria" w:hAnsi="Cambria" w:cs="Times New Roman" w:hint="default"/>
      <w:b/>
      <w:bCs/>
      <w:kern w:val="24"/>
      <w:sz w:val="32"/>
      <w:szCs w:val="32"/>
    </w:rPr>
  </w:style>
  <w:style w:type="character" w:customStyle="1" w:styleId="Char5">
    <w:name w:val="日期 Char"/>
    <w:link w:val="a4"/>
    <w:locked/>
    <w:rPr>
      <w:kern w:val="2"/>
      <w:sz w:val="21"/>
    </w:rPr>
  </w:style>
  <w:style w:type="character" w:customStyle="1" w:styleId="Char6">
    <w:name w:val="文档结构图 Char"/>
    <w:link w:val="a3"/>
    <w:locked/>
    <w:rPr>
      <w:rFonts w:ascii="宋体" w:eastAsia="宋体" w:hAnsi="宋体" w:hint="eastAsia"/>
      <w:kern w:val="2"/>
      <w:sz w:val="18"/>
      <w:szCs w:val="18"/>
    </w:rPr>
  </w:style>
  <w:style w:type="character" w:customStyle="1" w:styleId="Char7">
    <w:name w:val="批注框文本 Char"/>
    <w:link w:val="a5"/>
    <w:uiPriority w:val="99"/>
    <w:semiHidden/>
    <w:locked/>
    <w:rPr>
      <w:kern w:val="2"/>
      <w:sz w:val="18"/>
      <w:szCs w:val="18"/>
    </w:rPr>
  </w:style>
  <w:style w:type="character" w:customStyle="1" w:styleId="1a">
    <w:name w:val="页眉 字符1"/>
    <w:locked/>
    <w:rPr>
      <w:kern w:val="2"/>
      <w:sz w:val="18"/>
      <w:szCs w:val="18"/>
    </w:rPr>
  </w:style>
  <w:style w:type="paragraph" w:customStyle="1" w:styleId="removednode">
    <w:name w:val="removednode"/>
    <w:basedOn w:val="a"/>
    <w:pPr>
      <w:widowControl/>
      <w:spacing w:before="100" w:beforeAutospacing="1" w:after="100" w:afterAutospacing="1"/>
      <w:jc w:val="left"/>
    </w:pPr>
    <w:rPr>
      <w:kern w:val="0"/>
      <w:sz w:val="24"/>
    </w:rPr>
  </w:style>
  <w:style w:type="character" w:customStyle="1" w:styleId="Char10">
    <w:name w:val="页眉 Char1"/>
    <w:locked/>
    <w:rPr>
      <w:kern w:val="2"/>
      <w:sz w:val="18"/>
      <w:szCs w:val="18"/>
    </w:rPr>
  </w:style>
  <w:style w:type="character" w:customStyle="1" w:styleId="Char11">
    <w:name w:val="页脚 Char1"/>
    <w:uiPriority w:val="99"/>
    <w:locked/>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489</Words>
  <Characters>2789</Characters>
  <Application>Microsoft Office Word</Application>
  <DocSecurity>4</DocSecurity>
  <Lines>23</Lines>
  <Paragraphs>6</Paragraphs>
  <ScaleCrop>false</ScaleCrop>
  <Company/>
  <LinksUpToDate>false</LinksUpToDate>
  <CharactersWithSpaces>3272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2026-01-18T16:00:00Z</dcterms:created>
  <dcterms:modified xsi:type="dcterms:W3CDTF">2026-01-18T16:00:00Z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eyJoZGlkIjoiNTZkMGJlZWFhNWQzYWU4Y2QxMDg2Yjg1OGU1NjFhNGYiLCJ1c2VySWQiOiIxNzE5NjI2MDMxIn0=</vt:lpwstr>
  </property>
  <property fmtid="{D5CDD505-2E9C-101B-9397-08002B2CF9AE}" pid="4" name="ICV">
    <vt:lpwstr>5CB834F674BA49C28698399606AB4DD2_12</vt:lpwstr>
  </property>
</Properties>
</file>