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6602FD" w:rsidRDefault="00893436" w:rsidP="00B14D73">
      <w:pPr>
        <w:widowControl/>
        <w:spacing w:line="360" w:lineRule="auto"/>
        <w:jc w:val="center"/>
        <w:rPr>
          <w:rFonts w:asciiTheme="minorEastAsia" w:eastAsiaTheme="minorEastAsia" w:hAnsiTheme="minorEastAsia" w:cs="宋体"/>
          <w:b/>
          <w:kern w:val="0"/>
          <w:sz w:val="30"/>
          <w:szCs w:val="30"/>
        </w:rPr>
      </w:pPr>
      <w:r w:rsidRPr="006602FD">
        <w:rPr>
          <w:rFonts w:asciiTheme="minorEastAsia" w:eastAsiaTheme="minorEastAsia" w:hAnsiTheme="minorEastAsia" w:cs="宋体" w:hint="eastAsia"/>
          <w:b/>
          <w:kern w:val="0"/>
          <w:sz w:val="30"/>
          <w:szCs w:val="30"/>
        </w:rPr>
        <w:t>国联安信心增长债券型证券投资基金分红公告</w:t>
      </w:r>
    </w:p>
    <w:p w:rsidR="00893436" w:rsidRPr="008656F5" w:rsidRDefault="00893436" w:rsidP="00B14D73">
      <w:pPr>
        <w:spacing w:line="360" w:lineRule="auto"/>
        <w:jc w:val="center"/>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公告送出日期：</w:t>
      </w:r>
      <w:r w:rsidR="00DA3460" w:rsidRPr="008656F5">
        <w:rPr>
          <w:rFonts w:asciiTheme="minorEastAsia" w:eastAsiaTheme="minorEastAsia" w:hAnsiTheme="minorEastAsia" w:cs="宋体"/>
          <w:bCs/>
          <w:sz w:val="24"/>
          <w:szCs w:val="24"/>
        </w:rPr>
        <w:t>20</w:t>
      </w:r>
      <w:r w:rsidR="00DA3460">
        <w:rPr>
          <w:rFonts w:asciiTheme="minorEastAsia" w:eastAsiaTheme="minorEastAsia" w:hAnsiTheme="minorEastAsia" w:cs="宋体" w:hint="eastAsia"/>
          <w:bCs/>
          <w:sz w:val="24"/>
          <w:szCs w:val="24"/>
        </w:rPr>
        <w:t>2</w:t>
      </w:r>
      <w:r w:rsidR="00AE6B89">
        <w:rPr>
          <w:rFonts w:asciiTheme="minorEastAsia" w:eastAsiaTheme="minorEastAsia" w:hAnsiTheme="minorEastAsia" w:cs="宋体"/>
          <w:bCs/>
          <w:sz w:val="24"/>
          <w:szCs w:val="24"/>
        </w:rPr>
        <w:t>6</w:t>
      </w:r>
      <w:r w:rsidR="00FB2F8A" w:rsidRPr="008656F5">
        <w:rPr>
          <w:rFonts w:asciiTheme="minorEastAsia" w:eastAsiaTheme="minorEastAsia" w:hAnsiTheme="minorEastAsia" w:cs="宋体"/>
          <w:bCs/>
          <w:sz w:val="24"/>
          <w:szCs w:val="24"/>
        </w:rPr>
        <w:t>年1月</w:t>
      </w:r>
      <w:r w:rsidR="00DA3460">
        <w:rPr>
          <w:rFonts w:asciiTheme="minorEastAsia" w:eastAsiaTheme="minorEastAsia" w:hAnsiTheme="minorEastAsia" w:cs="宋体"/>
          <w:bCs/>
          <w:sz w:val="24"/>
          <w:szCs w:val="24"/>
        </w:rPr>
        <w:t>19</w:t>
      </w:r>
      <w:r w:rsidRPr="008656F5">
        <w:rPr>
          <w:rFonts w:asciiTheme="minorEastAsia" w:eastAsiaTheme="minorEastAsia" w:hAnsiTheme="minorEastAsia" w:cs="宋体"/>
          <w:bCs/>
          <w:sz w:val="24"/>
          <w:szCs w:val="24"/>
        </w:rPr>
        <w:t>日</w:t>
      </w:r>
    </w:p>
    <w:p w:rsidR="00893436" w:rsidRPr="008656F5" w:rsidRDefault="00893436" w:rsidP="00B14D73">
      <w:pPr>
        <w:pStyle w:val="2"/>
        <w:spacing w:line="360" w:lineRule="auto"/>
        <w:rPr>
          <w:rFonts w:asciiTheme="minorEastAsia" w:eastAsiaTheme="minorEastAsia" w:hAnsiTheme="minorEastAsia"/>
          <w:bCs w:val="0"/>
          <w:color w:val="000000"/>
          <w:sz w:val="24"/>
          <w:szCs w:val="24"/>
        </w:rPr>
      </w:pPr>
      <w:bookmarkStart w:id="0" w:name="_Toc275961418"/>
      <w:r w:rsidRPr="008656F5">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552"/>
        <w:gridCol w:w="2268"/>
        <w:gridCol w:w="2451"/>
      </w:tblGrid>
      <w:tr w:rsidR="0039192C" w:rsidRPr="008656F5" w:rsidTr="00FE7BF2">
        <w:trPr>
          <w:jc w:val="center"/>
        </w:trPr>
        <w:tc>
          <w:tcPr>
            <w:tcW w:w="4920"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基金名称</w:t>
            </w:r>
          </w:p>
        </w:tc>
        <w:tc>
          <w:tcPr>
            <w:tcW w:w="4719" w:type="dxa"/>
            <w:gridSpan w:val="2"/>
            <w:vAlign w:val="center"/>
          </w:tcPr>
          <w:p w:rsidR="0039192C" w:rsidRPr="008656F5" w:rsidRDefault="0039192C"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国联安信心增长债券型证券投资基金</w:t>
            </w:r>
          </w:p>
        </w:tc>
      </w:tr>
      <w:tr w:rsidR="0039192C" w:rsidRPr="008656F5" w:rsidTr="00FE7BF2">
        <w:trPr>
          <w:jc w:val="center"/>
        </w:trPr>
        <w:tc>
          <w:tcPr>
            <w:tcW w:w="4920"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基金简称</w:t>
            </w:r>
          </w:p>
        </w:tc>
        <w:tc>
          <w:tcPr>
            <w:tcW w:w="4719" w:type="dxa"/>
            <w:gridSpan w:val="2"/>
            <w:vAlign w:val="center"/>
          </w:tcPr>
          <w:p w:rsidR="0039192C" w:rsidRPr="008656F5" w:rsidRDefault="0039192C"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国联安信心增长债券</w:t>
            </w:r>
          </w:p>
        </w:tc>
      </w:tr>
      <w:tr w:rsidR="0039192C" w:rsidRPr="008656F5" w:rsidTr="00FE7BF2">
        <w:trPr>
          <w:jc w:val="center"/>
        </w:trPr>
        <w:tc>
          <w:tcPr>
            <w:tcW w:w="4920"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基金主代码</w:t>
            </w:r>
          </w:p>
        </w:tc>
        <w:tc>
          <w:tcPr>
            <w:tcW w:w="4719" w:type="dxa"/>
            <w:gridSpan w:val="2"/>
            <w:vAlign w:val="center"/>
          </w:tcPr>
          <w:p w:rsidR="0039192C" w:rsidRPr="008656F5" w:rsidRDefault="0039192C"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253060</w:t>
            </w:r>
          </w:p>
        </w:tc>
      </w:tr>
      <w:tr w:rsidR="0039192C" w:rsidRPr="008656F5" w:rsidTr="00FE7BF2">
        <w:trPr>
          <w:jc w:val="center"/>
        </w:trPr>
        <w:tc>
          <w:tcPr>
            <w:tcW w:w="4920" w:type="dxa"/>
            <w:gridSpan w:val="2"/>
            <w:vAlign w:val="center"/>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基金合同生效日</w:t>
            </w:r>
          </w:p>
        </w:tc>
        <w:tc>
          <w:tcPr>
            <w:tcW w:w="4719" w:type="dxa"/>
            <w:gridSpan w:val="2"/>
            <w:vAlign w:val="center"/>
          </w:tcPr>
          <w:p w:rsidR="0039192C" w:rsidRPr="008656F5" w:rsidRDefault="003E51F2"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2014年7月29日</w:t>
            </w:r>
          </w:p>
        </w:tc>
      </w:tr>
      <w:tr w:rsidR="0039192C" w:rsidRPr="008656F5" w:rsidTr="00FE7BF2">
        <w:trPr>
          <w:jc w:val="center"/>
        </w:trPr>
        <w:tc>
          <w:tcPr>
            <w:tcW w:w="4920"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基金管理人名称</w:t>
            </w:r>
          </w:p>
        </w:tc>
        <w:tc>
          <w:tcPr>
            <w:tcW w:w="4719" w:type="dxa"/>
            <w:gridSpan w:val="2"/>
            <w:vAlign w:val="center"/>
          </w:tcPr>
          <w:p w:rsidR="0039192C" w:rsidRPr="008656F5" w:rsidRDefault="0039192C"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国联安基金管理有限公司</w:t>
            </w:r>
          </w:p>
        </w:tc>
      </w:tr>
      <w:tr w:rsidR="0039192C" w:rsidRPr="008656F5" w:rsidTr="00FE7BF2">
        <w:trPr>
          <w:jc w:val="center"/>
        </w:trPr>
        <w:tc>
          <w:tcPr>
            <w:tcW w:w="4920"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基金托管人名称</w:t>
            </w:r>
          </w:p>
        </w:tc>
        <w:tc>
          <w:tcPr>
            <w:tcW w:w="4719" w:type="dxa"/>
            <w:gridSpan w:val="2"/>
            <w:vAlign w:val="center"/>
          </w:tcPr>
          <w:p w:rsidR="0039192C" w:rsidRPr="008656F5" w:rsidRDefault="0039192C"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中信银行股份有限公司</w:t>
            </w:r>
          </w:p>
        </w:tc>
      </w:tr>
      <w:tr w:rsidR="0039192C" w:rsidRPr="008656F5" w:rsidTr="00FE7BF2">
        <w:trPr>
          <w:jc w:val="center"/>
        </w:trPr>
        <w:tc>
          <w:tcPr>
            <w:tcW w:w="4920"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公告依据</w:t>
            </w:r>
          </w:p>
        </w:tc>
        <w:tc>
          <w:tcPr>
            <w:tcW w:w="4719" w:type="dxa"/>
            <w:gridSpan w:val="2"/>
            <w:vAlign w:val="center"/>
          </w:tcPr>
          <w:p w:rsidR="0039192C" w:rsidRPr="008656F5" w:rsidRDefault="00E7005D" w:rsidP="00B14D73">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《证券投资基金法》、《公开募集证券投资基金信息披露管理办法》等法律法规、《</w:t>
            </w:r>
            <w:r>
              <w:rPr>
                <w:rFonts w:asciiTheme="minorEastAsia" w:eastAsiaTheme="minorEastAsia" w:hAnsiTheme="minorEastAsia"/>
                <w:sz w:val="24"/>
                <w:szCs w:val="24"/>
              </w:rPr>
              <w:t>国联安信心增长债券型证券投资基金</w:t>
            </w:r>
            <w:r w:rsidRPr="002825C8">
              <w:rPr>
                <w:rFonts w:asciiTheme="minorEastAsia" w:eastAsiaTheme="minorEastAsia" w:hAnsiTheme="minorEastAsia"/>
                <w:sz w:val="24"/>
                <w:szCs w:val="24"/>
              </w:rPr>
              <w:t>基金合同》（以下简称“《基金合同》”）、《</w:t>
            </w:r>
            <w:r>
              <w:rPr>
                <w:rFonts w:asciiTheme="minorEastAsia" w:eastAsiaTheme="minorEastAsia" w:hAnsiTheme="minorEastAsia"/>
                <w:sz w:val="24"/>
                <w:szCs w:val="24"/>
              </w:rPr>
              <w:t>国联安信心增长债券型证券投资基金</w:t>
            </w:r>
            <w:r w:rsidRPr="002825C8">
              <w:rPr>
                <w:rFonts w:asciiTheme="minorEastAsia" w:eastAsiaTheme="minorEastAsia" w:hAnsiTheme="minorEastAsia"/>
                <w:sz w:val="24"/>
                <w:szCs w:val="24"/>
              </w:rPr>
              <w:t>招募说明书（更新）》等相关法律文件</w:t>
            </w:r>
          </w:p>
        </w:tc>
      </w:tr>
      <w:tr w:rsidR="00893436" w:rsidRPr="008656F5" w:rsidTr="00FE7BF2">
        <w:trPr>
          <w:jc w:val="center"/>
        </w:trPr>
        <w:tc>
          <w:tcPr>
            <w:tcW w:w="4920" w:type="dxa"/>
            <w:gridSpan w:val="2"/>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收益分配基准日</w:t>
            </w:r>
          </w:p>
        </w:tc>
        <w:tc>
          <w:tcPr>
            <w:tcW w:w="4719" w:type="dxa"/>
            <w:gridSpan w:val="2"/>
          </w:tcPr>
          <w:p w:rsidR="00893436" w:rsidRPr="008656F5" w:rsidRDefault="00DA3460"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20</w:t>
            </w:r>
            <w:r>
              <w:rPr>
                <w:rFonts w:asciiTheme="minorEastAsia" w:eastAsiaTheme="minorEastAsia" w:hAnsiTheme="minorEastAsia" w:hint="eastAsia"/>
                <w:sz w:val="24"/>
                <w:szCs w:val="24"/>
              </w:rPr>
              <w:t>2</w:t>
            </w:r>
            <w:r>
              <w:rPr>
                <w:rFonts w:asciiTheme="minorEastAsia" w:eastAsiaTheme="minorEastAsia" w:hAnsiTheme="minorEastAsia"/>
                <w:sz w:val="24"/>
                <w:szCs w:val="24"/>
              </w:rPr>
              <w:t>5</w:t>
            </w:r>
            <w:r w:rsidR="0039192C" w:rsidRPr="008656F5">
              <w:rPr>
                <w:rFonts w:asciiTheme="minorEastAsia" w:eastAsiaTheme="minorEastAsia" w:hAnsiTheme="minorEastAsia"/>
                <w:sz w:val="24"/>
                <w:szCs w:val="24"/>
              </w:rPr>
              <w:t>年12月31日</w:t>
            </w:r>
          </w:p>
        </w:tc>
      </w:tr>
      <w:tr w:rsidR="00893436" w:rsidRPr="008656F5" w:rsidTr="00FE7BF2">
        <w:trPr>
          <w:jc w:val="center"/>
        </w:trPr>
        <w:tc>
          <w:tcPr>
            <w:tcW w:w="4920" w:type="dxa"/>
            <w:gridSpan w:val="2"/>
            <w:vAlign w:val="center"/>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有关年度分红次数的说明</w:t>
            </w:r>
          </w:p>
        </w:tc>
        <w:tc>
          <w:tcPr>
            <w:tcW w:w="4719" w:type="dxa"/>
            <w:gridSpan w:val="2"/>
            <w:vAlign w:val="center"/>
          </w:tcPr>
          <w:p w:rsidR="00893436" w:rsidRPr="008656F5" w:rsidRDefault="009732A4"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本次分红为</w:t>
            </w:r>
            <w:r w:rsidR="00DA3460" w:rsidRPr="008656F5">
              <w:rPr>
                <w:rFonts w:asciiTheme="minorEastAsia" w:eastAsiaTheme="minorEastAsia" w:hAnsiTheme="minorEastAsia"/>
                <w:sz w:val="24"/>
                <w:szCs w:val="24"/>
              </w:rPr>
              <w:t>20</w:t>
            </w:r>
            <w:r w:rsidR="00DA3460">
              <w:rPr>
                <w:rFonts w:asciiTheme="minorEastAsia" w:eastAsiaTheme="minorEastAsia" w:hAnsiTheme="minorEastAsia" w:hint="eastAsia"/>
                <w:sz w:val="24"/>
                <w:szCs w:val="24"/>
              </w:rPr>
              <w:t>2</w:t>
            </w:r>
            <w:r w:rsidR="00AE6B89">
              <w:rPr>
                <w:rFonts w:asciiTheme="minorEastAsia" w:eastAsiaTheme="minorEastAsia" w:hAnsiTheme="minorEastAsia"/>
                <w:sz w:val="24"/>
                <w:szCs w:val="24"/>
              </w:rPr>
              <w:t>6</w:t>
            </w:r>
            <w:r w:rsidRPr="008656F5">
              <w:rPr>
                <w:rFonts w:asciiTheme="minorEastAsia" w:eastAsiaTheme="minorEastAsia" w:hAnsiTheme="minorEastAsia"/>
                <w:sz w:val="24"/>
                <w:szCs w:val="24"/>
              </w:rPr>
              <w:t>年度的第1次分红</w:t>
            </w:r>
          </w:p>
        </w:tc>
      </w:tr>
      <w:tr w:rsidR="00266A99" w:rsidRPr="008656F5" w:rsidTr="00FE7BF2">
        <w:trPr>
          <w:jc w:val="center"/>
        </w:trPr>
        <w:tc>
          <w:tcPr>
            <w:tcW w:w="4920" w:type="dxa"/>
            <w:gridSpan w:val="2"/>
          </w:tcPr>
          <w:p w:rsidR="00266A99" w:rsidRPr="008656F5" w:rsidRDefault="00266A99"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下属分级基金的基金简称</w:t>
            </w:r>
          </w:p>
        </w:tc>
        <w:tc>
          <w:tcPr>
            <w:tcW w:w="2268" w:type="dxa"/>
          </w:tcPr>
          <w:p w:rsidR="00266A99" w:rsidRPr="008656F5" w:rsidRDefault="00266A99"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国联安信心增长债券A</w:t>
            </w:r>
          </w:p>
        </w:tc>
        <w:tc>
          <w:tcPr>
            <w:tcW w:w="2451" w:type="dxa"/>
          </w:tcPr>
          <w:p w:rsidR="00266A99" w:rsidRPr="008656F5" w:rsidRDefault="00266A99"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国联安信心增长债券B</w:t>
            </w:r>
          </w:p>
        </w:tc>
      </w:tr>
      <w:tr w:rsidR="00266A99" w:rsidRPr="008656F5" w:rsidTr="00FE7BF2">
        <w:trPr>
          <w:jc w:val="center"/>
        </w:trPr>
        <w:tc>
          <w:tcPr>
            <w:tcW w:w="4920" w:type="dxa"/>
            <w:gridSpan w:val="2"/>
          </w:tcPr>
          <w:p w:rsidR="00266A99" w:rsidRPr="008656F5" w:rsidRDefault="00266A99"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下属分级基金的交易代码</w:t>
            </w:r>
          </w:p>
        </w:tc>
        <w:tc>
          <w:tcPr>
            <w:tcW w:w="2268" w:type="dxa"/>
          </w:tcPr>
          <w:p w:rsidR="00266A99" w:rsidRPr="008656F5" w:rsidRDefault="00266A99"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253060</w:t>
            </w:r>
          </w:p>
        </w:tc>
        <w:tc>
          <w:tcPr>
            <w:tcW w:w="2451" w:type="dxa"/>
          </w:tcPr>
          <w:p w:rsidR="00266A99" w:rsidRPr="008656F5" w:rsidRDefault="00266A99"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253061</w:t>
            </w:r>
          </w:p>
        </w:tc>
      </w:tr>
      <w:tr w:rsidR="00FE7BF2" w:rsidRPr="008656F5" w:rsidTr="00FE7BF2">
        <w:trPr>
          <w:jc w:val="center"/>
        </w:trPr>
        <w:tc>
          <w:tcPr>
            <w:tcW w:w="2368" w:type="dxa"/>
            <w:vMerge w:val="restart"/>
            <w:vAlign w:val="center"/>
          </w:tcPr>
          <w:p w:rsidR="00FE7BF2" w:rsidRPr="008656F5" w:rsidRDefault="00FE7BF2"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截止基准日下属分级基金的相关指标</w:t>
            </w:r>
          </w:p>
        </w:tc>
        <w:tc>
          <w:tcPr>
            <w:tcW w:w="2552" w:type="dxa"/>
          </w:tcPr>
          <w:p w:rsidR="00FE7BF2" w:rsidRPr="008656F5" w:rsidRDefault="00FE7BF2"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基准日下属分级基金份额净值</w:t>
            </w:r>
            <w:r w:rsidRPr="008656F5">
              <w:rPr>
                <w:rFonts w:asciiTheme="minorEastAsia" w:eastAsiaTheme="minorEastAsia" w:hAnsiTheme="minorEastAsia" w:hint="eastAsia"/>
                <w:sz w:val="24"/>
                <w:szCs w:val="24"/>
              </w:rPr>
              <w:t>（单位：</w:t>
            </w:r>
            <w:r w:rsidRPr="008656F5">
              <w:rPr>
                <w:rFonts w:asciiTheme="minorEastAsia" w:eastAsiaTheme="minorEastAsia" w:hAnsiTheme="minorEastAsia" w:hint="eastAsia"/>
                <w:color w:val="000000"/>
                <w:kern w:val="0"/>
                <w:sz w:val="24"/>
                <w:szCs w:val="24"/>
              </w:rPr>
              <w:t>元</w:t>
            </w:r>
            <w:r w:rsidRPr="008656F5">
              <w:rPr>
                <w:rFonts w:asciiTheme="minorEastAsia" w:eastAsiaTheme="minorEastAsia" w:hAnsiTheme="minorEastAsia" w:hint="eastAsia"/>
                <w:sz w:val="24"/>
                <w:szCs w:val="24"/>
              </w:rPr>
              <w:t>）</w:t>
            </w:r>
          </w:p>
        </w:tc>
        <w:tc>
          <w:tcPr>
            <w:tcW w:w="2268" w:type="dxa"/>
          </w:tcPr>
          <w:p w:rsidR="00FE7BF2" w:rsidRPr="0031593F" w:rsidRDefault="00DA3460" w:rsidP="0031593F">
            <w:pPr>
              <w:rPr>
                <w:rFonts w:asciiTheme="minorEastAsia" w:eastAsiaTheme="minorEastAsia" w:hAnsiTheme="minorEastAsia"/>
                <w:sz w:val="24"/>
                <w:szCs w:val="24"/>
              </w:rPr>
            </w:pPr>
            <w:r w:rsidRPr="00DA3460">
              <w:rPr>
                <w:rFonts w:asciiTheme="minorEastAsia" w:eastAsiaTheme="minorEastAsia" w:hAnsiTheme="minorEastAsia"/>
                <w:sz w:val="24"/>
                <w:szCs w:val="24"/>
              </w:rPr>
              <w:t>1.2034</w:t>
            </w:r>
          </w:p>
        </w:tc>
        <w:tc>
          <w:tcPr>
            <w:tcW w:w="2451" w:type="dxa"/>
          </w:tcPr>
          <w:p w:rsidR="00FE7BF2" w:rsidRPr="0031593F" w:rsidRDefault="00DA3460" w:rsidP="0031593F">
            <w:pPr>
              <w:rPr>
                <w:rFonts w:asciiTheme="minorEastAsia" w:eastAsiaTheme="minorEastAsia" w:hAnsiTheme="minorEastAsia"/>
                <w:sz w:val="24"/>
                <w:szCs w:val="24"/>
              </w:rPr>
            </w:pPr>
            <w:r w:rsidRPr="00DA3460">
              <w:rPr>
                <w:rFonts w:asciiTheme="minorEastAsia" w:eastAsiaTheme="minorEastAsia" w:hAnsiTheme="minorEastAsia"/>
                <w:sz w:val="24"/>
                <w:szCs w:val="24"/>
              </w:rPr>
              <w:t>1.1929</w:t>
            </w:r>
          </w:p>
        </w:tc>
      </w:tr>
      <w:tr w:rsidR="00FE7BF2" w:rsidRPr="008656F5" w:rsidTr="00FE7BF2">
        <w:trPr>
          <w:trHeight w:val="405"/>
          <w:jc w:val="center"/>
        </w:trPr>
        <w:tc>
          <w:tcPr>
            <w:tcW w:w="2368" w:type="dxa"/>
            <w:vMerge/>
          </w:tcPr>
          <w:p w:rsidR="00FE7BF2" w:rsidRPr="008656F5" w:rsidRDefault="00FE7BF2" w:rsidP="00B14D73">
            <w:pPr>
              <w:spacing w:line="360" w:lineRule="auto"/>
              <w:rPr>
                <w:rFonts w:asciiTheme="minorEastAsia" w:eastAsiaTheme="minorEastAsia" w:hAnsiTheme="minorEastAsia"/>
                <w:color w:val="000000"/>
                <w:sz w:val="24"/>
                <w:szCs w:val="24"/>
              </w:rPr>
            </w:pPr>
          </w:p>
        </w:tc>
        <w:tc>
          <w:tcPr>
            <w:tcW w:w="2552" w:type="dxa"/>
            <w:vAlign w:val="center"/>
          </w:tcPr>
          <w:p w:rsidR="00FE7BF2" w:rsidRPr="008656F5" w:rsidRDefault="00FE7BF2"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基准日下属分级基金可供分配利润</w:t>
            </w:r>
            <w:r w:rsidRPr="008656F5">
              <w:rPr>
                <w:rFonts w:asciiTheme="minorEastAsia" w:eastAsiaTheme="minorEastAsia" w:hAnsiTheme="minorEastAsia" w:hint="eastAsia"/>
                <w:sz w:val="24"/>
                <w:szCs w:val="24"/>
              </w:rPr>
              <w:t>（单位：</w:t>
            </w:r>
            <w:r w:rsidRPr="008656F5">
              <w:rPr>
                <w:rFonts w:asciiTheme="minorEastAsia" w:eastAsiaTheme="minorEastAsia" w:hAnsiTheme="minorEastAsia" w:hint="eastAsia"/>
                <w:color w:val="000000"/>
                <w:kern w:val="0"/>
                <w:sz w:val="24"/>
                <w:szCs w:val="24"/>
              </w:rPr>
              <w:t>元</w:t>
            </w:r>
            <w:r w:rsidRPr="008656F5">
              <w:rPr>
                <w:rFonts w:asciiTheme="minorEastAsia" w:eastAsiaTheme="minorEastAsia" w:hAnsiTheme="minorEastAsia" w:hint="eastAsia"/>
                <w:sz w:val="24"/>
                <w:szCs w:val="24"/>
              </w:rPr>
              <w:t>）</w:t>
            </w:r>
          </w:p>
        </w:tc>
        <w:tc>
          <w:tcPr>
            <w:tcW w:w="2268" w:type="dxa"/>
          </w:tcPr>
          <w:p w:rsidR="00FE7BF2" w:rsidRPr="008656F5" w:rsidRDefault="00DA3460" w:rsidP="00B14D73">
            <w:pPr>
              <w:spacing w:line="360" w:lineRule="auto"/>
              <w:rPr>
                <w:rFonts w:asciiTheme="minorEastAsia" w:eastAsiaTheme="minorEastAsia" w:hAnsiTheme="minorEastAsia"/>
                <w:sz w:val="24"/>
                <w:szCs w:val="24"/>
              </w:rPr>
            </w:pPr>
            <w:r w:rsidRPr="00DA3460">
              <w:rPr>
                <w:rFonts w:asciiTheme="minorEastAsia" w:eastAsiaTheme="minorEastAsia" w:hAnsiTheme="minorEastAsia"/>
                <w:sz w:val="24"/>
                <w:szCs w:val="24"/>
              </w:rPr>
              <w:t>78,325,339.26</w:t>
            </w:r>
          </w:p>
        </w:tc>
        <w:tc>
          <w:tcPr>
            <w:tcW w:w="2451" w:type="dxa"/>
          </w:tcPr>
          <w:p w:rsidR="00FE7BF2" w:rsidRPr="008656F5" w:rsidRDefault="00DA3460" w:rsidP="00B14D73">
            <w:pPr>
              <w:spacing w:line="360" w:lineRule="auto"/>
              <w:rPr>
                <w:rFonts w:asciiTheme="minorEastAsia" w:eastAsiaTheme="minorEastAsia" w:hAnsiTheme="minorEastAsia"/>
                <w:sz w:val="24"/>
                <w:szCs w:val="24"/>
              </w:rPr>
            </w:pPr>
            <w:r w:rsidRPr="00DA3460">
              <w:rPr>
                <w:rFonts w:asciiTheme="minorEastAsia" w:eastAsiaTheme="minorEastAsia" w:hAnsiTheme="minorEastAsia"/>
                <w:sz w:val="24"/>
                <w:szCs w:val="24"/>
              </w:rPr>
              <w:t>132,155.02</w:t>
            </w:r>
          </w:p>
        </w:tc>
      </w:tr>
      <w:tr w:rsidR="00797EA0" w:rsidTr="00F12599">
        <w:trPr>
          <w:jc w:val="center"/>
        </w:trPr>
        <w:tc>
          <w:tcPr>
            <w:tcW w:w="2368" w:type="dxa"/>
            <w:vMerge/>
          </w:tcPr>
          <w:p w:rsidR="00797EA0" w:rsidRDefault="00797EA0"/>
        </w:tc>
        <w:tc>
          <w:tcPr>
            <w:tcW w:w="2552" w:type="dxa"/>
            <w:vAlign w:val="center"/>
          </w:tcPr>
          <w:p w:rsidR="00797EA0" w:rsidRDefault="00227397" w:rsidP="00941ED5">
            <w:pPr>
              <w:spacing w:line="360" w:lineRule="auto"/>
              <w:jc w:val="left"/>
            </w:pPr>
            <w:r>
              <w:rPr>
                <w:rFonts w:asciiTheme="minorEastAsia" w:eastAsiaTheme="minorEastAsia" w:hAnsiTheme="minorEastAsia"/>
                <w:sz w:val="24"/>
                <w:szCs w:val="24"/>
              </w:rPr>
              <w:t>截止基准日按照基金合同约定的分红比例计算的应分配金额（单</w:t>
            </w:r>
            <w:r>
              <w:rPr>
                <w:rFonts w:asciiTheme="minorEastAsia" w:eastAsiaTheme="minorEastAsia" w:hAnsiTheme="minorEastAsia"/>
                <w:sz w:val="24"/>
                <w:szCs w:val="24"/>
              </w:rPr>
              <w:lastRenderedPageBreak/>
              <w:t>位：元）</w:t>
            </w:r>
          </w:p>
        </w:tc>
        <w:tc>
          <w:tcPr>
            <w:tcW w:w="2268" w:type="dxa"/>
          </w:tcPr>
          <w:p w:rsidR="00025E43" w:rsidRPr="00B908A0" w:rsidRDefault="00DA3460" w:rsidP="00B908A0">
            <w:r w:rsidRPr="00DA3460">
              <w:rPr>
                <w:rFonts w:asciiTheme="minorEastAsia" w:eastAsiaTheme="minorEastAsia" w:hAnsiTheme="minorEastAsia"/>
                <w:sz w:val="24"/>
                <w:szCs w:val="24"/>
              </w:rPr>
              <w:lastRenderedPageBreak/>
              <w:t>62</w:t>
            </w:r>
            <w:r>
              <w:rPr>
                <w:rFonts w:asciiTheme="minorEastAsia" w:eastAsiaTheme="minorEastAsia" w:hAnsiTheme="minorEastAsia"/>
                <w:sz w:val="24"/>
                <w:szCs w:val="24"/>
              </w:rPr>
              <w:t>,</w:t>
            </w:r>
            <w:r w:rsidRPr="00DA3460">
              <w:rPr>
                <w:rFonts w:asciiTheme="minorEastAsia" w:eastAsiaTheme="minorEastAsia" w:hAnsiTheme="minorEastAsia"/>
                <w:sz w:val="24"/>
                <w:szCs w:val="24"/>
              </w:rPr>
              <w:t>660</w:t>
            </w:r>
            <w:r>
              <w:rPr>
                <w:rFonts w:asciiTheme="minorEastAsia" w:eastAsiaTheme="minorEastAsia" w:hAnsiTheme="minorEastAsia"/>
                <w:sz w:val="24"/>
                <w:szCs w:val="24"/>
              </w:rPr>
              <w:t>,</w:t>
            </w:r>
            <w:r w:rsidRPr="00DA3460">
              <w:rPr>
                <w:rFonts w:asciiTheme="minorEastAsia" w:eastAsiaTheme="minorEastAsia" w:hAnsiTheme="minorEastAsia"/>
                <w:sz w:val="24"/>
                <w:szCs w:val="24"/>
              </w:rPr>
              <w:t>271.41</w:t>
            </w:r>
          </w:p>
          <w:p w:rsidR="00797EA0" w:rsidRDefault="00797EA0" w:rsidP="00F12599"/>
        </w:tc>
        <w:tc>
          <w:tcPr>
            <w:tcW w:w="2451" w:type="dxa"/>
          </w:tcPr>
          <w:p w:rsidR="00DA3460" w:rsidRPr="00AE6B89" w:rsidRDefault="00DA3460" w:rsidP="00DA3460">
            <w:pPr>
              <w:widowControl/>
              <w:rPr>
                <w:rFonts w:asciiTheme="minorEastAsia" w:eastAsiaTheme="minorEastAsia" w:hAnsiTheme="minorEastAsia"/>
                <w:sz w:val="24"/>
                <w:szCs w:val="24"/>
              </w:rPr>
            </w:pPr>
            <w:r w:rsidRPr="00AE6B89">
              <w:rPr>
                <w:rFonts w:asciiTheme="minorEastAsia" w:eastAsiaTheme="minorEastAsia" w:hAnsiTheme="minorEastAsia" w:hint="eastAsia"/>
                <w:sz w:val="24"/>
                <w:szCs w:val="24"/>
              </w:rPr>
              <w:t>105</w:t>
            </w:r>
            <w:r>
              <w:rPr>
                <w:rFonts w:asciiTheme="minorEastAsia" w:eastAsiaTheme="minorEastAsia" w:hAnsiTheme="minorEastAsia" w:hint="eastAsia"/>
                <w:sz w:val="24"/>
                <w:szCs w:val="24"/>
              </w:rPr>
              <w:t>,</w:t>
            </w:r>
            <w:r w:rsidRPr="00AE6B89">
              <w:rPr>
                <w:rFonts w:asciiTheme="minorEastAsia" w:eastAsiaTheme="minorEastAsia" w:hAnsiTheme="minorEastAsia" w:hint="eastAsia"/>
                <w:sz w:val="24"/>
                <w:szCs w:val="24"/>
              </w:rPr>
              <w:t>724.02</w:t>
            </w:r>
          </w:p>
          <w:p w:rsidR="00025E43" w:rsidRPr="00B908A0" w:rsidRDefault="00025E43" w:rsidP="00025E43">
            <w:pPr>
              <w:widowControl/>
              <w:rPr>
                <w:rFonts w:asciiTheme="minorEastAsia" w:eastAsiaTheme="minorEastAsia" w:hAnsiTheme="minorEastAsia"/>
                <w:sz w:val="24"/>
                <w:szCs w:val="24"/>
              </w:rPr>
            </w:pPr>
          </w:p>
          <w:p w:rsidR="00612543" w:rsidRPr="0031593F" w:rsidRDefault="00612543" w:rsidP="00696818">
            <w:pPr>
              <w:widowControl/>
              <w:rPr>
                <w:rFonts w:asciiTheme="minorEastAsia" w:eastAsiaTheme="minorEastAsia" w:hAnsiTheme="minorEastAsia"/>
                <w:sz w:val="24"/>
                <w:szCs w:val="24"/>
              </w:rPr>
            </w:pPr>
          </w:p>
          <w:p w:rsidR="00797EA0" w:rsidRDefault="00797EA0" w:rsidP="00696818"/>
        </w:tc>
      </w:tr>
      <w:tr w:rsidR="00FE7BF2" w:rsidRPr="008656F5" w:rsidTr="00FE7BF2">
        <w:trPr>
          <w:jc w:val="center"/>
        </w:trPr>
        <w:tc>
          <w:tcPr>
            <w:tcW w:w="4920" w:type="dxa"/>
            <w:gridSpan w:val="2"/>
          </w:tcPr>
          <w:p w:rsidR="00FE7BF2" w:rsidRPr="008656F5" w:rsidRDefault="00FE7BF2" w:rsidP="0061143B">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lastRenderedPageBreak/>
              <w:t>本次下属分级基金分红方案（单位：元/10份基金份额）</w:t>
            </w:r>
          </w:p>
        </w:tc>
        <w:tc>
          <w:tcPr>
            <w:tcW w:w="2268" w:type="dxa"/>
          </w:tcPr>
          <w:p w:rsidR="00FE7BF2" w:rsidRPr="008656F5" w:rsidRDefault="00FE7BF2" w:rsidP="0061143B">
            <w:pPr>
              <w:spacing w:line="360" w:lineRule="auto"/>
              <w:rPr>
                <w:rFonts w:asciiTheme="minorEastAsia" w:eastAsiaTheme="minorEastAsia" w:hAnsiTheme="minorEastAsia"/>
                <w:sz w:val="24"/>
                <w:szCs w:val="24"/>
              </w:rPr>
            </w:pPr>
            <w:r w:rsidRPr="008656F5">
              <w:rPr>
                <w:rFonts w:asciiTheme="minorEastAsia" w:eastAsiaTheme="minorEastAsia" w:hAnsiTheme="minorEastAsia" w:hint="eastAsia"/>
                <w:sz w:val="24"/>
                <w:szCs w:val="24"/>
              </w:rPr>
              <w:t>0.</w:t>
            </w:r>
            <w:r w:rsidR="00291A69">
              <w:rPr>
                <w:rFonts w:asciiTheme="minorEastAsia" w:eastAsiaTheme="minorEastAsia" w:hAnsiTheme="minorEastAsia"/>
                <w:sz w:val="24"/>
                <w:szCs w:val="24"/>
              </w:rPr>
              <w:t>47</w:t>
            </w:r>
          </w:p>
        </w:tc>
        <w:tc>
          <w:tcPr>
            <w:tcW w:w="2451" w:type="dxa"/>
          </w:tcPr>
          <w:p w:rsidR="00FE7BF2" w:rsidRPr="008656F5" w:rsidRDefault="00FE7BF2" w:rsidP="0061143B">
            <w:pPr>
              <w:spacing w:line="360" w:lineRule="auto"/>
              <w:rPr>
                <w:rFonts w:asciiTheme="minorEastAsia" w:eastAsiaTheme="minorEastAsia" w:hAnsiTheme="minorEastAsia"/>
                <w:sz w:val="24"/>
                <w:szCs w:val="24"/>
              </w:rPr>
            </w:pPr>
            <w:r w:rsidRPr="008656F5">
              <w:rPr>
                <w:rFonts w:asciiTheme="minorEastAsia" w:eastAsiaTheme="minorEastAsia" w:hAnsiTheme="minorEastAsia" w:hint="eastAsia"/>
                <w:sz w:val="24"/>
                <w:szCs w:val="24"/>
              </w:rPr>
              <w:t>0.</w:t>
            </w:r>
            <w:r w:rsidR="00291A69">
              <w:rPr>
                <w:rFonts w:asciiTheme="minorEastAsia" w:eastAsiaTheme="minorEastAsia" w:hAnsiTheme="minorEastAsia"/>
                <w:sz w:val="24"/>
                <w:szCs w:val="24"/>
              </w:rPr>
              <w:t>40</w:t>
            </w:r>
          </w:p>
        </w:tc>
      </w:tr>
    </w:tbl>
    <w:p w:rsidR="00893436" w:rsidRPr="008656F5" w:rsidRDefault="00D82096" w:rsidP="004546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注：</w:t>
      </w:r>
      <w:r w:rsidR="00F45E48" w:rsidRPr="008656F5">
        <w:rPr>
          <w:rFonts w:asciiTheme="minorEastAsia" w:eastAsiaTheme="minorEastAsia" w:hAnsiTheme="minorEastAsia"/>
          <w:sz w:val="24"/>
          <w:szCs w:val="24"/>
        </w:rPr>
        <w:t>根据本基金《基金合同》的约定，</w:t>
      </w:r>
      <w:r w:rsidR="00454618" w:rsidRPr="00454618">
        <w:rPr>
          <w:rFonts w:asciiTheme="minorEastAsia" w:eastAsiaTheme="minorEastAsia" w:hAnsiTheme="minorEastAsia" w:hint="eastAsia"/>
          <w:sz w:val="24"/>
          <w:szCs w:val="24"/>
        </w:rPr>
        <w:t>在符合有关基金分红条件的前提下，本基金每年收益分配次数最少为1次，最多为12次，每次分配比例不低于收益分配基准日可供分配利润的80%。若《基金合同》生效不满3个月可不进行收益分配。</w:t>
      </w:r>
    </w:p>
    <w:p w:rsidR="00893436" w:rsidRPr="008656F5" w:rsidRDefault="00893436" w:rsidP="00B14D73">
      <w:pPr>
        <w:pStyle w:val="2"/>
        <w:spacing w:line="360" w:lineRule="auto"/>
        <w:rPr>
          <w:rFonts w:asciiTheme="minorEastAsia" w:eastAsiaTheme="minorEastAsia" w:hAnsiTheme="minorEastAsia"/>
          <w:bCs w:val="0"/>
          <w:color w:val="000000"/>
          <w:sz w:val="24"/>
          <w:szCs w:val="24"/>
        </w:rPr>
      </w:pPr>
      <w:bookmarkStart w:id="1" w:name="_Toc275961419"/>
      <w:r w:rsidRPr="008656F5">
        <w:rPr>
          <w:rFonts w:asciiTheme="minorEastAsia" w:eastAsiaTheme="minorEastAsia" w:hAnsiTheme="minorEastAsia"/>
          <w:bCs w:val="0"/>
          <w:color w:val="000000"/>
          <w:sz w:val="24"/>
          <w:szCs w:val="24"/>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8656F5" w:rsidTr="0083403A">
        <w:trPr>
          <w:jc w:val="center"/>
        </w:trPr>
        <w:tc>
          <w:tcPr>
            <w:tcW w:w="4355" w:type="dxa"/>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权益登记日</w:t>
            </w:r>
          </w:p>
        </w:tc>
        <w:tc>
          <w:tcPr>
            <w:tcW w:w="4355" w:type="dxa"/>
          </w:tcPr>
          <w:p w:rsidR="00893436" w:rsidRPr="008656F5" w:rsidRDefault="00454618"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20</w:t>
            </w:r>
            <w:r>
              <w:rPr>
                <w:rFonts w:asciiTheme="minorEastAsia" w:eastAsiaTheme="minorEastAsia" w:hAnsiTheme="minorEastAsia"/>
                <w:sz w:val="24"/>
                <w:szCs w:val="24"/>
              </w:rPr>
              <w:t>26</w:t>
            </w:r>
            <w:r w:rsidRPr="008656F5">
              <w:rPr>
                <w:rFonts w:asciiTheme="minorEastAsia" w:eastAsiaTheme="minorEastAsia" w:hAnsiTheme="minorEastAsia"/>
                <w:sz w:val="24"/>
                <w:szCs w:val="24"/>
              </w:rPr>
              <w:t>年1月</w:t>
            </w:r>
            <w:r>
              <w:rPr>
                <w:rFonts w:asciiTheme="minorEastAsia" w:eastAsiaTheme="minorEastAsia" w:hAnsiTheme="minorEastAsia"/>
                <w:sz w:val="24"/>
                <w:szCs w:val="24"/>
              </w:rPr>
              <w:t>20</w:t>
            </w:r>
            <w:r w:rsidR="00362297" w:rsidRPr="008656F5">
              <w:rPr>
                <w:rFonts w:asciiTheme="minorEastAsia" w:eastAsiaTheme="minorEastAsia" w:hAnsiTheme="minorEastAsia"/>
                <w:sz w:val="24"/>
                <w:szCs w:val="24"/>
              </w:rPr>
              <w:t>日</w:t>
            </w:r>
          </w:p>
        </w:tc>
      </w:tr>
      <w:tr w:rsidR="00612543" w:rsidRPr="008656F5" w:rsidTr="00612543">
        <w:trPr>
          <w:jc w:val="center"/>
        </w:trPr>
        <w:tc>
          <w:tcPr>
            <w:tcW w:w="4355" w:type="dxa"/>
          </w:tcPr>
          <w:p w:rsidR="0099338F" w:rsidRPr="008656F5" w:rsidRDefault="0099338F"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除息日</w:t>
            </w:r>
          </w:p>
        </w:tc>
        <w:tc>
          <w:tcPr>
            <w:tcW w:w="8710" w:type="dxa"/>
          </w:tcPr>
          <w:p w:rsidR="0099338F" w:rsidRPr="008656F5" w:rsidRDefault="00454618" w:rsidP="006D2BF1">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20</w:t>
            </w:r>
            <w:r>
              <w:rPr>
                <w:rFonts w:asciiTheme="minorEastAsia" w:eastAsiaTheme="minorEastAsia" w:hAnsiTheme="minorEastAsia"/>
                <w:sz w:val="24"/>
                <w:szCs w:val="24"/>
              </w:rPr>
              <w:t>26</w:t>
            </w:r>
            <w:r w:rsidRPr="008656F5">
              <w:rPr>
                <w:rFonts w:asciiTheme="minorEastAsia" w:eastAsiaTheme="minorEastAsia" w:hAnsiTheme="minorEastAsia"/>
                <w:sz w:val="24"/>
                <w:szCs w:val="24"/>
              </w:rPr>
              <w:t>年1月</w:t>
            </w:r>
            <w:r>
              <w:rPr>
                <w:rFonts w:asciiTheme="minorEastAsia" w:eastAsiaTheme="minorEastAsia" w:hAnsiTheme="minorEastAsia"/>
                <w:sz w:val="24"/>
                <w:szCs w:val="24"/>
              </w:rPr>
              <w:t>20</w:t>
            </w:r>
            <w:r w:rsidR="00356B19" w:rsidRPr="008656F5">
              <w:rPr>
                <w:rFonts w:asciiTheme="minorEastAsia" w:eastAsiaTheme="minorEastAsia" w:hAnsiTheme="minorEastAsia"/>
                <w:sz w:val="24"/>
                <w:szCs w:val="24"/>
              </w:rPr>
              <w:t>日</w:t>
            </w:r>
          </w:p>
        </w:tc>
      </w:tr>
      <w:tr w:rsidR="00893436" w:rsidRPr="008656F5" w:rsidTr="0083403A">
        <w:trPr>
          <w:jc w:val="center"/>
        </w:trPr>
        <w:tc>
          <w:tcPr>
            <w:tcW w:w="4355" w:type="dxa"/>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现金红利发放日</w:t>
            </w:r>
          </w:p>
        </w:tc>
        <w:tc>
          <w:tcPr>
            <w:tcW w:w="4355" w:type="dxa"/>
          </w:tcPr>
          <w:p w:rsidR="00893436" w:rsidRPr="008656F5" w:rsidRDefault="00454618"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20</w:t>
            </w:r>
            <w:r>
              <w:rPr>
                <w:rFonts w:asciiTheme="minorEastAsia" w:eastAsiaTheme="minorEastAsia" w:hAnsiTheme="minorEastAsia"/>
                <w:sz w:val="24"/>
                <w:szCs w:val="24"/>
              </w:rPr>
              <w:t>26</w:t>
            </w:r>
            <w:r w:rsidRPr="008656F5">
              <w:rPr>
                <w:rFonts w:asciiTheme="minorEastAsia" w:eastAsiaTheme="minorEastAsia" w:hAnsiTheme="minorEastAsia"/>
                <w:sz w:val="24"/>
                <w:szCs w:val="24"/>
              </w:rPr>
              <w:t>年1月</w:t>
            </w:r>
            <w:r>
              <w:rPr>
                <w:rFonts w:asciiTheme="minorEastAsia" w:eastAsiaTheme="minorEastAsia" w:hAnsiTheme="minorEastAsia"/>
                <w:sz w:val="24"/>
                <w:szCs w:val="24"/>
              </w:rPr>
              <w:t>21</w:t>
            </w:r>
            <w:r w:rsidR="00027A45" w:rsidRPr="008656F5">
              <w:rPr>
                <w:rFonts w:asciiTheme="minorEastAsia" w:eastAsiaTheme="minorEastAsia" w:hAnsiTheme="minorEastAsia"/>
                <w:sz w:val="24"/>
                <w:szCs w:val="24"/>
              </w:rPr>
              <w:t>日</w:t>
            </w:r>
          </w:p>
        </w:tc>
      </w:tr>
      <w:tr w:rsidR="00893436" w:rsidRPr="008656F5" w:rsidTr="0083403A">
        <w:trPr>
          <w:jc w:val="center"/>
        </w:trPr>
        <w:tc>
          <w:tcPr>
            <w:tcW w:w="4355" w:type="dxa"/>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分红对象</w:t>
            </w:r>
          </w:p>
        </w:tc>
        <w:tc>
          <w:tcPr>
            <w:tcW w:w="4355" w:type="dxa"/>
            <w:shd w:val="clear" w:color="auto" w:fill="auto"/>
          </w:tcPr>
          <w:p w:rsidR="00893436" w:rsidRPr="008656F5" w:rsidRDefault="00BA7F58"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权益登记日在国联安基金管理有限公司登记在册的本基金全体</w:t>
            </w:r>
            <w:r w:rsidR="006A5DBB">
              <w:rPr>
                <w:rFonts w:asciiTheme="minorEastAsia" w:eastAsiaTheme="minorEastAsia" w:hAnsiTheme="minorEastAsia" w:hint="eastAsia"/>
                <w:sz w:val="24"/>
                <w:szCs w:val="24"/>
              </w:rPr>
              <w:t>基金份额</w:t>
            </w:r>
            <w:r w:rsidRPr="008656F5">
              <w:rPr>
                <w:rFonts w:asciiTheme="minorEastAsia" w:eastAsiaTheme="minorEastAsia" w:hAnsiTheme="minorEastAsia"/>
                <w:sz w:val="24"/>
                <w:szCs w:val="24"/>
              </w:rPr>
              <w:t>持有人</w:t>
            </w:r>
          </w:p>
        </w:tc>
      </w:tr>
      <w:tr w:rsidR="00893436" w:rsidRPr="008656F5" w:rsidTr="0083403A">
        <w:trPr>
          <w:jc w:val="center"/>
        </w:trPr>
        <w:tc>
          <w:tcPr>
            <w:tcW w:w="4355" w:type="dxa"/>
            <w:shd w:val="clear" w:color="auto" w:fill="auto"/>
            <w:vAlign w:val="center"/>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红利再投资相关事项的说明</w:t>
            </w:r>
          </w:p>
        </w:tc>
        <w:tc>
          <w:tcPr>
            <w:tcW w:w="4355" w:type="dxa"/>
            <w:shd w:val="clear" w:color="auto" w:fill="auto"/>
          </w:tcPr>
          <w:p w:rsidR="00797EA0" w:rsidRDefault="00227397">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选择红利再投资方式的投资者红利再投资所得的基金份额将按</w:t>
            </w:r>
            <w:r w:rsidR="00AE6B89">
              <w:rPr>
                <w:rFonts w:asciiTheme="minorEastAsia" w:eastAsiaTheme="minorEastAsia" w:hAnsiTheme="minorEastAsia" w:hint="eastAsia"/>
                <w:sz w:val="24"/>
                <w:szCs w:val="24"/>
              </w:rPr>
              <w:t>202</w:t>
            </w:r>
            <w:r w:rsidR="00AE6B89">
              <w:rPr>
                <w:rFonts w:asciiTheme="minorEastAsia" w:eastAsiaTheme="minorEastAsia" w:hAnsiTheme="minorEastAsia"/>
                <w:sz w:val="24"/>
                <w:szCs w:val="24"/>
              </w:rPr>
              <w:t>6</w:t>
            </w:r>
            <w:r w:rsidR="00FB2F8A" w:rsidRPr="00FF2C51">
              <w:rPr>
                <w:rFonts w:asciiTheme="minorEastAsia" w:eastAsiaTheme="minorEastAsia" w:hAnsiTheme="minorEastAsia" w:hint="eastAsia"/>
                <w:sz w:val="24"/>
                <w:szCs w:val="24"/>
              </w:rPr>
              <w:t>年</w:t>
            </w:r>
            <w:r w:rsidR="00FB2F8A">
              <w:rPr>
                <w:rFonts w:asciiTheme="minorEastAsia" w:eastAsiaTheme="minorEastAsia" w:hAnsiTheme="minorEastAsia" w:hint="eastAsia"/>
                <w:sz w:val="24"/>
                <w:szCs w:val="24"/>
              </w:rPr>
              <w:t>1</w:t>
            </w:r>
            <w:r w:rsidR="00FB2F8A" w:rsidRPr="00FF2C51">
              <w:rPr>
                <w:rFonts w:asciiTheme="minorEastAsia" w:eastAsiaTheme="minorEastAsia" w:hAnsiTheme="minorEastAsia" w:hint="eastAsia"/>
                <w:sz w:val="24"/>
                <w:szCs w:val="24"/>
              </w:rPr>
              <w:t>月</w:t>
            </w:r>
            <w:r w:rsidR="00AE6B89">
              <w:rPr>
                <w:rFonts w:asciiTheme="minorEastAsia" w:eastAsiaTheme="minorEastAsia" w:hAnsiTheme="minorEastAsia"/>
                <w:sz w:val="24"/>
                <w:szCs w:val="24"/>
              </w:rPr>
              <w:t>20</w:t>
            </w:r>
            <w:r w:rsidR="00027A45" w:rsidRPr="00FF2C51">
              <w:rPr>
                <w:rFonts w:asciiTheme="minorEastAsia" w:eastAsiaTheme="minorEastAsia" w:hAnsiTheme="minorEastAsia" w:hint="eastAsia"/>
                <w:sz w:val="24"/>
                <w:szCs w:val="24"/>
              </w:rPr>
              <w:t>日</w:t>
            </w:r>
            <w:r>
              <w:rPr>
                <w:rFonts w:asciiTheme="minorEastAsia" w:eastAsiaTheme="minorEastAsia" w:hAnsiTheme="minorEastAsia"/>
                <w:sz w:val="24"/>
                <w:szCs w:val="24"/>
              </w:rPr>
              <w:t>的基金份额净值计算确定，红利再投资所得份额的持有期限自份额确认日开始计算。选择红利再投资方式的投资者其红利再投资的基金份额将于</w:t>
            </w:r>
            <w:r w:rsidR="00AE6B89">
              <w:rPr>
                <w:rFonts w:asciiTheme="minorEastAsia" w:eastAsiaTheme="minorEastAsia" w:hAnsiTheme="minorEastAsia"/>
                <w:sz w:val="24"/>
                <w:szCs w:val="24"/>
              </w:rPr>
              <w:t>2026</w:t>
            </w:r>
            <w:r w:rsidR="00FB2F8A">
              <w:rPr>
                <w:rFonts w:asciiTheme="minorEastAsia" w:eastAsiaTheme="minorEastAsia" w:hAnsiTheme="minorEastAsia"/>
                <w:sz w:val="24"/>
                <w:szCs w:val="24"/>
              </w:rPr>
              <w:t>年1月</w:t>
            </w:r>
            <w:r w:rsidR="00AE6B89">
              <w:rPr>
                <w:rFonts w:asciiTheme="minorEastAsia" w:eastAsiaTheme="minorEastAsia" w:hAnsiTheme="minorEastAsia"/>
                <w:sz w:val="24"/>
                <w:szCs w:val="24"/>
              </w:rPr>
              <w:t>21</w:t>
            </w:r>
            <w:r>
              <w:rPr>
                <w:rFonts w:asciiTheme="minorEastAsia" w:eastAsiaTheme="minorEastAsia" w:hAnsiTheme="minorEastAsia"/>
                <w:sz w:val="24"/>
                <w:szCs w:val="24"/>
              </w:rPr>
              <w:t>日直接计入其基金账户，自</w:t>
            </w:r>
            <w:r w:rsidR="00AE6B89">
              <w:rPr>
                <w:rFonts w:asciiTheme="minorEastAsia" w:eastAsiaTheme="minorEastAsia" w:hAnsiTheme="minorEastAsia"/>
                <w:sz w:val="24"/>
                <w:szCs w:val="24"/>
              </w:rPr>
              <w:t>2026年1月22</w:t>
            </w:r>
            <w:r>
              <w:rPr>
                <w:rFonts w:asciiTheme="minorEastAsia" w:eastAsiaTheme="minorEastAsia" w:hAnsiTheme="minorEastAsia"/>
                <w:sz w:val="24"/>
                <w:szCs w:val="24"/>
              </w:rPr>
              <w:t>日起投资者可以查询、赎回。</w:t>
            </w:r>
          </w:p>
          <w:p w:rsidR="00893436" w:rsidRPr="008656F5" w:rsidRDefault="00BA7F58"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权益登记日之前（不含权益登记日）办理了转托管转出尚未办理转托管转入的基金份额，其分红方式按照红利再投资处理，所转出的基金份额待转托管转入确认后与红利再投资所得份额一并划转。</w:t>
            </w:r>
          </w:p>
        </w:tc>
      </w:tr>
      <w:tr w:rsidR="00893436" w:rsidRPr="008656F5" w:rsidTr="0083403A">
        <w:trPr>
          <w:jc w:val="center"/>
        </w:trPr>
        <w:tc>
          <w:tcPr>
            <w:tcW w:w="4355" w:type="dxa"/>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税收相关事项的说明</w:t>
            </w:r>
          </w:p>
        </w:tc>
        <w:tc>
          <w:tcPr>
            <w:tcW w:w="4355" w:type="dxa"/>
            <w:shd w:val="clear" w:color="auto" w:fill="auto"/>
          </w:tcPr>
          <w:p w:rsidR="00893436" w:rsidRPr="008656F5" w:rsidRDefault="00BA7F58"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根据财政部、国家税务总局的相关规定，基金向投资者分配的基金收益，暂免征收所得税。</w:t>
            </w:r>
          </w:p>
        </w:tc>
      </w:tr>
      <w:tr w:rsidR="00893436" w:rsidRPr="008656F5" w:rsidTr="0083403A">
        <w:trPr>
          <w:jc w:val="center"/>
        </w:trPr>
        <w:tc>
          <w:tcPr>
            <w:tcW w:w="4355" w:type="dxa"/>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费用相关事项的说明</w:t>
            </w:r>
          </w:p>
        </w:tc>
        <w:tc>
          <w:tcPr>
            <w:tcW w:w="4355" w:type="dxa"/>
            <w:shd w:val="clear" w:color="auto" w:fill="auto"/>
          </w:tcPr>
          <w:p w:rsidR="00893436" w:rsidRPr="008656F5" w:rsidRDefault="00BA7F58"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本基金本次分红免收分红手续费。选择红利再投资方式的投资者其红利再投资所得的基金份额免收申购费用。</w:t>
            </w:r>
          </w:p>
        </w:tc>
      </w:tr>
    </w:tbl>
    <w:p w:rsidR="00797EA0" w:rsidRDefault="00227397">
      <w:pPr>
        <w:spacing w:line="360" w:lineRule="auto"/>
        <w:rPr>
          <w:rFonts w:asciiTheme="minorEastAsia" w:eastAsiaTheme="minorEastAsia" w:hAnsiTheme="minorEastAsia"/>
          <w:color w:val="000000"/>
          <w:sz w:val="24"/>
          <w:szCs w:val="24"/>
        </w:rPr>
      </w:pPr>
      <w:r>
        <w:rPr>
          <w:rFonts w:asciiTheme="minorEastAsia" w:eastAsiaTheme="minorEastAsia" w:hAnsiTheme="minorEastAsia"/>
          <w:sz w:val="24"/>
          <w:szCs w:val="24"/>
        </w:rPr>
        <w:t>注：（1）现金红利款将于</w:t>
      </w:r>
      <w:r w:rsidR="00AE6B89">
        <w:rPr>
          <w:rFonts w:asciiTheme="minorEastAsia" w:eastAsiaTheme="minorEastAsia" w:hAnsiTheme="minorEastAsia"/>
          <w:sz w:val="24"/>
          <w:szCs w:val="24"/>
        </w:rPr>
        <w:t>2026</w:t>
      </w:r>
      <w:r w:rsidR="00FB2F8A">
        <w:rPr>
          <w:rFonts w:asciiTheme="minorEastAsia" w:eastAsiaTheme="minorEastAsia" w:hAnsiTheme="minorEastAsia"/>
          <w:sz w:val="24"/>
          <w:szCs w:val="24"/>
        </w:rPr>
        <w:t>年1月</w:t>
      </w:r>
      <w:r w:rsidR="00AE6B89">
        <w:rPr>
          <w:rFonts w:asciiTheme="minorEastAsia" w:eastAsiaTheme="minorEastAsia" w:hAnsiTheme="minorEastAsia"/>
          <w:sz w:val="24"/>
          <w:szCs w:val="24"/>
        </w:rPr>
        <w:t>21</w:t>
      </w:r>
      <w:r>
        <w:rPr>
          <w:rFonts w:asciiTheme="minorEastAsia" w:eastAsiaTheme="minorEastAsia" w:hAnsiTheme="minorEastAsia"/>
          <w:sz w:val="24"/>
          <w:szCs w:val="24"/>
        </w:rPr>
        <w:t>日自基金托管账户划出。</w:t>
      </w:r>
    </w:p>
    <w:p w:rsidR="009762F5" w:rsidRPr="00F12599" w:rsidRDefault="00284B1B" w:rsidP="0083403A">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（2）冻结基金份额的红利发放按照《国联安基金管理有限公司开放式基金业务</w:t>
      </w:r>
      <w:r w:rsidRPr="008656F5">
        <w:rPr>
          <w:rFonts w:asciiTheme="minorEastAsia" w:eastAsiaTheme="minorEastAsia" w:hAnsiTheme="minorEastAsia"/>
          <w:sz w:val="24"/>
          <w:szCs w:val="24"/>
        </w:rPr>
        <w:lastRenderedPageBreak/>
        <w:t>规则》的相关规定处理。</w:t>
      </w:r>
    </w:p>
    <w:p w:rsidR="00893436" w:rsidRPr="008656F5" w:rsidRDefault="00893436" w:rsidP="00F12599">
      <w:pPr>
        <w:pStyle w:val="2"/>
        <w:spacing w:line="360" w:lineRule="auto"/>
        <w:rPr>
          <w:rFonts w:asciiTheme="minorEastAsia" w:eastAsiaTheme="minorEastAsia" w:hAnsiTheme="minorEastAsia"/>
          <w:bCs w:val="0"/>
          <w:color w:val="000000"/>
          <w:sz w:val="24"/>
          <w:szCs w:val="24"/>
        </w:rPr>
      </w:pPr>
      <w:bookmarkStart w:id="2" w:name="_Toc275961420"/>
      <w:r w:rsidRPr="008656F5">
        <w:rPr>
          <w:rFonts w:asciiTheme="minorEastAsia" w:eastAsiaTheme="minorEastAsia" w:hAnsiTheme="minorEastAsia"/>
          <w:bCs w:val="0"/>
          <w:color w:val="000000"/>
          <w:sz w:val="24"/>
          <w:szCs w:val="24"/>
        </w:rPr>
        <w:t>3 其他需要提示的事项</w:t>
      </w:r>
      <w:bookmarkEnd w:id="2"/>
    </w:p>
    <w:p w:rsidR="00797EA0" w:rsidRDefault="0022739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（1）权益登记日当日申请申购或转换转入的基金份额不享有本次分红权益，权益登记日当日申请赎回或转换转出的基金份额享有本次分红权益。</w:t>
      </w:r>
    </w:p>
    <w:p w:rsidR="00797EA0" w:rsidRDefault="0022739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（2）本基金分红方式分为两种：现金分红与红利再投资。基金份额持有人可以在基金开放日的交易时间内到相关销售网点选择或更改分红方式，本次分红最终分红方式以权益登记日之前（不含</w:t>
      </w:r>
      <w:r w:rsidR="00AE6B89">
        <w:rPr>
          <w:rFonts w:asciiTheme="minorEastAsia" w:eastAsiaTheme="minorEastAsia" w:hAnsiTheme="minorEastAsia"/>
          <w:sz w:val="24"/>
          <w:szCs w:val="24"/>
        </w:rPr>
        <w:t>2026年1月20</w:t>
      </w:r>
      <w:r>
        <w:rPr>
          <w:rFonts w:asciiTheme="minorEastAsia" w:eastAsiaTheme="minorEastAsia" w:hAnsiTheme="minorEastAsia"/>
          <w:sz w:val="24"/>
          <w:szCs w:val="24"/>
        </w:rPr>
        <w:t>日）最后一次选择或更改并经注册登记机构确认的分红方式为准。敬请基金份额持有人及时到相关销售网点查询分红方式；若希望更改分红方式的，请务必在规定的时间前到相关销售网点办理变更手续。对于未在权益登记日之前选择具体分红方式的基金份额持有人，本基金默认的分红方式为现金分红方式。</w:t>
      </w:r>
    </w:p>
    <w:p w:rsidR="00797EA0" w:rsidRDefault="0022739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（3）本次分红不会改变本基金的风险收益特征，也不会降低本基金的投资风险或提高本基金的投资收益。</w:t>
      </w:r>
    </w:p>
    <w:p w:rsidR="00797EA0" w:rsidRDefault="0022739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（4）因分红导致基金份额净值调整至面值附近，在市场波动等因素的影响下，基金投资仍有可能出现亏损或基金份额净值仍有可能低于面值。</w:t>
      </w:r>
    </w:p>
    <w:p w:rsidR="00797EA0" w:rsidRDefault="0022739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（5）咨询办法 </w:t>
      </w:r>
    </w:p>
    <w:p w:rsidR="00797EA0" w:rsidRDefault="0022739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①本基金管理人网站：</w:t>
      </w:r>
      <w:r w:rsidR="00FF0AD1">
        <w:rPr>
          <w:rFonts w:asciiTheme="minorEastAsia" w:eastAsiaTheme="minorEastAsia" w:hAnsiTheme="minorEastAsia"/>
          <w:sz w:val="24"/>
          <w:szCs w:val="24"/>
        </w:rPr>
        <w:t>www.</w:t>
      </w:r>
      <w:r w:rsidR="00FF0AD1">
        <w:rPr>
          <w:rFonts w:asciiTheme="minorEastAsia" w:eastAsiaTheme="minorEastAsia" w:hAnsiTheme="minorEastAsia" w:hint="eastAsia"/>
          <w:sz w:val="24"/>
          <w:szCs w:val="24"/>
        </w:rPr>
        <w:t>cpicfunds</w:t>
      </w:r>
      <w:r w:rsidR="00FF0AD1">
        <w:rPr>
          <w:rFonts w:asciiTheme="minorEastAsia" w:eastAsiaTheme="minorEastAsia" w:hAnsiTheme="minorEastAsia"/>
          <w:sz w:val="24"/>
          <w:szCs w:val="24"/>
        </w:rPr>
        <w:t>.com</w:t>
      </w:r>
      <w:r>
        <w:rPr>
          <w:rFonts w:asciiTheme="minorEastAsia" w:eastAsiaTheme="minorEastAsia" w:hAnsiTheme="minorEastAsia"/>
          <w:sz w:val="24"/>
          <w:szCs w:val="24"/>
        </w:rPr>
        <w:t>。</w:t>
      </w:r>
    </w:p>
    <w:p w:rsidR="00FF0AD1" w:rsidRDefault="00FF0AD1" w:rsidP="00FF0AD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②本基金管理人客户服务电话：021-38784766，</w:t>
      </w:r>
      <w:r w:rsidR="00BD5DC9" w:rsidRPr="00BD5DC9">
        <w:rPr>
          <w:rFonts w:asciiTheme="minorEastAsia" w:eastAsiaTheme="minorEastAsia" w:hAnsiTheme="minorEastAsia"/>
          <w:sz w:val="24"/>
          <w:szCs w:val="24"/>
        </w:rPr>
        <w:t>400-700-0365</w:t>
      </w:r>
      <w:r>
        <w:rPr>
          <w:rFonts w:asciiTheme="minorEastAsia" w:eastAsiaTheme="minorEastAsia" w:hAnsiTheme="minorEastAsia"/>
          <w:sz w:val="24"/>
          <w:szCs w:val="24"/>
        </w:rPr>
        <w:t>（免长途话费）。</w:t>
      </w:r>
    </w:p>
    <w:p w:rsidR="00FF0AD1" w:rsidRDefault="00FF0AD1" w:rsidP="00FF0AD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（6）风险提示：本基金管理人承诺以诚实信用、勤勉尽责的原则管理和运用基金财产，但不保证基金一定盈利，也不保证最低收益。基金的过往业绩并不代表其</w:t>
      </w:r>
      <w:r>
        <w:rPr>
          <w:rFonts w:asciiTheme="minorEastAsia" w:eastAsiaTheme="minorEastAsia" w:hAnsiTheme="minorEastAsia" w:hint="eastAsia"/>
          <w:sz w:val="24"/>
          <w:szCs w:val="24"/>
        </w:rPr>
        <w:t>未来</w:t>
      </w:r>
      <w:r>
        <w:rPr>
          <w:rFonts w:asciiTheme="minorEastAsia" w:eastAsiaTheme="minorEastAsia" w:hAnsiTheme="minorEastAsia"/>
          <w:sz w:val="24"/>
          <w:szCs w:val="24"/>
        </w:rPr>
        <w:t>表现</w:t>
      </w:r>
      <w:r w:rsidR="00FB2F8A">
        <w:rPr>
          <w:rFonts w:asciiTheme="minorEastAsia" w:eastAsiaTheme="minorEastAsia" w:hAnsiTheme="minorEastAsia" w:hint="eastAsia"/>
          <w:sz w:val="24"/>
          <w:szCs w:val="24"/>
        </w:rPr>
        <w:t>，</w:t>
      </w:r>
      <w:r w:rsidRPr="00B40FB5">
        <w:rPr>
          <w:rFonts w:asciiTheme="minorEastAsia" w:eastAsiaTheme="minorEastAsia" w:hAnsiTheme="minorEastAsia" w:hint="eastAsia"/>
          <w:sz w:val="24"/>
          <w:szCs w:val="24"/>
        </w:rPr>
        <w:t>基金管理人管理的其他基金的业绩并不构成</w:t>
      </w:r>
      <w:r>
        <w:rPr>
          <w:rFonts w:asciiTheme="minorEastAsia" w:eastAsiaTheme="minorEastAsia" w:hAnsiTheme="minorEastAsia" w:hint="eastAsia"/>
          <w:sz w:val="24"/>
          <w:szCs w:val="24"/>
        </w:rPr>
        <w:t>本</w:t>
      </w:r>
      <w:r w:rsidRPr="00B40FB5">
        <w:rPr>
          <w:rFonts w:asciiTheme="minorEastAsia" w:eastAsiaTheme="minorEastAsia" w:hAnsiTheme="minorEastAsia" w:hint="eastAsia"/>
          <w:sz w:val="24"/>
          <w:szCs w:val="24"/>
        </w:rPr>
        <w:t>基金业绩表现的保证。</w:t>
      </w:r>
      <w:r>
        <w:rPr>
          <w:rFonts w:asciiTheme="minorEastAsia" w:eastAsiaTheme="minorEastAsia" w:hAnsiTheme="minorEastAsia"/>
          <w:sz w:val="24"/>
          <w:szCs w:val="24"/>
        </w:rPr>
        <w:t>投资有风险，敬请投资</w:t>
      </w:r>
      <w:r w:rsidR="003D639E">
        <w:rPr>
          <w:rFonts w:asciiTheme="minorEastAsia" w:eastAsiaTheme="minorEastAsia" w:hAnsiTheme="minorEastAsia" w:hint="eastAsia"/>
          <w:sz w:val="24"/>
          <w:szCs w:val="24"/>
        </w:rPr>
        <w:t>者</w:t>
      </w:r>
      <w:bookmarkStart w:id="3" w:name="_GoBack"/>
      <w:bookmarkEnd w:id="3"/>
      <w:r>
        <w:rPr>
          <w:rFonts w:asciiTheme="minorEastAsia" w:eastAsiaTheme="minorEastAsia" w:hAnsiTheme="minorEastAsia"/>
          <w:sz w:val="24"/>
          <w:szCs w:val="24"/>
        </w:rPr>
        <w:t>认真阅读基金的相关法律文件，并选择适合自身风险承受能力的投资品种进行投资。</w:t>
      </w:r>
    </w:p>
    <w:p w:rsidR="00FF0AD1" w:rsidRDefault="00FF0AD1" w:rsidP="00FF0AD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特此公告。</w:t>
      </w:r>
    </w:p>
    <w:p w:rsidR="00FF0AD1" w:rsidRDefault="00FF0AD1">
      <w:pPr>
        <w:spacing w:line="360" w:lineRule="auto"/>
        <w:ind w:firstLineChars="200" w:firstLine="480"/>
        <w:rPr>
          <w:rFonts w:asciiTheme="minorEastAsia" w:eastAsiaTheme="minorEastAsia" w:hAnsiTheme="minorEastAsia"/>
          <w:sz w:val="24"/>
          <w:szCs w:val="24"/>
        </w:rPr>
      </w:pPr>
    </w:p>
    <w:p w:rsidR="00797EA0" w:rsidRDefault="00227397" w:rsidP="0031593F">
      <w:pPr>
        <w:spacing w:line="360" w:lineRule="auto"/>
        <w:ind w:firstLineChars="200" w:firstLine="480"/>
        <w:jc w:val="right"/>
        <w:rPr>
          <w:rFonts w:asciiTheme="minorEastAsia" w:eastAsiaTheme="minorEastAsia" w:hAnsiTheme="minorEastAsia"/>
          <w:sz w:val="24"/>
          <w:szCs w:val="24"/>
        </w:rPr>
      </w:pPr>
      <w:r>
        <w:rPr>
          <w:rFonts w:asciiTheme="minorEastAsia" w:eastAsiaTheme="minorEastAsia" w:hAnsiTheme="minorEastAsia"/>
          <w:sz w:val="24"/>
          <w:szCs w:val="24"/>
        </w:rPr>
        <w:t>国联安基金管理有限公司</w:t>
      </w:r>
    </w:p>
    <w:p w:rsidR="00B0246D" w:rsidRPr="008656F5" w:rsidRDefault="00AE6B89" w:rsidP="0031593F">
      <w:pPr>
        <w:spacing w:line="360" w:lineRule="auto"/>
        <w:ind w:firstLineChars="200" w:firstLine="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二〇二六</w:t>
      </w:r>
      <w:r w:rsidR="00FB2F8A" w:rsidRPr="008656F5">
        <w:rPr>
          <w:rFonts w:asciiTheme="minorEastAsia" w:eastAsiaTheme="minorEastAsia" w:hAnsiTheme="minorEastAsia"/>
          <w:sz w:val="24"/>
          <w:szCs w:val="24"/>
        </w:rPr>
        <w:t>年</w:t>
      </w:r>
      <w:r>
        <w:rPr>
          <w:rFonts w:asciiTheme="minorEastAsia" w:eastAsiaTheme="minorEastAsia" w:hAnsiTheme="minorEastAsia" w:hint="eastAsia"/>
          <w:sz w:val="24"/>
          <w:szCs w:val="24"/>
        </w:rPr>
        <w:t>一</w:t>
      </w:r>
      <w:r w:rsidR="00FB2F8A" w:rsidRPr="008656F5">
        <w:rPr>
          <w:rFonts w:asciiTheme="minorEastAsia" w:eastAsiaTheme="minorEastAsia" w:hAnsiTheme="minorEastAsia"/>
          <w:sz w:val="24"/>
          <w:szCs w:val="24"/>
        </w:rPr>
        <w:t>月</w:t>
      </w:r>
      <w:r>
        <w:rPr>
          <w:rFonts w:asciiTheme="minorEastAsia" w:eastAsiaTheme="minorEastAsia" w:hAnsiTheme="minorEastAsia" w:hint="eastAsia"/>
          <w:sz w:val="24"/>
          <w:szCs w:val="24"/>
        </w:rPr>
        <w:t>十九</w:t>
      </w:r>
      <w:r w:rsidR="00FB2F8A" w:rsidRPr="008656F5">
        <w:rPr>
          <w:rFonts w:asciiTheme="minorEastAsia" w:eastAsiaTheme="minorEastAsia" w:hAnsiTheme="minorEastAsia"/>
          <w:sz w:val="24"/>
          <w:szCs w:val="24"/>
        </w:rPr>
        <w:t>日</w:t>
      </w:r>
    </w:p>
    <w:sectPr w:rsidR="00B0246D" w:rsidRPr="008656F5"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8F5" w:rsidRDefault="001118F5" w:rsidP="00893436">
      <w:r>
        <w:separator/>
      </w:r>
    </w:p>
  </w:endnote>
  <w:endnote w:type="continuationSeparator" w:id="0">
    <w:p w:rsidR="001118F5" w:rsidRDefault="001118F5"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8F5" w:rsidRDefault="001118F5" w:rsidP="00893436">
      <w:r>
        <w:separator/>
      </w:r>
    </w:p>
  </w:footnote>
  <w:footnote w:type="continuationSeparator" w:id="0">
    <w:p w:rsidR="001118F5" w:rsidRDefault="001118F5"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114EC"/>
    <w:rsid w:val="00025E43"/>
    <w:rsid w:val="00027A45"/>
    <w:rsid w:val="00041353"/>
    <w:rsid w:val="00053698"/>
    <w:rsid w:val="00056736"/>
    <w:rsid w:val="00057AC1"/>
    <w:rsid w:val="00085F5C"/>
    <w:rsid w:val="00090328"/>
    <w:rsid w:val="0009778C"/>
    <w:rsid w:val="000A19B2"/>
    <w:rsid w:val="000C39F6"/>
    <w:rsid w:val="001118F5"/>
    <w:rsid w:val="00111BD0"/>
    <w:rsid w:val="00135CA1"/>
    <w:rsid w:val="0016074B"/>
    <w:rsid w:val="00167AAE"/>
    <w:rsid w:val="001826A3"/>
    <w:rsid w:val="001965C1"/>
    <w:rsid w:val="001A59FB"/>
    <w:rsid w:val="002177A5"/>
    <w:rsid w:val="00226206"/>
    <w:rsid w:val="00227397"/>
    <w:rsid w:val="00242E4D"/>
    <w:rsid w:val="00243E83"/>
    <w:rsid w:val="00266A99"/>
    <w:rsid w:val="00273CDE"/>
    <w:rsid w:val="00276C74"/>
    <w:rsid w:val="002825EC"/>
    <w:rsid w:val="00284B1B"/>
    <w:rsid w:val="00291A69"/>
    <w:rsid w:val="002A07E3"/>
    <w:rsid w:val="002A63B7"/>
    <w:rsid w:val="002B6A76"/>
    <w:rsid w:val="0031593F"/>
    <w:rsid w:val="003160F8"/>
    <w:rsid w:val="00316A45"/>
    <w:rsid w:val="0032011F"/>
    <w:rsid w:val="0032061C"/>
    <w:rsid w:val="00323007"/>
    <w:rsid w:val="003340A3"/>
    <w:rsid w:val="00356B19"/>
    <w:rsid w:val="00362297"/>
    <w:rsid w:val="0039192C"/>
    <w:rsid w:val="003B2DD4"/>
    <w:rsid w:val="003D639E"/>
    <w:rsid w:val="003E51F2"/>
    <w:rsid w:val="0040797A"/>
    <w:rsid w:val="00410642"/>
    <w:rsid w:val="00413675"/>
    <w:rsid w:val="0042055B"/>
    <w:rsid w:val="00454618"/>
    <w:rsid w:val="00486934"/>
    <w:rsid w:val="004966BA"/>
    <w:rsid w:val="004A4AAC"/>
    <w:rsid w:val="004B531B"/>
    <w:rsid w:val="004C655C"/>
    <w:rsid w:val="004E4283"/>
    <w:rsid w:val="0050279B"/>
    <w:rsid w:val="00506E3A"/>
    <w:rsid w:val="0052413A"/>
    <w:rsid w:val="005715B6"/>
    <w:rsid w:val="00582888"/>
    <w:rsid w:val="005C74A7"/>
    <w:rsid w:val="005F3941"/>
    <w:rsid w:val="00602C3F"/>
    <w:rsid w:val="00612543"/>
    <w:rsid w:val="006602FD"/>
    <w:rsid w:val="006649D0"/>
    <w:rsid w:val="0068430D"/>
    <w:rsid w:val="00687863"/>
    <w:rsid w:val="00696818"/>
    <w:rsid w:val="006A2E06"/>
    <w:rsid w:val="006A5DBB"/>
    <w:rsid w:val="00721B55"/>
    <w:rsid w:val="00797EA0"/>
    <w:rsid w:val="007C7B20"/>
    <w:rsid w:val="007D292D"/>
    <w:rsid w:val="0083403A"/>
    <w:rsid w:val="008656F5"/>
    <w:rsid w:val="00880E4A"/>
    <w:rsid w:val="00893436"/>
    <w:rsid w:val="008B4234"/>
    <w:rsid w:val="008B73CB"/>
    <w:rsid w:val="008D1F66"/>
    <w:rsid w:val="008D4F2E"/>
    <w:rsid w:val="009302F7"/>
    <w:rsid w:val="00941ED5"/>
    <w:rsid w:val="009732A4"/>
    <w:rsid w:val="00974782"/>
    <w:rsid w:val="009762F5"/>
    <w:rsid w:val="0099338F"/>
    <w:rsid w:val="009B4BCB"/>
    <w:rsid w:val="009C7200"/>
    <w:rsid w:val="009E30CF"/>
    <w:rsid w:val="00A628C4"/>
    <w:rsid w:val="00A805EF"/>
    <w:rsid w:val="00A81C93"/>
    <w:rsid w:val="00A83087"/>
    <w:rsid w:val="00A92D2B"/>
    <w:rsid w:val="00AB6D44"/>
    <w:rsid w:val="00AE6B89"/>
    <w:rsid w:val="00B0246D"/>
    <w:rsid w:val="00B11F02"/>
    <w:rsid w:val="00B14D73"/>
    <w:rsid w:val="00B44BBE"/>
    <w:rsid w:val="00B77B08"/>
    <w:rsid w:val="00B908A0"/>
    <w:rsid w:val="00BA7F58"/>
    <w:rsid w:val="00BD5DC9"/>
    <w:rsid w:val="00BD7533"/>
    <w:rsid w:val="00BE1F80"/>
    <w:rsid w:val="00BF5698"/>
    <w:rsid w:val="00C03969"/>
    <w:rsid w:val="00C33DDD"/>
    <w:rsid w:val="00C3473F"/>
    <w:rsid w:val="00C82C9D"/>
    <w:rsid w:val="00CB3D18"/>
    <w:rsid w:val="00CC333F"/>
    <w:rsid w:val="00CC53FB"/>
    <w:rsid w:val="00CE73C7"/>
    <w:rsid w:val="00D20292"/>
    <w:rsid w:val="00D82096"/>
    <w:rsid w:val="00DA3460"/>
    <w:rsid w:val="00DA77C4"/>
    <w:rsid w:val="00DB6924"/>
    <w:rsid w:val="00DD39FF"/>
    <w:rsid w:val="00DE66E8"/>
    <w:rsid w:val="00E24390"/>
    <w:rsid w:val="00E379B4"/>
    <w:rsid w:val="00E7005D"/>
    <w:rsid w:val="00E8116A"/>
    <w:rsid w:val="00EC1409"/>
    <w:rsid w:val="00ED53B9"/>
    <w:rsid w:val="00F0033B"/>
    <w:rsid w:val="00F055D7"/>
    <w:rsid w:val="00F12599"/>
    <w:rsid w:val="00F37EFF"/>
    <w:rsid w:val="00F4212E"/>
    <w:rsid w:val="00F45E48"/>
    <w:rsid w:val="00F543B4"/>
    <w:rsid w:val="00FB2F8A"/>
    <w:rsid w:val="00FC4488"/>
    <w:rsid w:val="00FE7BF2"/>
    <w:rsid w:val="00FF0AD1"/>
    <w:rsid w:val="00FF0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paragraph" w:styleId="a9">
    <w:name w:val="Revision"/>
    <w:hidden/>
    <w:uiPriority w:val="99"/>
    <w:semiHidden/>
    <w:rsid w:val="00276C74"/>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90324431">
      <w:bodyDiv w:val="1"/>
      <w:marLeft w:val="0"/>
      <w:marRight w:val="0"/>
      <w:marTop w:val="0"/>
      <w:marBottom w:val="0"/>
      <w:divBdr>
        <w:top w:val="none" w:sz="0" w:space="0" w:color="auto"/>
        <w:left w:val="none" w:sz="0" w:space="0" w:color="auto"/>
        <w:bottom w:val="none" w:sz="0" w:space="0" w:color="auto"/>
        <w:right w:val="none" w:sz="0" w:space="0" w:color="auto"/>
      </w:divBdr>
    </w:div>
    <w:div w:id="98110895">
      <w:bodyDiv w:val="1"/>
      <w:marLeft w:val="0"/>
      <w:marRight w:val="0"/>
      <w:marTop w:val="0"/>
      <w:marBottom w:val="0"/>
      <w:divBdr>
        <w:top w:val="none" w:sz="0" w:space="0" w:color="auto"/>
        <w:left w:val="none" w:sz="0" w:space="0" w:color="auto"/>
        <w:bottom w:val="none" w:sz="0" w:space="0" w:color="auto"/>
        <w:right w:val="none" w:sz="0" w:space="0" w:color="auto"/>
      </w:divBdr>
    </w:div>
    <w:div w:id="224876790">
      <w:bodyDiv w:val="1"/>
      <w:marLeft w:val="0"/>
      <w:marRight w:val="0"/>
      <w:marTop w:val="0"/>
      <w:marBottom w:val="0"/>
      <w:divBdr>
        <w:top w:val="none" w:sz="0" w:space="0" w:color="auto"/>
        <w:left w:val="none" w:sz="0" w:space="0" w:color="auto"/>
        <w:bottom w:val="none" w:sz="0" w:space="0" w:color="auto"/>
        <w:right w:val="none" w:sz="0" w:space="0" w:color="auto"/>
      </w:divBdr>
    </w:div>
    <w:div w:id="392242697">
      <w:bodyDiv w:val="1"/>
      <w:marLeft w:val="0"/>
      <w:marRight w:val="0"/>
      <w:marTop w:val="0"/>
      <w:marBottom w:val="0"/>
      <w:divBdr>
        <w:top w:val="none" w:sz="0" w:space="0" w:color="auto"/>
        <w:left w:val="none" w:sz="0" w:space="0" w:color="auto"/>
        <w:bottom w:val="none" w:sz="0" w:space="0" w:color="auto"/>
        <w:right w:val="none" w:sz="0" w:space="0" w:color="auto"/>
      </w:divBdr>
    </w:div>
    <w:div w:id="434176927">
      <w:bodyDiv w:val="1"/>
      <w:marLeft w:val="0"/>
      <w:marRight w:val="0"/>
      <w:marTop w:val="0"/>
      <w:marBottom w:val="0"/>
      <w:divBdr>
        <w:top w:val="none" w:sz="0" w:space="0" w:color="auto"/>
        <w:left w:val="none" w:sz="0" w:space="0" w:color="auto"/>
        <w:bottom w:val="none" w:sz="0" w:space="0" w:color="auto"/>
        <w:right w:val="none" w:sz="0" w:space="0" w:color="auto"/>
      </w:divBdr>
    </w:div>
    <w:div w:id="699937123">
      <w:bodyDiv w:val="1"/>
      <w:marLeft w:val="0"/>
      <w:marRight w:val="0"/>
      <w:marTop w:val="0"/>
      <w:marBottom w:val="0"/>
      <w:divBdr>
        <w:top w:val="none" w:sz="0" w:space="0" w:color="auto"/>
        <w:left w:val="none" w:sz="0" w:space="0" w:color="auto"/>
        <w:bottom w:val="none" w:sz="0" w:space="0" w:color="auto"/>
        <w:right w:val="none" w:sz="0" w:space="0" w:color="auto"/>
      </w:divBdr>
    </w:div>
    <w:div w:id="829180864">
      <w:bodyDiv w:val="1"/>
      <w:marLeft w:val="0"/>
      <w:marRight w:val="0"/>
      <w:marTop w:val="0"/>
      <w:marBottom w:val="0"/>
      <w:divBdr>
        <w:top w:val="none" w:sz="0" w:space="0" w:color="auto"/>
        <w:left w:val="none" w:sz="0" w:space="0" w:color="auto"/>
        <w:bottom w:val="none" w:sz="0" w:space="0" w:color="auto"/>
        <w:right w:val="none" w:sz="0" w:space="0" w:color="auto"/>
      </w:divBdr>
    </w:div>
    <w:div w:id="989477670">
      <w:bodyDiv w:val="1"/>
      <w:marLeft w:val="0"/>
      <w:marRight w:val="0"/>
      <w:marTop w:val="0"/>
      <w:marBottom w:val="0"/>
      <w:divBdr>
        <w:top w:val="none" w:sz="0" w:space="0" w:color="auto"/>
        <w:left w:val="none" w:sz="0" w:space="0" w:color="auto"/>
        <w:bottom w:val="none" w:sz="0" w:space="0" w:color="auto"/>
        <w:right w:val="none" w:sz="0" w:space="0" w:color="auto"/>
      </w:divBdr>
    </w:div>
    <w:div w:id="1040864671">
      <w:bodyDiv w:val="1"/>
      <w:marLeft w:val="0"/>
      <w:marRight w:val="0"/>
      <w:marTop w:val="0"/>
      <w:marBottom w:val="0"/>
      <w:divBdr>
        <w:top w:val="none" w:sz="0" w:space="0" w:color="auto"/>
        <w:left w:val="none" w:sz="0" w:space="0" w:color="auto"/>
        <w:bottom w:val="none" w:sz="0" w:space="0" w:color="auto"/>
        <w:right w:val="none" w:sz="0" w:space="0" w:color="auto"/>
      </w:divBdr>
    </w:div>
    <w:div w:id="1074202141">
      <w:bodyDiv w:val="1"/>
      <w:marLeft w:val="0"/>
      <w:marRight w:val="0"/>
      <w:marTop w:val="0"/>
      <w:marBottom w:val="0"/>
      <w:divBdr>
        <w:top w:val="none" w:sz="0" w:space="0" w:color="auto"/>
        <w:left w:val="none" w:sz="0" w:space="0" w:color="auto"/>
        <w:bottom w:val="none" w:sz="0" w:space="0" w:color="auto"/>
        <w:right w:val="none" w:sz="0" w:space="0" w:color="auto"/>
      </w:divBdr>
    </w:div>
    <w:div w:id="1144077832">
      <w:bodyDiv w:val="1"/>
      <w:marLeft w:val="0"/>
      <w:marRight w:val="0"/>
      <w:marTop w:val="0"/>
      <w:marBottom w:val="0"/>
      <w:divBdr>
        <w:top w:val="none" w:sz="0" w:space="0" w:color="auto"/>
        <w:left w:val="none" w:sz="0" w:space="0" w:color="auto"/>
        <w:bottom w:val="none" w:sz="0" w:space="0" w:color="auto"/>
        <w:right w:val="none" w:sz="0" w:space="0" w:color="auto"/>
      </w:divBdr>
    </w:div>
    <w:div w:id="1353997994">
      <w:bodyDiv w:val="1"/>
      <w:marLeft w:val="0"/>
      <w:marRight w:val="0"/>
      <w:marTop w:val="0"/>
      <w:marBottom w:val="0"/>
      <w:divBdr>
        <w:top w:val="none" w:sz="0" w:space="0" w:color="auto"/>
        <w:left w:val="none" w:sz="0" w:space="0" w:color="auto"/>
        <w:bottom w:val="none" w:sz="0" w:space="0" w:color="auto"/>
        <w:right w:val="none" w:sz="0" w:space="0" w:color="auto"/>
      </w:divBdr>
    </w:div>
    <w:div w:id="1599561849">
      <w:bodyDiv w:val="1"/>
      <w:marLeft w:val="0"/>
      <w:marRight w:val="0"/>
      <w:marTop w:val="0"/>
      <w:marBottom w:val="0"/>
      <w:divBdr>
        <w:top w:val="none" w:sz="0" w:space="0" w:color="auto"/>
        <w:left w:val="none" w:sz="0" w:space="0" w:color="auto"/>
        <w:bottom w:val="none" w:sz="0" w:space="0" w:color="auto"/>
        <w:right w:val="none" w:sz="0" w:space="0" w:color="auto"/>
      </w:divBdr>
    </w:div>
    <w:div w:id="1679506785">
      <w:bodyDiv w:val="1"/>
      <w:marLeft w:val="0"/>
      <w:marRight w:val="0"/>
      <w:marTop w:val="0"/>
      <w:marBottom w:val="0"/>
      <w:divBdr>
        <w:top w:val="none" w:sz="0" w:space="0" w:color="auto"/>
        <w:left w:val="none" w:sz="0" w:space="0" w:color="auto"/>
        <w:bottom w:val="none" w:sz="0" w:space="0" w:color="auto"/>
        <w:right w:val="none" w:sz="0" w:space="0" w:color="auto"/>
      </w:divBdr>
    </w:div>
    <w:div w:id="1683632000">
      <w:bodyDiv w:val="1"/>
      <w:marLeft w:val="0"/>
      <w:marRight w:val="0"/>
      <w:marTop w:val="0"/>
      <w:marBottom w:val="0"/>
      <w:divBdr>
        <w:top w:val="none" w:sz="0" w:space="0" w:color="auto"/>
        <w:left w:val="none" w:sz="0" w:space="0" w:color="auto"/>
        <w:bottom w:val="none" w:sz="0" w:space="0" w:color="auto"/>
        <w:right w:val="none" w:sz="0" w:space="0" w:color="auto"/>
      </w:divBdr>
      <w:divsChild>
        <w:div w:id="870993998">
          <w:marLeft w:val="0"/>
          <w:marRight w:val="0"/>
          <w:marTop w:val="0"/>
          <w:marBottom w:val="0"/>
          <w:divBdr>
            <w:top w:val="none" w:sz="0" w:space="0" w:color="auto"/>
            <w:left w:val="none" w:sz="0" w:space="0" w:color="auto"/>
            <w:bottom w:val="none" w:sz="0" w:space="0" w:color="auto"/>
            <w:right w:val="none" w:sz="0" w:space="0" w:color="auto"/>
          </w:divBdr>
        </w:div>
      </w:divsChild>
    </w:div>
    <w:div w:id="1777671188">
      <w:bodyDiv w:val="1"/>
      <w:marLeft w:val="0"/>
      <w:marRight w:val="0"/>
      <w:marTop w:val="0"/>
      <w:marBottom w:val="0"/>
      <w:divBdr>
        <w:top w:val="none" w:sz="0" w:space="0" w:color="auto"/>
        <w:left w:val="none" w:sz="0" w:space="0" w:color="auto"/>
        <w:bottom w:val="none" w:sz="0" w:space="0" w:color="auto"/>
        <w:right w:val="none" w:sz="0" w:space="0" w:color="auto"/>
      </w:divBdr>
    </w:div>
    <w:div w:id="1811705479">
      <w:bodyDiv w:val="1"/>
      <w:marLeft w:val="0"/>
      <w:marRight w:val="0"/>
      <w:marTop w:val="0"/>
      <w:marBottom w:val="0"/>
      <w:divBdr>
        <w:top w:val="none" w:sz="0" w:space="0" w:color="auto"/>
        <w:left w:val="none" w:sz="0" w:space="0" w:color="auto"/>
        <w:bottom w:val="none" w:sz="0" w:space="0" w:color="auto"/>
        <w:right w:val="none" w:sz="0" w:space="0" w:color="auto"/>
      </w:divBdr>
    </w:div>
    <w:div w:id="1868448313">
      <w:bodyDiv w:val="1"/>
      <w:marLeft w:val="0"/>
      <w:marRight w:val="0"/>
      <w:marTop w:val="0"/>
      <w:marBottom w:val="0"/>
      <w:divBdr>
        <w:top w:val="none" w:sz="0" w:space="0" w:color="auto"/>
        <w:left w:val="none" w:sz="0" w:space="0" w:color="auto"/>
        <w:bottom w:val="none" w:sz="0" w:space="0" w:color="auto"/>
        <w:right w:val="none" w:sz="0" w:space="0" w:color="auto"/>
      </w:divBdr>
    </w:div>
    <w:div w:id="1987853965">
      <w:bodyDiv w:val="1"/>
      <w:marLeft w:val="0"/>
      <w:marRight w:val="0"/>
      <w:marTop w:val="0"/>
      <w:marBottom w:val="0"/>
      <w:divBdr>
        <w:top w:val="none" w:sz="0" w:space="0" w:color="auto"/>
        <w:left w:val="none" w:sz="0" w:space="0" w:color="auto"/>
        <w:bottom w:val="none" w:sz="0" w:space="0" w:color="auto"/>
        <w:right w:val="none" w:sz="0" w:space="0" w:color="auto"/>
      </w:divBdr>
    </w:div>
    <w:div w:id="1987970136">
      <w:bodyDiv w:val="1"/>
      <w:marLeft w:val="0"/>
      <w:marRight w:val="0"/>
      <w:marTop w:val="0"/>
      <w:marBottom w:val="0"/>
      <w:divBdr>
        <w:top w:val="none" w:sz="0" w:space="0" w:color="auto"/>
        <w:left w:val="none" w:sz="0" w:space="0" w:color="auto"/>
        <w:bottom w:val="none" w:sz="0" w:space="0" w:color="auto"/>
        <w:right w:val="none" w:sz="0" w:space="0" w:color="auto"/>
      </w:divBdr>
    </w:div>
    <w:div w:id="20336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1648</Characters>
  <Application>Microsoft Office Word</Application>
  <DocSecurity>4</DocSecurity>
  <Lines>13</Lines>
  <Paragraphs>3</Paragraphs>
  <ScaleCrop>false</ScaleCrop>
  <Company>微软中国</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2023-01-05T02:05:00Z</cp:lastPrinted>
  <dcterms:created xsi:type="dcterms:W3CDTF">2026-01-18T16:00:00Z</dcterms:created>
  <dcterms:modified xsi:type="dcterms:W3CDTF">2026-01-18T16:00:00Z</dcterms:modified>
</cp:coreProperties>
</file>