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3F4B" w:rsidRDefault="0088316E">
      <w:pPr>
        <w:pStyle w:val="a4"/>
        <w:spacing w:before="3"/>
        <w:rPr>
          <w:sz w:val="22"/>
        </w:rPr>
      </w:pPr>
    </w:p>
    <w:p w:rsidR="00523F4B" w:rsidRDefault="0088316E">
      <w:pPr>
        <w:pStyle w:val="a9"/>
        <w:spacing w:before="0" w:line="360" w:lineRule="auto"/>
        <w:ind w:left="0" w:right="0"/>
        <w:rPr>
          <w:b/>
          <w:bCs/>
          <w:sz w:val="29"/>
          <w:szCs w:val="29"/>
        </w:rPr>
      </w:pPr>
      <w:bookmarkStart w:id="0" w:name="_Hlk96443449"/>
      <w:r>
        <w:rPr>
          <w:rFonts w:hint="eastAsia"/>
          <w:b/>
          <w:bCs/>
          <w:sz w:val="29"/>
          <w:szCs w:val="29"/>
        </w:rPr>
        <w:t>国泰海通稳健泰裕债券型发起式证券投资基金</w:t>
      </w:r>
    </w:p>
    <w:p w:rsidR="00523F4B" w:rsidRDefault="0088316E">
      <w:pPr>
        <w:pStyle w:val="a9"/>
        <w:spacing w:before="0" w:line="360" w:lineRule="auto"/>
        <w:ind w:left="0" w:right="0"/>
        <w:rPr>
          <w:b/>
          <w:bCs/>
          <w:sz w:val="29"/>
          <w:szCs w:val="29"/>
        </w:rPr>
      </w:pPr>
      <w:r>
        <w:rPr>
          <w:b/>
          <w:bCs/>
          <w:sz w:val="29"/>
          <w:szCs w:val="29"/>
        </w:rPr>
        <w:t>开放日常申购、赎回和定期定额投资业务的公告</w:t>
      </w:r>
      <w:bookmarkEnd w:id="0"/>
    </w:p>
    <w:p w:rsidR="00523F4B" w:rsidRDefault="0088316E">
      <w:pPr>
        <w:spacing w:line="360" w:lineRule="auto"/>
        <w:jc w:val="center"/>
        <w:rPr>
          <w:b/>
          <w:bCs/>
          <w:sz w:val="24"/>
        </w:rPr>
      </w:pPr>
      <w:r>
        <w:rPr>
          <w:b/>
          <w:bCs/>
          <w:sz w:val="24"/>
        </w:rPr>
        <w:t>公告送出日期：</w:t>
      </w:r>
      <w:r w:rsidRPr="00020BD4">
        <w:rPr>
          <w:rFonts w:hint="eastAsia"/>
          <w:b/>
          <w:bCs/>
          <w:sz w:val="24"/>
        </w:rPr>
        <w:t>2026</w:t>
      </w:r>
      <w:r w:rsidRPr="00020BD4">
        <w:rPr>
          <w:rFonts w:hint="eastAsia"/>
          <w:b/>
          <w:bCs/>
          <w:sz w:val="24"/>
        </w:rPr>
        <w:t>年</w:t>
      </w:r>
      <w:r w:rsidRPr="00020BD4">
        <w:rPr>
          <w:rFonts w:hint="eastAsia"/>
          <w:b/>
          <w:bCs/>
          <w:sz w:val="24"/>
        </w:rPr>
        <w:t>1</w:t>
      </w:r>
      <w:r w:rsidRPr="00020BD4">
        <w:rPr>
          <w:rFonts w:hint="eastAsia"/>
          <w:b/>
          <w:bCs/>
          <w:sz w:val="24"/>
        </w:rPr>
        <w:t>月</w:t>
      </w:r>
      <w:r w:rsidRPr="00020BD4">
        <w:rPr>
          <w:rFonts w:hint="eastAsia"/>
          <w:b/>
          <w:bCs/>
          <w:sz w:val="24"/>
        </w:rPr>
        <w:t>19</w:t>
      </w:r>
      <w:r w:rsidRPr="00020BD4">
        <w:rPr>
          <w:rFonts w:hint="eastAsia"/>
          <w:b/>
          <w:bCs/>
          <w:sz w:val="24"/>
        </w:rPr>
        <w:t>日</w:t>
      </w:r>
    </w:p>
    <w:p w:rsidR="00523F4B" w:rsidRDefault="0088316E">
      <w:pPr>
        <w:spacing w:line="276" w:lineRule="auto"/>
        <w:jc w:val="center"/>
        <w:rPr>
          <w:b/>
          <w:bCs/>
          <w:sz w:val="24"/>
        </w:rPr>
      </w:pPr>
    </w:p>
    <w:p w:rsidR="00523F4B" w:rsidRDefault="0088316E" w:rsidP="0088316E">
      <w:pPr>
        <w:tabs>
          <w:tab w:val="left" w:pos="344"/>
        </w:tabs>
        <w:spacing w:line="360" w:lineRule="auto"/>
        <w:ind w:firstLineChars="200" w:firstLine="482"/>
        <w:jc w:val="both"/>
        <w:outlineLvl w:val="0"/>
        <w:rPr>
          <w:b/>
          <w:bCs/>
          <w:sz w:val="24"/>
          <w:szCs w:val="24"/>
        </w:rPr>
      </w:pPr>
      <w:r>
        <w:rPr>
          <w:rFonts w:hint="eastAsia"/>
          <w:b/>
          <w:bCs/>
          <w:sz w:val="24"/>
          <w:szCs w:val="24"/>
        </w:rPr>
        <w:t>1</w:t>
      </w:r>
      <w:r>
        <w:rPr>
          <w:b/>
          <w:bCs/>
          <w:sz w:val="24"/>
          <w:szCs w:val="24"/>
        </w:rPr>
        <w:t xml:space="preserve"> </w:t>
      </w:r>
      <w:r>
        <w:rPr>
          <w:b/>
          <w:bCs/>
          <w:sz w:val="24"/>
          <w:szCs w:val="24"/>
        </w:rPr>
        <w:t>公告基本信息</w:t>
      </w:r>
    </w:p>
    <w:p w:rsidR="00523F4B" w:rsidRDefault="0088316E">
      <w:pPr>
        <w:pStyle w:val="a4"/>
        <w:spacing w:before="12"/>
        <w:rPr>
          <w:sz w:val="10"/>
        </w:rPr>
      </w:pPr>
    </w:p>
    <w:tbl>
      <w:tblPr>
        <w:tblStyle w:val="TableNormal0"/>
        <w:tblW w:w="8658"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tblPr>
      <w:tblGrid>
        <w:gridCol w:w="2967"/>
        <w:gridCol w:w="2845"/>
        <w:gridCol w:w="2846"/>
      </w:tblGrid>
      <w:tr w:rsidR="001263CB">
        <w:trPr>
          <w:trHeight w:val="437"/>
          <w:jc w:val="center"/>
        </w:trPr>
        <w:tc>
          <w:tcPr>
            <w:tcW w:w="2967" w:type="dxa"/>
          </w:tcPr>
          <w:p w:rsidR="00523F4B" w:rsidRDefault="0088316E">
            <w:pPr>
              <w:pStyle w:val="TableParagraph"/>
              <w:spacing w:before="29"/>
              <w:ind w:left="122" w:right="0"/>
              <w:jc w:val="left"/>
              <w:rPr>
                <w:sz w:val="24"/>
                <w:szCs w:val="24"/>
              </w:rPr>
            </w:pPr>
            <w:bookmarkStart w:id="1" w:name="_Hlk96443473"/>
            <w:r>
              <w:rPr>
                <w:sz w:val="24"/>
                <w:szCs w:val="24"/>
              </w:rPr>
              <w:t>基金名称</w:t>
            </w:r>
          </w:p>
        </w:tc>
        <w:tc>
          <w:tcPr>
            <w:tcW w:w="5691" w:type="dxa"/>
            <w:gridSpan w:val="2"/>
          </w:tcPr>
          <w:p w:rsidR="00523F4B" w:rsidRDefault="0088316E">
            <w:pPr>
              <w:pStyle w:val="TableParagraph"/>
              <w:spacing w:before="29"/>
              <w:ind w:left="123" w:right="0"/>
              <w:jc w:val="left"/>
              <w:rPr>
                <w:sz w:val="24"/>
                <w:szCs w:val="24"/>
              </w:rPr>
            </w:pPr>
            <w:r>
              <w:rPr>
                <w:rFonts w:hint="eastAsia"/>
                <w:sz w:val="24"/>
                <w:szCs w:val="24"/>
              </w:rPr>
              <w:t>国泰海通稳健泰裕债券型发起式证券投资基金</w:t>
            </w:r>
          </w:p>
        </w:tc>
      </w:tr>
      <w:tr w:rsidR="001263CB">
        <w:trPr>
          <w:trHeight w:val="439"/>
          <w:jc w:val="center"/>
        </w:trPr>
        <w:tc>
          <w:tcPr>
            <w:tcW w:w="2967" w:type="dxa"/>
          </w:tcPr>
          <w:p w:rsidR="00523F4B" w:rsidRDefault="0088316E">
            <w:pPr>
              <w:pStyle w:val="TableParagraph"/>
              <w:spacing w:before="32"/>
              <w:ind w:left="122" w:right="0"/>
              <w:jc w:val="left"/>
              <w:rPr>
                <w:sz w:val="24"/>
                <w:szCs w:val="24"/>
              </w:rPr>
            </w:pPr>
            <w:r>
              <w:rPr>
                <w:sz w:val="24"/>
                <w:szCs w:val="24"/>
              </w:rPr>
              <w:t>基金简称</w:t>
            </w:r>
          </w:p>
        </w:tc>
        <w:tc>
          <w:tcPr>
            <w:tcW w:w="5691" w:type="dxa"/>
            <w:gridSpan w:val="2"/>
          </w:tcPr>
          <w:p w:rsidR="00523F4B" w:rsidRDefault="0088316E">
            <w:pPr>
              <w:pStyle w:val="TableParagraph"/>
              <w:spacing w:before="32"/>
              <w:ind w:left="106" w:right="0"/>
              <w:jc w:val="left"/>
              <w:rPr>
                <w:sz w:val="24"/>
                <w:szCs w:val="24"/>
              </w:rPr>
            </w:pPr>
            <w:r w:rsidRPr="00020BD4">
              <w:rPr>
                <w:rFonts w:hint="eastAsia"/>
                <w:sz w:val="24"/>
                <w:szCs w:val="24"/>
              </w:rPr>
              <w:t>国泰海通稳健泰裕债券发起</w:t>
            </w:r>
          </w:p>
        </w:tc>
      </w:tr>
      <w:tr w:rsidR="001263CB">
        <w:trPr>
          <w:trHeight w:val="437"/>
          <w:jc w:val="center"/>
        </w:trPr>
        <w:tc>
          <w:tcPr>
            <w:tcW w:w="2967" w:type="dxa"/>
          </w:tcPr>
          <w:p w:rsidR="00523F4B" w:rsidRDefault="0088316E">
            <w:pPr>
              <w:pStyle w:val="TableParagraph"/>
              <w:spacing w:before="29"/>
              <w:ind w:left="122" w:right="0"/>
              <w:jc w:val="left"/>
              <w:rPr>
                <w:sz w:val="24"/>
                <w:szCs w:val="24"/>
              </w:rPr>
            </w:pPr>
            <w:r>
              <w:rPr>
                <w:sz w:val="24"/>
                <w:szCs w:val="24"/>
              </w:rPr>
              <w:t>基金主代码</w:t>
            </w:r>
          </w:p>
        </w:tc>
        <w:tc>
          <w:tcPr>
            <w:tcW w:w="5691" w:type="dxa"/>
            <w:gridSpan w:val="2"/>
          </w:tcPr>
          <w:p w:rsidR="00523F4B" w:rsidRDefault="0088316E">
            <w:pPr>
              <w:pStyle w:val="TableParagraph"/>
              <w:spacing w:before="50"/>
              <w:ind w:left="123" w:right="0"/>
              <w:jc w:val="left"/>
              <w:rPr>
                <w:sz w:val="24"/>
                <w:szCs w:val="24"/>
              </w:rPr>
            </w:pPr>
            <w:r w:rsidRPr="00020BD4">
              <w:rPr>
                <w:rFonts w:hint="eastAsia"/>
                <w:sz w:val="24"/>
                <w:szCs w:val="24"/>
              </w:rPr>
              <w:t>025000</w:t>
            </w:r>
          </w:p>
        </w:tc>
      </w:tr>
      <w:tr w:rsidR="001263CB">
        <w:trPr>
          <w:trHeight w:val="439"/>
          <w:jc w:val="center"/>
        </w:trPr>
        <w:tc>
          <w:tcPr>
            <w:tcW w:w="2967" w:type="dxa"/>
          </w:tcPr>
          <w:p w:rsidR="00523F4B" w:rsidRDefault="0088316E">
            <w:pPr>
              <w:pStyle w:val="TableParagraph"/>
              <w:spacing w:before="32"/>
              <w:ind w:left="122" w:right="0"/>
              <w:jc w:val="left"/>
              <w:rPr>
                <w:sz w:val="24"/>
                <w:szCs w:val="24"/>
              </w:rPr>
            </w:pPr>
            <w:r>
              <w:rPr>
                <w:sz w:val="24"/>
                <w:szCs w:val="24"/>
              </w:rPr>
              <w:t>基金运作方式</w:t>
            </w:r>
          </w:p>
        </w:tc>
        <w:tc>
          <w:tcPr>
            <w:tcW w:w="5691" w:type="dxa"/>
            <w:gridSpan w:val="2"/>
          </w:tcPr>
          <w:p w:rsidR="00523F4B" w:rsidRDefault="0088316E">
            <w:pPr>
              <w:pStyle w:val="TableParagraph"/>
              <w:spacing w:before="32"/>
              <w:ind w:left="123" w:right="0"/>
              <w:jc w:val="left"/>
              <w:rPr>
                <w:sz w:val="24"/>
                <w:szCs w:val="24"/>
              </w:rPr>
            </w:pPr>
            <w:r>
              <w:rPr>
                <w:rFonts w:hint="eastAsia"/>
                <w:sz w:val="24"/>
                <w:szCs w:val="24"/>
              </w:rPr>
              <w:t>契约型开放式</w:t>
            </w:r>
          </w:p>
        </w:tc>
      </w:tr>
      <w:tr w:rsidR="001263CB">
        <w:trPr>
          <w:trHeight w:val="437"/>
          <w:jc w:val="center"/>
        </w:trPr>
        <w:tc>
          <w:tcPr>
            <w:tcW w:w="2967" w:type="dxa"/>
          </w:tcPr>
          <w:p w:rsidR="00523F4B" w:rsidRDefault="0088316E">
            <w:pPr>
              <w:pStyle w:val="TableParagraph"/>
              <w:spacing w:before="29"/>
              <w:ind w:left="122" w:right="0"/>
              <w:jc w:val="left"/>
              <w:rPr>
                <w:sz w:val="24"/>
                <w:szCs w:val="24"/>
              </w:rPr>
            </w:pPr>
            <w:r>
              <w:rPr>
                <w:sz w:val="24"/>
                <w:szCs w:val="24"/>
              </w:rPr>
              <w:t>基金合同生效日</w:t>
            </w:r>
          </w:p>
        </w:tc>
        <w:tc>
          <w:tcPr>
            <w:tcW w:w="5691" w:type="dxa"/>
            <w:gridSpan w:val="2"/>
          </w:tcPr>
          <w:p w:rsidR="00523F4B" w:rsidRDefault="0088316E">
            <w:pPr>
              <w:pStyle w:val="TableParagraph"/>
              <w:spacing w:before="29"/>
              <w:ind w:left="123" w:right="0"/>
              <w:jc w:val="left"/>
              <w:rPr>
                <w:sz w:val="24"/>
                <w:szCs w:val="24"/>
              </w:rPr>
            </w:pPr>
            <w:r>
              <w:rPr>
                <w:sz w:val="24"/>
                <w:szCs w:val="24"/>
              </w:rPr>
              <w:t>202</w:t>
            </w:r>
            <w:r>
              <w:rPr>
                <w:rFonts w:hint="eastAsia"/>
                <w:sz w:val="24"/>
                <w:szCs w:val="24"/>
              </w:rPr>
              <w:t>5</w:t>
            </w:r>
            <w:r>
              <w:rPr>
                <w:sz w:val="24"/>
                <w:szCs w:val="24"/>
              </w:rPr>
              <w:t>年</w:t>
            </w:r>
            <w:r>
              <w:rPr>
                <w:rFonts w:hint="eastAsia"/>
                <w:sz w:val="24"/>
                <w:szCs w:val="24"/>
              </w:rPr>
              <w:t>11</w:t>
            </w:r>
            <w:r>
              <w:rPr>
                <w:sz w:val="24"/>
                <w:szCs w:val="24"/>
              </w:rPr>
              <w:t>月</w:t>
            </w:r>
            <w:r>
              <w:rPr>
                <w:rFonts w:hint="eastAsia"/>
                <w:sz w:val="24"/>
                <w:szCs w:val="24"/>
              </w:rPr>
              <w:t>4</w:t>
            </w:r>
            <w:r>
              <w:rPr>
                <w:sz w:val="24"/>
                <w:szCs w:val="24"/>
              </w:rPr>
              <w:t>日</w:t>
            </w:r>
          </w:p>
        </w:tc>
      </w:tr>
      <w:tr w:rsidR="001263CB">
        <w:trPr>
          <w:trHeight w:val="438"/>
          <w:jc w:val="center"/>
        </w:trPr>
        <w:tc>
          <w:tcPr>
            <w:tcW w:w="2967" w:type="dxa"/>
          </w:tcPr>
          <w:p w:rsidR="00523F4B" w:rsidRDefault="0088316E">
            <w:pPr>
              <w:pStyle w:val="TableParagraph"/>
              <w:spacing w:before="32"/>
              <w:ind w:left="122" w:right="0"/>
              <w:jc w:val="left"/>
              <w:rPr>
                <w:sz w:val="24"/>
                <w:szCs w:val="24"/>
              </w:rPr>
            </w:pPr>
            <w:r>
              <w:rPr>
                <w:sz w:val="24"/>
                <w:szCs w:val="24"/>
              </w:rPr>
              <w:t>基金管理人名称</w:t>
            </w:r>
          </w:p>
        </w:tc>
        <w:tc>
          <w:tcPr>
            <w:tcW w:w="5691" w:type="dxa"/>
            <w:gridSpan w:val="2"/>
          </w:tcPr>
          <w:p w:rsidR="00523F4B" w:rsidRDefault="0088316E">
            <w:pPr>
              <w:pStyle w:val="TableParagraph"/>
              <w:spacing w:before="32"/>
              <w:ind w:left="123" w:right="0"/>
              <w:jc w:val="left"/>
              <w:rPr>
                <w:sz w:val="24"/>
                <w:szCs w:val="24"/>
              </w:rPr>
            </w:pPr>
            <w:r>
              <w:rPr>
                <w:rFonts w:hint="eastAsia"/>
                <w:sz w:val="24"/>
                <w:szCs w:val="24"/>
              </w:rPr>
              <w:t>上海国泰</w:t>
            </w:r>
            <w:r>
              <w:rPr>
                <w:rFonts w:hint="eastAsia"/>
                <w:sz w:val="24"/>
                <w:szCs w:val="24"/>
              </w:rPr>
              <w:t>海通</w:t>
            </w:r>
            <w:r>
              <w:rPr>
                <w:rFonts w:hint="eastAsia"/>
                <w:sz w:val="24"/>
                <w:szCs w:val="24"/>
              </w:rPr>
              <w:t>证券资产管理有限公司</w:t>
            </w:r>
          </w:p>
        </w:tc>
      </w:tr>
      <w:tr w:rsidR="001263CB">
        <w:trPr>
          <w:trHeight w:val="437"/>
          <w:jc w:val="center"/>
        </w:trPr>
        <w:tc>
          <w:tcPr>
            <w:tcW w:w="2967" w:type="dxa"/>
          </w:tcPr>
          <w:p w:rsidR="00523F4B" w:rsidRDefault="0088316E">
            <w:pPr>
              <w:pStyle w:val="TableParagraph"/>
              <w:spacing w:before="31"/>
              <w:ind w:left="122" w:right="0"/>
              <w:jc w:val="left"/>
              <w:rPr>
                <w:sz w:val="24"/>
                <w:szCs w:val="24"/>
              </w:rPr>
            </w:pPr>
            <w:r>
              <w:rPr>
                <w:sz w:val="24"/>
                <w:szCs w:val="24"/>
              </w:rPr>
              <w:t>基金托管人名称</w:t>
            </w:r>
          </w:p>
        </w:tc>
        <w:tc>
          <w:tcPr>
            <w:tcW w:w="5691" w:type="dxa"/>
            <w:gridSpan w:val="2"/>
          </w:tcPr>
          <w:p w:rsidR="00523F4B" w:rsidRDefault="0088316E">
            <w:pPr>
              <w:pStyle w:val="TableParagraph"/>
              <w:spacing w:before="31"/>
              <w:ind w:left="123" w:right="0"/>
              <w:jc w:val="left"/>
              <w:rPr>
                <w:sz w:val="24"/>
                <w:szCs w:val="24"/>
              </w:rPr>
            </w:pPr>
            <w:r w:rsidRPr="00020BD4">
              <w:rPr>
                <w:rFonts w:hint="eastAsia"/>
                <w:sz w:val="24"/>
                <w:szCs w:val="24"/>
              </w:rPr>
              <w:t>中国建设银行股份有限公司</w:t>
            </w:r>
          </w:p>
        </w:tc>
      </w:tr>
      <w:tr w:rsidR="001263CB">
        <w:trPr>
          <w:trHeight w:val="438"/>
          <w:jc w:val="center"/>
        </w:trPr>
        <w:tc>
          <w:tcPr>
            <w:tcW w:w="2967" w:type="dxa"/>
          </w:tcPr>
          <w:p w:rsidR="00523F4B" w:rsidRDefault="0088316E">
            <w:pPr>
              <w:pStyle w:val="TableParagraph"/>
              <w:spacing w:before="31"/>
              <w:ind w:left="122" w:right="0"/>
              <w:jc w:val="left"/>
              <w:rPr>
                <w:sz w:val="24"/>
                <w:szCs w:val="24"/>
              </w:rPr>
            </w:pPr>
            <w:r>
              <w:rPr>
                <w:sz w:val="24"/>
                <w:szCs w:val="24"/>
              </w:rPr>
              <w:t>基金注册登记机构名称</w:t>
            </w:r>
          </w:p>
        </w:tc>
        <w:tc>
          <w:tcPr>
            <w:tcW w:w="5691" w:type="dxa"/>
            <w:gridSpan w:val="2"/>
          </w:tcPr>
          <w:p w:rsidR="00523F4B" w:rsidRDefault="0088316E">
            <w:pPr>
              <w:pStyle w:val="TableParagraph"/>
              <w:spacing w:before="15"/>
              <w:ind w:left="106" w:right="0"/>
              <w:jc w:val="left"/>
              <w:rPr>
                <w:sz w:val="24"/>
                <w:szCs w:val="24"/>
              </w:rPr>
            </w:pPr>
            <w:r>
              <w:rPr>
                <w:rFonts w:hint="eastAsia"/>
                <w:sz w:val="24"/>
                <w:szCs w:val="24"/>
              </w:rPr>
              <w:t>上海国泰</w:t>
            </w:r>
            <w:r>
              <w:rPr>
                <w:rFonts w:hint="eastAsia"/>
                <w:sz w:val="24"/>
                <w:szCs w:val="24"/>
              </w:rPr>
              <w:t>海通</w:t>
            </w:r>
            <w:r>
              <w:rPr>
                <w:rFonts w:hint="eastAsia"/>
                <w:sz w:val="24"/>
                <w:szCs w:val="24"/>
              </w:rPr>
              <w:t>证券资产管理有限公司</w:t>
            </w:r>
          </w:p>
        </w:tc>
      </w:tr>
      <w:tr w:rsidR="001263CB">
        <w:trPr>
          <w:trHeight w:val="817"/>
          <w:jc w:val="center"/>
        </w:trPr>
        <w:tc>
          <w:tcPr>
            <w:tcW w:w="2967" w:type="dxa"/>
          </w:tcPr>
          <w:p w:rsidR="00523F4B" w:rsidRDefault="0088316E">
            <w:pPr>
              <w:pStyle w:val="TableParagraph"/>
              <w:spacing w:before="0"/>
              <w:ind w:left="122" w:right="0"/>
              <w:jc w:val="left"/>
              <w:rPr>
                <w:sz w:val="24"/>
                <w:szCs w:val="24"/>
              </w:rPr>
            </w:pPr>
            <w:r>
              <w:rPr>
                <w:sz w:val="24"/>
                <w:szCs w:val="24"/>
              </w:rPr>
              <w:t>公告依据</w:t>
            </w:r>
          </w:p>
        </w:tc>
        <w:tc>
          <w:tcPr>
            <w:tcW w:w="5691" w:type="dxa"/>
            <w:gridSpan w:val="2"/>
          </w:tcPr>
          <w:p w:rsidR="00523F4B" w:rsidRDefault="0088316E">
            <w:pPr>
              <w:pStyle w:val="TableParagraph"/>
              <w:spacing w:before="0"/>
              <w:ind w:left="106" w:right="0"/>
              <w:jc w:val="left"/>
              <w:rPr>
                <w:sz w:val="24"/>
                <w:szCs w:val="24"/>
              </w:rPr>
            </w:pPr>
            <w:r>
              <w:rPr>
                <w:rFonts w:hint="eastAsia"/>
                <w:spacing w:val="-3"/>
                <w:sz w:val="24"/>
                <w:szCs w:val="24"/>
              </w:rPr>
              <w:t>《公开募集证券投资基金运作管理办法》、《公开募集证券投资基金信息披露管理办法》（以下简称“《信息披露办法》”）等法律法规以及《</w:t>
            </w:r>
            <w:r>
              <w:rPr>
                <w:rFonts w:hint="eastAsia"/>
                <w:spacing w:val="-3"/>
                <w:sz w:val="24"/>
                <w:szCs w:val="24"/>
              </w:rPr>
              <w:t>国泰海通稳健泰裕债券型发起式证券投资基金</w:t>
            </w:r>
            <w:r>
              <w:rPr>
                <w:rFonts w:hint="eastAsia"/>
                <w:spacing w:val="-3"/>
                <w:sz w:val="24"/>
                <w:szCs w:val="24"/>
              </w:rPr>
              <w:t>基金合同》（以下简称“《基金合同》”）、《</w:t>
            </w:r>
            <w:r>
              <w:rPr>
                <w:rFonts w:hint="eastAsia"/>
                <w:spacing w:val="-3"/>
                <w:sz w:val="24"/>
                <w:szCs w:val="24"/>
              </w:rPr>
              <w:t>国泰海通稳健泰裕债券型发起式证券投资基金</w:t>
            </w:r>
            <w:r>
              <w:rPr>
                <w:rFonts w:hint="eastAsia"/>
                <w:spacing w:val="-3"/>
                <w:sz w:val="24"/>
                <w:szCs w:val="24"/>
              </w:rPr>
              <w:t>招募说明书》（以下简称“《招募说明书》”）</w:t>
            </w:r>
          </w:p>
        </w:tc>
      </w:tr>
      <w:tr w:rsidR="001263CB">
        <w:trPr>
          <w:trHeight w:val="472"/>
          <w:jc w:val="center"/>
        </w:trPr>
        <w:tc>
          <w:tcPr>
            <w:tcW w:w="2967" w:type="dxa"/>
          </w:tcPr>
          <w:p w:rsidR="00523F4B" w:rsidRDefault="0088316E">
            <w:pPr>
              <w:pStyle w:val="TableParagraph"/>
              <w:spacing w:before="29"/>
              <w:ind w:left="122" w:right="0"/>
              <w:jc w:val="left"/>
              <w:rPr>
                <w:sz w:val="24"/>
                <w:szCs w:val="24"/>
              </w:rPr>
            </w:pPr>
            <w:r>
              <w:rPr>
                <w:sz w:val="24"/>
                <w:szCs w:val="24"/>
              </w:rPr>
              <w:t>申购起始日</w:t>
            </w:r>
          </w:p>
        </w:tc>
        <w:tc>
          <w:tcPr>
            <w:tcW w:w="5691" w:type="dxa"/>
            <w:gridSpan w:val="2"/>
          </w:tcPr>
          <w:p w:rsidR="00523F4B" w:rsidRDefault="0088316E">
            <w:pPr>
              <w:pStyle w:val="TableParagraph"/>
              <w:spacing w:before="15"/>
              <w:ind w:left="106" w:right="0"/>
              <w:jc w:val="left"/>
              <w:rPr>
                <w:sz w:val="24"/>
                <w:szCs w:val="24"/>
              </w:rPr>
            </w:pPr>
            <w:r w:rsidRPr="00020BD4">
              <w:rPr>
                <w:rFonts w:hint="eastAsia"/>
                <w:sz w:val="24"/>
                <w:szCs w:val="24"/>
              </w:rPr>
              <w:t>2026</w:t>
            </w:r>
            <w:r w:rsidRPr="00020BD4">
              <w:rPr>
                <w:rFonts w:hint="eastAsia"/>
                <w:sz w:val="24"/>
                <w:szCs w:val="24"/>
              </w:rPr>
              <w:t>年</w:t>
            </w:r>
            <w:r w:rsidRPr="00020BD4">
              <w:rPr>
                <w:rFonts w:hint="eastAsia"/>
                <w:sz w:val="24"/>
                <w:szCs w:val="24"/>
              </w:rPr>
              <w:t>1</w:t>
            </w:r>
            <w:r w:rsidRPr="00020BD4">
              <w:rPr>
                <w:rFonts w:hint="eastAsia"/>
                <w:sz w:val="24"/>
                <w:szCs w:val="24"/>
              </w:rPr>
              <w:t>月</w:t>
            </w:r>
            <w:r w:rsidRPr="00020BD4">
              <w:rPr>
                <w:rFonts w:hint="eastAsia"/>
                <w:sz w:val="24"/>
                <w:szCs w:val="24"/>
              </w:rPr>
              <w:t>19</w:t>
            </w:r>
            <w:r w:rsidRPr="00020BD4">
              <w:rPr>
                <w:rFonts w:hint="eastAsia"/>
                <w:sz w:val="24"/>
                <w:szCs w:val="24"/>
              </w:rPr>
              <w:t>日</w:t>
            </w:r>
          </w:p>
        </w:tc>
      </w:tr>
      <w:tr w:rsidR="001263CB">
        <w:trPr>
          <w:trHeight w:val="439"/>
          <w:jc w:val="center"/>
        </w:trPr>
        <w:tc>
          <w:tcPr>
            <w:tcW w:w="2967" w:type="dxa"/>
          </w:tcPr>
          <w:p w:rsidR="00523F4B" w:rsidRDefault="0088316E">
            <w:pPr>
              <w:pStyle w:val="TableParagraph"/>
              <w:spacing w:before="32"/>
              <w:ind w:left="122" w:right="0"/>
              <w:jc w:val="left"/>
              <w:rPr>
                <w:sz w:val="24"/>
                <w:szCs w:val="24"/>
              </w:rPr>
            </w:pPr>
            <w:r>
              <w:rPr>
                <w:sz w:val="24"/>
                <w:szCs w:val="24"/>
              </w:rPr>
              <w:t>赎回起始日</w:t>
            </w:r>
          </w:p>
        </w:tc>
        <w:tc>
          <w:tcPr>
            <w:tcW w:w="5691" w:type="dxa"/>
            <w:gridSpan w:val="2"/>
          </w:tcPr>
          <w:p w:rsidR="00523F4B" w:rsidRDefault="0088316E">
            <w:pPr>
              <w:pStyle w:val="TableParagraph"/>
              <w:spacing w:before="15"/>
              <w:ind w:left="106" w:right="0"/>
              <w:jc w:val="left"/>
              <w:rPr>
                <w:sz w:val="24"/>
                <w:szCs w:val="24"/>
              </w:rPr>
            </w:pPr>
            <w:r w:rsidRPr="00020BD4">
              <w:rPr>
                <w:rFonts w:hint="eastAsia"/>
                <w:sz w:val="24"/>
                <w:szCs w:val="24"/>
              </w:rPr>
              <w:t>2026</w:t>
            </w:r>
            <w:r w:rsidRPr="00020BD4">
              <w:rPr>
                <w:rFonts w:hint="eastAsia"/>
                <w:sz w:val="24"/>
                <w:szCs w:val="24"/>
              </w:rPr>
              <w:t>年</w:t>
            </w:r>
            <w:r w:rsidRPr="00020BD4">
              <w:rPr>
                <w:rFonts w:hint="eastAsia"/>
                <w:sz w:val="24"/>
                <w:szCs w:val="24"/>
              </w:rPr>
              <w:t>1</w:t>
            </w:r>
            <w:r w:rsidRPr="00020BD4">
              <w:rPr>
                <w:rFonts w:hint="eastAsia"/>
                <w:sz w:val="24"/>
                <w:szCs w:val="24"/>
              </w:rPr>
              <w:t>月</w:t>
            </w:r>
            <w:r w:rsidRPr="00020BD4">
              <w:rPr>
                <w:rFonts w:hint="eastAsia"/>
                <w:sz w:val="24"/>
                <w:szCs w:val="24"/>
              </w:rPr>
              <w:t>23</w:t>
            </w:r>
            <w:r w:rsidRPr="00020BD4">
              <w:rPr>
                <w:rFonts w:hint="eastAsia"/>
                <w:sz w:val="24"/>
                <w:szCs w:val="24"/>
              </w:rPr>
              <w:t>日</w:t>
            </w:r>
          </w:p>
        </w:tc>
      </w:tr>
      <w:tr w:rsidR="001263CB">
        <w:trPr>
          <w:trHeight w:val="439"/>
          <w:jc w:val="center"/>
        </w:trPr>
        <w:tc>
          <w:tcPr>
            <w:tcW w:w="2967" w:type="dxa"/>
          </w:tcPr>
          <w:p w:rsidR="00523F4B" w:rsidRDefault="0088316E">
            <w:pPr>
              <w:pStyle w:val="TableParagraph"/>
              <w:spacing w:before="32"/>
              <w:ind w:left="122" w:right="0"/>
              <w:jc w:val="left"/>
              <w:rPr>
                <w:sz w:val="24"/>
                <w:szCs w:val="24"/>
              </w:rPr>
            </w:pPr>
            <w:r>
              <w:rPr>
                <w:rFonts w:hint="eastAsia"/>
                <w:sz w:val="24"/>
                <w:szCs w:val="24"/>
              </w:rPr>
              <w:t>转换转入起始日</w:t>
            </w:r>
          </w:p>
        </w:tc>
        <w:tc>
          <w:tcPr>
            <w:tcW w:w="5691" w:type="dxa"/>
            <w:gridSpan w:val="2"/>
          </w:tcPr>
          <w:p w:rsidR="00523F4B" w:rsidRDefault="0088316E">
            <w:pPr>
              <w:pStyle w:val="TableParagraph"/>
              <w:spacing w:before="15"/>
              <w:ind w:left="106" w:right="0"/>
              <w:jc w:val="left"/>
              <w:rPr>
                <w:sz w:val="24"/>
                <w:szCs w:val="24"/>
              </w:rPr>
            </w:pPr>
            <w:r>
              <w:rPr>
                <w:rFonts w:hint="eastAsia"/>
                <w:sz w:val="24"/>
                <w:szCs w:val="24"/>
              </w:rPr>
              <w:t>-</w:t>
            </w:r>
          </w:p>
        </w:tc>
      </w:tr>
      <w:tr w:rsidR="001263CB">
        <w:trPr>
          <w:trHeight w:val="439"/>
          <w:jc w:val="center"/>
        </w:trPr>
        <w:tc>
          <w:tcPr>
            <w:tcW w:w="2967" w:type="dxa"/>
          </w:tcPr>
          <w:p w:rsidR="00523F4B" w:rsidRDefault="0088316E">
            <w:pPr>
              <w:pStyle w:val="TableParagraph"/>
              <w:spacing w:before="32"/>
              <w:ind w:left="122" w:right="0"/>
              <w:jc w:val="left"/>
              <w:rPr>
                <w:sz w:val="24"/>
                <w:szCs w:val="24"/>
              </w:rPr>
            </w:pPr>
            <w:r>
              <w:rPr>
                <w:rFonts w:hint="eastAsia"/>
                <w:sz w:val="24"/>
                <w:szCs w:val="24"/>
              </w:rPr>
              <w:t>转换转出起始日</w:t>
            </w:r>
          </w:p>
        </w:tc>
        <w:tc>
          <w:tcPr>
            <w:tcW w:w="5691" w:type="dxa"/>
            <w:gridSpan w:val="2"/>
          </w:tcPr>
          <w:p w:rsidR="00523F4B" w:rsidRDefault="0088316E">
            <w:pPr>
              <w:pStyle w:val="TableParagraph"/>
              <w:spacing w:before="15"/>
              <w:ind w:left="106" w:right="0"/>
              <w:jc w:val="left"/>
              <w:rPr>
                <w:sz w:val="24"/>
                <w:szCs w:val="24"/>
              </w:rPr>
            </w:pPr>
            <w:r>
              <w:rPr>
                <w:rFonts w:hint="eastAsia"/>
                <w:sz w:val="24"/>
                <w:szCs w:val="24"/>
              </w:rPr>
              <w:t>-</w:t>
            </w:r>
          </w:p>
        </w:tc>
      </w:tr>
      <w:tr w:rsidR="001263CB">
        <w:trPr>
          <w:trHeight w:val="438"/>
          <w:jc w:val="center"/>
        </w:trPr>
        <w:tc>
          <w:tcPr>
            <w:tcW w:w="2967" w:type="dxa"/>
          </w:tcPr>
          <w:p w:rsidR="00523F4B" w:rsidRDefault="0088316E">
            <w:pPr>
              <w:pStyle w:val="TableParagraph"/>
              <w:spacing w:before="29"/>
              <w:ind w:left="122" w:right="0"/>
              <w:jc w:val="left"/>
              <w:rPr>
                <w:sz w:val="24"/>
                <w:szCs w:val="24"/>
              </w:rPr>
            </w:pPr>
            <w:r>
              <w:rPr>
                <w:sz w:val="24"/>
                <w:szCs w:val="24"/>
              </w:rPr>
              <w:t>定期定额投资起始日</w:t>
            </w:r>
          </w:p>
        </w:tc>
        <w:tc>
          <w:tcPr>
            <w:tcW w:w="5691" w:type="dxa"/>
            <w:gridSpan w:val="2"/>
          </w:tcPr>
          <w:p w:rsidR="00523F4B" w:rsidRDefault="0088316E">
            <w:pPr>
              <w:pStyle w:val="TableParagraph"/>
              <w:spacing w:before="14"/>
              <w:ind w:left="106" w:right="0"/>
              <w:jc w:val="left"/>
              <w:rPr>
                <w:sz w:val="24"/>
                <w:szCs w:val="24"/>
              </w:rPr>
            </w:pPr>
            <w:r w:rsidRPr="00020BD4">
              <w:rPr>
                <w:rFonts w:hint="eastAsia"/>
                <w:sz w:val="24"/>
                <w:szCs w:val="24"/>
              </w:rPr>
              <w:t>2026</w:t>
            </w:r>
            <w:r w:rsidRPr="00020BD4">
              <w:rPr>
                <w:rFonts w:hint="eastAsia"/>
                <w:sz w:val="24"/>
                <w:szCs w:val="24"/>
              </w:rPr>
              <w:t>年</w:t>
            </w:r>
            <w:r w:rsidRPr="00020BD4">
              <w:rPr>
                <w:rFonts w:hint="eastAsia"/>
                <w:sz w:val="24"/>
                <w:szCs w:val="24"/>
              </w:rPr>
              <w:t>1</w:t>
            </w:r>
            <w:r w:rsidRPr="00020BD4">
              <w:rPr>
                <w:rFonts w:hint="eastAsia"/>
                <w:sz w:val="24"/>
                <w:szCs w:val="24"/>
              </w:rPr>
              <w:t>月</w:t>
            </w:r>
            <w:r w:rsidRPr="00020BD4">
              <w:rPr>
                <w:rFonts w:hint="eastAsia"/>
                <w:sz w:val="24"/>
                <w:szCs w:val="24"/>
              </w:rPr>
              <w:t>19</w:t>
            </w:r>
            <w:r w:rsidRPr="00020BD4">
              <w:rPr>
                <w:rFonts w:hint="eastAsia"/>
                <w:sz w:val="24"/>
                <w:szCs w:val="24"/>
              </w:rPr>
              <w:t>日</w:t>
            </w:r>
          </w:p>
        </w:tc>
      </w:tr>
      <w:tr w:rsidR="001263CB">
        <w:trPr>
          <w:trHeight w:val="438"/>
          <w:jc w:val="center"/>
        </w:trPr>
        <w:tc>
          <w:tcPr>
            <w:tcW w:w="2967" w:type="dxa"/>
          </w:tcPr>
          <w:p w:rsidR="00523F4B" w:rsidRDefault="0088316E">
            <w:pPr>
              <w:pStyle w:val="TableParagraph"/>
              <w:spacing w:before="29"/>
              <w:ind w:left="122" w:right="0"/>
              <w:jc w:val="left"/>
              <w:rPr>
                <w:sz w:val="24"/>
                <w:szCs w:val="24"/>
              </w:rPr>
            </w:pPr>
            <w:r>
              <w:rPr>
                <w:sz w:val="24"/>
                <w:szCs w:val="24"/>
              </w:rPr>
              <w:t>下属分级基金的基金简称</w:t>
            </w:r>
          </w:p>
        </w:tc>
        <w:tc>
          <w:tcPr>
            <w:tcW w:w="2845" w:type="dxa"/>
          </w:tcPr>
          <w:p w:rsidR="00523F4B" w:rsidRDefault="0088316E">
            <w:pPr>
              <w:pStyle w:val="TableParagraph"/>
              <w:spacing w:before="14"/>
              <w:ind w:left="106" w:right="0"/>
              <w:jc w:val="left"/>
              <w:rPr>
                <w:sz w:val="24"/>
                <w:szCs w:val="24"/>
              </w:rPr>
            </w:pPr>
            <w:r w:rsidRPr="00020BD4">
              <w:rPr>
                <w:rFonts w:hint="eastAsia"/>
                <w:sz w:val="24"/>
                <w:szCs w:val="24"/>
              </w:rPr>
              <w:t>国泰海通稳健泰裕债券发起</w:t>
            </w:r>
            <w:r>
              <w:rPr>
                <w:rFonts w:hint="eastAsia"/>
                <w:sz w:val="24"/>
                <w:szCs w:val="24"/>
              </w:rPr>
              <w:t>A</w:t>
            </w:r>
          </w:p>
        </w:tc>
        <w:tc>
          <w:tcPr>
            <w:tcW w:w="2846" w:type="dxa"/>
          </w:tcPr>
          <w:p w:rsidR="00523F4B" w:rsidRDefault="0088316E">
            <w:pPr>
              <w:pStyle w:val="TableParagraph"/>
              <w:spacing w:before="14"/>
              <w:ind w:left="106" w:right="0"/>
              <w:jc w:val="left"/>
              <w:rPr>
                <w:sz w:val="24"/>
                <w:szCs w:val="24"/>
              </w:rPr>
            </w:pPr>
            <w:r w:rsidRPr="00020BD4">
              <w:rPr>
                <w:rFonts w:hint="eastAsia"/>
                <w:sz w:val="24"/>
                <w:szCs w:val="24"/>
              </w:rPr>
              <w:t>国泰海通稳健泰裕债券发起</w:t>
            </w:r>
            <w:r>
              <w:rPr>
                <w:rFonts w:hint="eastAsia"/>
                <w:sz w:val="24"/>
                <w:szCs w:val="24"/>
              </w:rPr>
              <w:t>C</w:t>
            </w:r>
          </w:p>
        </w:tc>
      </w:tr>
      <w:tr w:rsidR="001263CB">
        <w:trPr>
          <w:trHeight w:val="438"/>
          <w:jc w:val="center"/>
        </w:trPr>
        <w:tc>
          <w:tcPr>
            <w:tcW w:w="2967" w:type="dxa"/>
          </w:tcPr>
          <w:p w:rsidR="00523F4B" w:rsidRDefault="0088316E">
            <w:pPr>
              <w:pStyle w:val="TableParagraph"/>
              <w:spacing w:before="29"/>
              <w:ind w:left="122" w:right="0"/>
              <w:jc w:val="left"/>
              <w:rPr>
                <w:sz w:val="24"/>
                <w:szCs w:val="24"/>
              </w:rPr>
            </w:pPr>
            <w:r>
              <w:rPr>
                <w:sz w:val="24"/>
                <w:szCs w:val="24"/>
              </w:rPr>
              <w:t>下属分级基金的交易代码</w:t>
            </w:r>
          </w:p>
        </w:tc>
        <w:tc>
          <w:tcPr>
            <w:tcW w:w="2845" w:type="dxa"/>
          </w:tcPr>
          <w:p w:rsidR="00523F4B" w:rsidRDefault="0088316E">
            <w:pPr>
              <w:pStyle w:val="TableParagraph"/>
              <w:spacing w:before="14"/>
              <w:ind w:left="106" w:right="0"/>
              <w:jc w:val="left"/>
              <w:rPr>
                <w:sz w:val="24"/>
                <w:szCs w:val="24"/>
              </w:rPr>
            </w:pPr>
            <w:r w:rsidRPr="00020BD4">
              <w:rPr>
                <w:rFonts w:hint="eastAsia"/>
                <w:sz w:val="24"/>
                <w:szCs w:val="24"/>
              </w:rPr>
              <w:t>025000</w:t>
            </w:r>
          </w:p>
        </w:tc>
        <w:tc>
          <w:tcPr>
            <w:tcW w:w="2846" w:type="dxa"/>
          </w:tcPr>
          <w:p w:rsidR="00523F4B" w:rsidRDefault="0088316E">
            <w:pPr>
              <w:pStyle w:val="TableParagraph"/>
              <w:spacing w:before="14"/>
              <w:ind w:left="106" w:right="0"/>
              <w:jc w:val="left"/>
              <w:rPr>
                <w:sz w:val="24"/>
                <w:szCs w:val="24"/>
              </w:rPr>
            </w:pPr>
            <w:r w:rsidRPr="00020BD4">
              <w:rPr>
                <w:rFonts w:hint="eastAsia"/>
                <w:sz w:val="24"/>
                <w:szCs w:val="24"/>
              </w:rPr>
              <w:t>025001</w:t>
            </w:r>
          </w:p>
        </w:tc>
      </w:tr>
      <w:tr w:rsidR="001263CB">
        <w:trPr>
          <w:trHeight w:val="438"/>
          <w:jc w:val="center"/>
        </w:trPr>
        <w:tc>
          <w:tcPr>
            <w:tcW w:w="2967" w:type="dxa"/>
          </w:tcPr>
          <w:p w:rsidR="00523F4B" w:rsidRDefault="0088316E">
            <w:pPr>
              <w:pStyle w:val="TableParagraph"/>
              <w:spacing w:before="29"/>
              <w:ind w:left="122" w:right="0"/>
              <w:jc w:val="left"/>
              <w:rPr>
                <w:sz w:val="24"/>
                <w:szCs w:val="24"/>
              </w:rPr>
            </w:pPr>
            <w:r>
              <w:rPr>
                <w:sz w:val="24"/>
                <w:szCs w:val="24"/>
              </w:rPr>
              <w:t>该分级基金是否开放</w:t>
            </w:r>
            <w:r>
              <w:rPr>
                <w:rFonts w:hint="eastAsia"/>
                <w:sz w:val="24"/>
                <w:szCs w:val="24"/>
              </w:rPr>
              <w:t>申购（定</w:t>
            </w:r>
            <w:r>
              <w:rPr>
                <w:sz w:val="24"/>
                <w:szCs w:val="24"/>
              </w:rPr>
              <w:t>期定额投资）</w:t>
            </w:r>
            <w:r>
              <w:rPr>
                <w:rFonts w:hint="eastAsia"/>
                <w:sz w:val="24"/>
                <w:szCs w:val="24"/>
              </w:rPr>
              <w:t>、赎回</w:t>
            </w:r>
          </w:p>
        </w:tc>
        <w:tc>
          <w:tcPr>
            <w:tcW w:w="2845" w:type="dxa"/>
          </w:tcPr>
          <w:p w:rsidR="00523F4B" w:rsidRDefault="0088316E">
            <w:pPr>
              <w:pStyle w:val="TableParagraph"/>
              <w:spacing w:before="14"/>
              <w:ind w:left="106" w:right="0"/>
              <w:jc w:val="left"/>
              <w:rPr>
                <w:sz w:val="24"/>
                <w:szCs w:val="24"/>
              </w:rPr>
            </w:pPr>
            <w:r>
              <w:rPr>
                <w:rFonts w:hint="eastAsia"/>
                <w:sz w:val="24"/>
                <w:szCs w:val="24"/>
              </w:rPr>
              <w:t>是</w:t>
            </w:r>
          </w:p>
        </w:tc>
        <w:tc>
          <w:tcPr>
            <w:tcW w:w="2846" w:type="dxa"/>
          </w:tcPr>
          <w:p w:rsidR="00523F4B" w:rsidRDefault="0088316E">
            <w:pPr>
              <w:pStyle w:val="TableParagraph"/>
              <w:spacing w:before="14"/>
              <w:ind w:left="106" w:right="0"/>
              <w:jc w:val="left"/>
              <w:rPr>
                <w:sz w:val="24"/>
                <w:szCs w:val="24"/>
              </w:rPr>
            </w:pPr>
            <w:r>
              <w:rPr>
                <w:rFonts w:hint="eastAsia"/>
                <w:sz w:val="24"/>
                <w:szCs w:val="24"/>
              </w:rPr>
              <w:t>是</w:t>
            </w:r>
          </w:p>
        </w:tc>
      </w:tr>
    </w:tbl>
    <w:bookmarkEnd w:id="1"/>
    <w:p w:rsidR="00523F4B" w:rsidRDefault="0088316E">
      <w:pPr>
        <w:tabs>
          <w:tab w:val="left" w:pos="344"/>
        </w:tabs>
        <w:spacing w:line="360" w:lineRule="auto"/>
        <w:ind w:left="136"/>
        <w:jc w:val="both"/>
        <w:rPr>
          <w:bCs/>
          <w:sz w:val="21"/>
          <w:szCs w:val="21"/>
        </w:rPr>
      </w:pPr>
      <w:r>
        <w:rPr>
          <w:rFonts w:hint="eastAsia"/>
          <w:bCs/>
          <w:sz w:val="21"/>
          <w:szCs w:val="21"/>
        </w:rPr>
        <w:t>注：投资者范围：符合法律法规规定的可投资于证券投资基金的个人投资者、机构投资者、</w:t>
      </w:r>
      <w:r w:rsidRPr="00B444CD">
        <w:rPr>
          <w:rFonts w:hint="eastAsia"/>
          <w:bCs/>
          <w:sz w:val="21"/>
          <w:szCs w:val="21"/>
        </w:rPr>
        <w:t>发起资金提供方、</w:t>
      </w:r>
      <w:r>
        <w:rPr>
          <w:rFonts w:hint="eastAsia"/>
          <w:bCs/>
          <w:sz w:val="21"/>
          <w:szCs w:val="21"/>
        </w:rPr>
        <w:t>合格境外投资者以及法律法规或中国证监会允许购买证券投资基金的其他投资人。</w:t>
      </w:r>
    </w:p>
    <w:p w:rsidR="00523F4B" w:rsidRPr="00B444CD" w:rsidRDefault="0088316E">
      <w:pPr>
        <w:tabs>
          <w:tab w:val="left" w:pos="344"/>
        </w:tabs>
        <w:ind w:left="135"/>
        <w:jc w:val="both"/>
        <w:rPr>
          <w:b/>
          <w:bCs/>
          <w:sz w:val="24"/>
          <w:szCs w:val="24"/>
        </w:rPr>
      </w:pPr>
    </w:p>
    <w:p w:rsidR="00523F4B" w:rsidRDefault="0088316E" w:rsidP="0088316E">
      <w:pPr>
        <w:tabs>
          <w:tab w:val="left" w:pos="344"/>
        </w:tabs>
        <w:spacing w:line="360" w:lineRule="auto"/>
        <w:ind w:firstLineChars="200" w:firstLine="482"/>
        <w:jc w:val="both"/>
        <w:outlineLvl w:val="0"/>
        <w:rPr>
          <w:b/>
          <w:bCs/>
          <w:sz w:val="24"/>
          <w:szCs w:val="24"/>
        </w:rPr>
      </w:pPr>
      <w:r>
        <w:rPr>
          <w:rFonts w:hint="eastAsia"/>
          <w:b/>
          <w:bCs/>
          <w:sz w:val="24"/>
          <w:szCs w:val="24"/>
        </w:rPr>
        <w:t>2</w:t>
      </w:r>
      <w:r>
        <w:rPr>
          <w:b/>
          <w:bCs/>
          <w:sz w:val="24"/>
          <w:szCs w:val="24"/>
        </w:rPr>
        <w:t xml:space="preserve"> </w:t>
      </w:r>
      <w:r>
        <w:rPr>
          <w:b/>
          <w:bCs/>
          <w:sz w:val="24"/>
          <w:szCs w:val="24"/>
        </w:rPr>
        <w:t>日常申购、赎回</w:t>
      </w:r>
      <w:r>
        <w:rPr>
          <w:rFonts w:hint="eastAsia"/>
          <w:b/>
          <w:bCs/>
          <w:sz w:val="24"/>
          <w:szCs w:val="24"/>
        </w:rPr>
        <w:t>、定期定额投资</w:t>
      </w:r>
      <w:r>
        <w:rPr>
          <w:b/>
          <w:bCs/>
          <w:sz w:val="24"/>
          <w:szCs w:val="24"/>
        </w:rPr>
        <w:t>业务的办理时间</w:t>
      </w:r>
    </w:p>
    <w:p w:rsidR="00523F4B" w:rsidRDefault="0088316E">
      <w:pPr>
        <w:pStyle w:val="a4"/>
        <w:spacing w:line="360" w:lineRule="auto"/>
        <w:ind w:firstLineChars="200" w:firstLine="480"/>
        <w:jc w:val="both"/>
        <w:rPr>
          <w:sz w:val="24"/>
          <w:szCs w:val="24"/>
        </w:rPr>
      </w:pPr>
      <w:r>
        <w:rPr>
          <w:rFonts w:hint="eastAsia"/>
          <w:sz w:val="24"/>
          <w:szCs w:val="24"/>
        </w:rPr>
        <w:t>投资人在开放日办理基金份额的申购和赎回，具体办理时间为上海证券交易所、深圳证券交易所的正常交易日的交易时间，但基金管理人根据法律法规、中国证监会的要求或基金合同的规定公告暂停申购、赎回时除外。</w:t>
      </w:r>
    </w:p>
    <w:p w:rsidR="00523F4B" w:rsidRDefault="0088316E">
      <w:pPr>
        <w:pStyle w:val="a4"/>
        <w:spacing w:line="360" w:lineRule="auto"/>
        <w:ind w:firstLineChars="200" w:firstLine="480"/>
        <w:jc w:val="both"/>
        <w:rPr>
          <w:sz w:val="24"/>
          <w:szCs w:val="24"/>
        </w:rPr>
      </w:pPr>
      <w:r>
        <w:rPr>
          <w:rFonts w:hint="eastAsia"/>
          <w:sz w:val="24"/>
          <w:szCs w:val="24"/>
        </w:rPr>
        <w:t>基金合同生效后，若出现新的证券</w:t>
      </w:r>
      <w:r>
        <w:rPr>
          <w:rFonts w:hint="eastAsia"/>
          <w:sz w:val="24"/>
          <w:szCs w:val="24"/>
        </w:rPr>
        <w:t>/</w:t>
      </w:r>
      <w:r>
        <w:rPr>
          <w:rFonts w:hint="eastAsia"/>
          <w:sz w:val="24"/>
          <w:szCs w:val="24"/>
        </w:rPr>
        <w:t>期货交易市场、证券</w:t>
      </w:r>
      <w:r>
        <w:rPr>
          <w:rFonts w:hint="eastAsia"/>
          <w:sz w:val="24"/>
          <w:szCs w:val="24"/>
        </w:rPr>
        <w:t>/</w:t>
      </w:r>
      <w:r>
        <w:rPr>
          <w:rFonts w:hint="eastAsia"/>
          <w:sz w:val="24"/>
          <w:szCs w:val="24"/>
        </w:rPr>
        <w:t>期货交易所交易时间变更、其他特殊情况或根据业务需要，基金管理人将视情况对前述开放日及开放时间进行相应的调整，但应在实施前依照《信息披露办法》的有关规定在规定媒介上公告。</w:t>
      </w:r>
    </w:p>
    <w:p w:rsidR="00523F4B" w:rsidRDefault="0088316E">
      <w:pPr>
        <w:pStyle w:val="a4"/>
        <w:spacing w:line="360" w:lineRule="auto"/>
        <w:ind w:firstLineChars="200" w:firstLine="480"/>
        <w:jc w:val="both"/>
        <w:rPr>
          <w:sz w:val="24"/>
          <w:szCs w:val="24"/>
        </w:rPr>
      </w:pPr>
    </w:p>
    <w:p w:rsidR="00523F4B" w:rsidRDefault="0088316E" w:rsidP="0088316E">
      <w:pPr>
        <w:tabs>
          <w:tab w:val="left" w:pos="330"/>
        </w:tabs>
        <w:spacing w:line="360" w:lineRule="auto"/>
        <w:ind w:firstLineChars="200" w:firstLine="482"/>
        <w:jc w:val="both"/>
        <w:outlineLvl w:val="0"/>
        <w:rPr>
          <w:b/>
          <w:bCs/>
          <w:sz w:val="24"/>
          <w:szCs w:val="24"/>
        </w:rPr>
      </w:pPr>
      <w:r>
        <w:rPr>
          <w:rFonts w:hint="eastAsia"/>
          <w:b/>
          <w:bCs/>
          <w:sz w:val="24"/>
          <w:szCs w:val="24"/>
        </w:rPr>
        <w:t>3</w:t>
      </w:r>
      <w:r>
        <w:rPr>
          <w:b/>
          <w:bCs/>
          <w:sz w:val="24"/>
          <w:szCs w:val="24"/>
        </w:rPr>
        <w:t xml:space="preserve"> </w:t>
      </w:r>
      <w:r>
        <w:rPr>
          <w:b/>
          <w:bCs/>
          <w:sz w:val="24"/>
          <w:szCs w:val="24"/>
        </w:rPr>
        <w:t>日常申购业务</w:t>
      </w:r>
    </w:p>
    <w:p w:rsidR="00523F4B" w:rsidRDefault="0088316E">
      <w:pPr>
        <w:tabs>
          <w:tab w:val="left" w:pos="503"/>
        </w:tabs>
        <w:spacing w:line="360" w:lineRule="auto"/>
        <w:ind w:left="480"/>
        <w:jc w:val="both"/>
        <w:rPr>
          <w:b/>
          <w:bCs/>
          <w:sz w:val="24"/>
          <w:szCs w:val="24"/>
        </w:rPr>
      </w:pPr>
      <w:r>
        <w:rPr>
          <w:rFonts w:hint="eastAsia"/>
          <w:b/>
          <w:bCs/>
          <w:sz w:val="24"/>
          <w:szCs w:val="24"/>
        </w:rPr>
        <w:t>3</w:t>
      </w:r>
      <w:r>
        <w:rPr>
          <w:b/>
          <w:bCs/>
          <w:sz w:val="24"/>
          <w:szCs w:val="24"/>
        </w:rPr>
        <w:t xml:space="preserve">.1 </w:t>
      </w:r>
      <w:r>
        <w:rPr>
          <w:b/>
          <w:bCs/>
          <w:sz w:val="24"/>
          <w:szCs w:val="24"/>
        </w:rPr>
        <w:t>申购金额限制</w:t>
      </w:r>
    </w:p>
    <w:p w:rsidR="00523F4B" w:rsidRDefault="0088316E">
      <w:pPr>
        <w:pStyle w:val="-"/>
        <w:ind w:firstLine="480"/>
        <w:rPr>
          <w:bCs/>
          <w:sz w:val="24"/>
          <w:szCs w:val="24"/>
          <w:lang w:val="en-US"/>
        </w:rPr>
      </w:pPr>
      <w:r>
        <w:rPr>
          <w:rFonts w:hint="eastAsia"/>
          <w:bCs/>
          <w:sz w:val="24"/>
          <w:szCs w:val="24"/>
          <w:lang w:val="en-US"/>
        </w:rPr>
        <w:t>投资人首次申购的最低金额为</w:t>
      </w:r>
      <w:r>
        <w:rPr>
          <w:rFonts w:hint="eastAsia"/>
          <w:bCs/>
          <w:sz w:val="24"/>
          <w:szCs w:val="24"/>
          <w:lang w:val="en-US"/>
        </w:rPr>
        <w:t>1</w:t>
      </w:r>
      <w:r>
        <w:rPr>
          <w:rFonts w:hint="eastAsia"/>
          <w:bCs/>
          <w:sz w:val="24"/>
          <w:szCs w:val="24"/>
          <w:lang w:val="en-US"/>
        </w:rPr>
        <w:t>元，追加申购的最低金额为</w:t>
      </w:r>
      <w:r>
        <w:rPr>
          <w:rFonts w:hint="eastAsia"/>
          <w:bCs/>
          <w:sz w:val="24"/>
          <w:szCs w:val="24"/>
          <w:lang w:val="en-US"/>
        </w:rPr>
        <w:t>1</w:t>
      </w:r>
      <w:r>
        <w:rPr>
          <w:rFonts w:hint="eastAsia"/>
          <w:bCs/>
          <w:sz w:val="24"/>
          <w:szCs w:val="24"/>
          <w:lang w:val="en-US"/>
        </w:rPr>
        <w:t>元，具体以基金管理人、基金托管人、销售机构协商一致后的相关公告为准。</w:t>
      </w:r>
    </w:p>
    <w:p w:rsidR="00523F4B" w:rsidRDefault="0088316E">
      <w:pPr>
        <w:pStyle w:val="a4"/>
        <w:spacing w:line="360" w:lineRule="auto"/>
        <w:ind w:firstLineChars="200" w:firstLine="480"/>
        <w:jc w:val="both"/>
        <w:rPr>
          <w:bCs/>
          <w:sz w:val="24"/>
          <w:szCs w:val="24"/>
        </w:rPr>
      </w:pPr>
    </w:p>
    <w:p w:rsidR="00523F4B" w:rsidRDefault="0088316E">
      <w:pPr>
        <w:tabs>
          <w:tab w:val="left" w:pos="503"/>
        </w:tabs>
        <w:spacing w:line="360" w:lineRule="auto"/>
        <w:ind w:left="480"/>
        <w:jc w:val="both"/>
        <w:rPr>
          <w:b/>
          <w:bCs/>
          <w:sz w:val="24"/>
          <w:szCs w:val="24"/>
        </w:rPr>
      </w:pPr>
      <w:r>
        <w:rPr>
          <w:rFonts w:hint="eastAsia"/>
          <w:b/>
          <w:bCs/>
          <w:sz w:val="24"/>
          <w:szCs w:val="24"/>
        </w:rPr>
        <w:t>3</w:t>
      </w:r>
      <w:r>
        <w:rPr>
          <w:b/>
          <w:bCs/>
          <w:sz w:val="24"/>
          <w:szCs w:val="24"/>
        </w:rPr>
        <w:t xml:space="preserve">.2 </w:t>
      </w:r>
      <w:r>
        <w:rPr>
          <w:b/>
          <w:bCs/>
          <w:sz w:val="24"/>
          <w:szCs w:val="24"/>
        </w:rPr>
        <w:t>申购费率</w:t>
      </w:r>
    </w:p>
    <w:p w:rsidR="00523F4B" w:rsidRDefault="0088316E">
      <w:pPr>
        <w:pStyle w:val="a4"/>
        <w:spacing w:line="360" w:lineRule="auto"/>
        <w:ind w:firstLineChars="200" w:firstLine="480"/>
        <w:jc w:val="both"/>
        <w:rPr>
          <w:bCs/>
          <w:sz w:val="24"/>
          <w:szCs w:val="24"/>
        </w:rPr>
      </w:pPr>
      <w:r>
        <w:rPr>
          <w:rFonts w:hint="eastAsia"/>
          <w:bCs/>
          <w:sz w:val="24"/>
          <w:szCs w:val="24"/>
        </w:rPr>
        <w:t>本基金</w:t>
      </w:r>
      <w:r>
        <w:rPr>
          <w:rFonts w:hint="eastAsia"/>
          <w:bCs/>
          <w:sz w:val="24"/>
          <w:szCs w:val="24"/>
        </w:rPr>
        <w:t>A</w:t>
      </w:r>
      <w:r>
        <w:rPr>
          <w:rFonts w:hint="eastAsia"/>
          <w:bCs/>
          <w:sz w:val="24"/>
          <w:szCs w:val="24"/>
        </w:rPr>
        <w:t>类基金份额在申购时收取申购费用，</w:t>
      </w:r>
      <w:r>
        <w:rPr>
          <w:rFonts w:hint="eastAsia"/>
          <w:bCs/>
          <w:sz w:val="24"/>
          <w:szCs w:val="24"/>
        </w:rPr>
        <w:t>C</w:t>
      </w:r>
      <w:r>
        <w:rPr>
          <w:rFonts w:hint="eastAsia"/>
          <w:bCs/>
          <w:sz w:val="24"/>
          <w:szCs w:val="24"/>
        </w:rPr>
        <w:t>类基金份额不收取申购费用。本基金</w:t>
      </w:r>
      <w:r>
        <w:rPr>
          <w:rFonts w:hint="eastAsia"/>
          <w:bCs/>
          <w:sz w:val="24"/>
          <w:szCs w:val="24"/>
        </w:rPr>
        <w:t>A</w:t>
      </w:r>
      <w:r>
        <w:rPr>
          <w:rFonts w:hint="eastAsia"/>
          <w:bCs/>
          <w:sz w:val="24"/>
          <w:szCs w:val="24"/>
        </w:rPr>
        <w:t>类基金份额的申购费率按申购金额进行分档。投资人在一天之内如果有多笔申购，适用费率按单笔分别计算。</w:t>
      </w:r>
    </w:p>
    <w:p w:rsidR="00523F4B" w:rsidRDefault="0088316E">
      <w:pPr>
        <w:pStyle w:val="a4"/>
        <w:spacing w:line="360" w:lineRule="auto"/>
        <w:ind w:firstLineChars="200" w:firstLine="480"/>
        <w:jc w:val="both"/>
        <w:rPr>
          <w:bCs/>
          <w:sz w:val="24"/>
          <w:szCs w:val="24"/>
        </w:rPr>
      </w:pPr>
      <w:r>
        <w:rPr>
          <w:rFonts w:hint="eastAsia"/>
          <w:bCs/>
          <w:sz w:val="24"/>
          <w:szCs w:val="24"/>
        </w:rPr>
        <w:t>本基金</w:t>
      </w:r>
      <w:r>
        <w:rPr>
          <w:bCs/>
          <w:sz w:val="24"/>
          <w:szCs w:val="24"/>
        </w:rPr>
        <w:t>A</w:t>
      </w:r>
      <w:r>
        <w:rPr>
          <w:bCs/>
          <w:sz w:val="24"/>
          <w:szCs w:val="24"/>
        </w:rPr>
        <w:t>类基金份额的申购费率如下表所示：</w:t>
      </w:r>
    </w:p>
    <w:p w:rsidR="00523F4B" w:rsidRDefault="0088316E" w:rsidP="0088316E">
      <w:pPr>
        <w:pStyle w:val="a4"/>
        <w:spacing w:line="360" w:lineRule="auto"/>
        <w:ind w:firstLineChars="200" w:firstLine="482"/>
        <w:jc w:val="both"/>
        <w:rPr>
          <w:b/>
          <w:bCs/>
          <w:sz w:val="24"/>
          <w:szCs w:val="24"/>
        </w:rPr>
      </w:pPr>
      <w:r>
        <w:rPr>
          <w:rFonts w:hint="eastAsia"/>
          <w:b/>
          <w:bCs/>
          <w:sz w:val="24"/>
          <w:szCs w:val="24"/>
        </w:rPr>
        <w:t>3</w:t>
      </w:r>
      <w:r>
        <w:rPr>
          <w:b/>
          <w:bCs/>
          <w:sz w:val="24"/>
          <w:szCs w:val="24"/>
        </w:rPr>
        <w:t xml:space="preserve">.2.1 </w:t>
      </w:r>
      <w:r>
        <w:rPr>
          <w:rFonts w:hint="eastAsia"/>
          <w:b/>
          <w:bCs/>
          <w:sz w:val="24"/>
          <w:szCs w:val="24"/>
        </w:rPr>
        <w:t>前端收费</w:t>
      </w:r>
    </w:p>
    <w:tbl>
      <w:tblPr>
        <w:tblW w:w="7156" w:type="dxa"/>
        <w:jc w:val="center"/>
        <w:tblCellSpacing w:w="0" w:type="dxa"/>
        <w:tblBorders>
          <w:top w:val="outset" w:sz="6" w:space="0" w:color="666699"/>
          <w:left w:val="outset" w:sz="6" w:space="0" w:color="666699"/>
          <w:bottom w:val="outset" w:sz="6" w:space="0" w:color="666699"/>
          <w:right w:val="outset" w:sz="6" w:space="0" w:color="666699"/>
          <w:insideH w:val="outset" w:sz="6" w:space="0" w:color="666699"/>
          <w:insideV w:val="outset" w:sz="6" w:space="0" w:color="666699"/>
        </w:tblBorders>
        <w:tblLook w:val="04A0"/>
      </w:tblPr>
      <w:tblGrid>
        <w:gridCol w:w="3360"/>
        <w:gridCol w:w="3796"/>
      </w:tblGrid>
      <w:tr w:rsidR="001263CB">
        <w:trPr>
          <w:tblCellSpacing w:w="0" w:type="dxa"/>
          <w:jc w:val="center"/>
        </w:trPr>
        <w:tc>
          <w:tcPr>
            <w:tcW w:w="3360" w:type="dxa"/>
            <w:tcBorders>
              <w:top w:val="outset" w:sz="6" w:space="0" w:color="666699"/>
              <w:left w:val="outset" w:sz="6" w:space="0" w:color="666699"/>
              <w:bottom w:val="outset" w:sz="6" w:space="0" w:color="666699"/>
              <w:right w:val="outset" w:sz="6" w:space="0" w:color="666699"/>
            </w:tcBorders>
            <w:tcMar>
              <w:top w:w="15" w:type="dxa"/>
              <w:left w:w="15" w:type="dxa"/>
              <w:bottom w:w="15" w:type="dxa"/>
              <w:right w:w="15" w:type="dxa"/>
            </w:tcMar>
            <w:vAlign w:val="center"/>
          </w:tcPr>
          <w:p w:rsidR="00523F4B" w:rsidRDefault="0088316E">
            <w:pPr>
              <w:jc w:val="center"/>
              <w:rPr>
                <w:sz w:val="24"/>
                <w:szCs w:val="24"/>
              </w:rPr>
            </w:pPr>
            <w:r>
              <w:rPr>
                <w:rFonts w:hint="eastAsia"/>
                <w:sz w:val="24"/>
                <w:szCs w:val="24"/>
              </w:rPr>
              <w:t>单笔申购金额（含申购费）</w:t>
            </w:r>
            <w:r>
              <w:rPr>
                <w:sz w:val="24"/>
                <w:szCs w:val="24"/>
              </w:rPr>
              <w:t>M</w:t>
            </w:r>
          </w:p>
        </w:tc>
        <w:tc>
          <w:tcPr>
            <w:tcW w:w="3796" w:type="dxa"/>
            <w:tcBorders>
              <w:top w:val="outset" w:sz="6" w:space="0" w:color="666699"/>
              <w:left w:val="outset" w:sz="6" w:space="0" w:color="666699"/>
              <w:bottom w:val="outset" w:sz="6" w:space="0" w:color="666699"/>
              <w:right w:val="outset" w:sz="6" w:space="0" w:color="666699"/>
            </w:tcBorders>
            <w:tcMar>
              <w:top w:w="15" w:type="dxa"/>
              <w:left w:w="15" w:type="dxa"/>
              <w:bottom w:w="15" w:type="dxa"/>
              <w:right w:w="15" w:type="dxa"/>
            </w:tcMar>
            <w:vAlign w:val="center"/>
          </w:tcPr>
          <w:p w:rsidR="00523F4B" w:rsidRDefault="0088316E">
            <w:pPr>
              <w:jc w:val="center"/>
              <w:rPr>
                <w:sz w:val="24"/>
                <w:szCs w:val="24"/>
              </w:rPr>
            </w:pPr>
            <w:r>
              <w:rPr>
                <w:rFonts w:hint="eastAsia"/>
                <w:sz w:val="24"/>
                <w:szCs w:val="24"/>
              </w:rPr>
              <w:t>申购费率</w:t>
            </w:r>
          </w:p>
        </w:tc>
      </w:tr>
      <w:tr w:rsidR="001263CB">
        <w:trPr>
          <w:tblCellSpacing w:w="0" w:type="dxa"/>
          <w:jc w:val="center"/>
        </w:trPr>
        <w:tc>
          <w:tcPr>
            <w:tcW w:w="3360" w:type="dxa"/>
            <w:tcBorders>
              <w:top w:val="outset" w:sz="6" w:space="0" w:color="666699"/>
              <w:left w:val="outset" w:sz="6" w:space="0" w:color="666699"/>
              <w:bottom w:val="outset" w:sz="6" w:space="0" w:color="666699"/>
              <w:right w:val="outset" w:sz="6" w:space="0" w:color="666699"/>
            </w:tcBorders>
            <w:tcMar>
              <w:top w:w="15" w:type="dxa"/>
              <w:left w:w="15" w:type="dxa"/>
              <w:bottom w:w="15" w:type="dxa"/>
              <w:right w:w="15" w:type="dxa"/>
            </w:tcMar>
          </w:tcPr>
          <w:p w:rsidR="00523F4B" w:rsidRDefault="0088316E">
            <w:pPr>
              <w:jc w:val="center"/>
              <w:rPr>
                <w:sz w:val="24"/>
                <w:szCs w:val="24"/>
              </w:rPr>
            </w:pPr>
            <w:r>
              <w:rPr>
                <w:sz w:val="24"/>
                <w:szCs w:val="24"/>
              </w:rPr>
              <w:t>M</w:t>
            </w:r>
            <w:r>
              <w:rPr>
                <w:rFonts w:hint="eastAsia"/>
                <w:sz w:val="24"/>
                <w:szCs w:val="24"/>
              </w:rPr>
              <w:t>＜</w:t>
            </w:r>
            <w:r>
              <w:rPr>
                <w:sz w:val="24"/>
                <w:szCs w:val="24"/>
              </w:rPr>
              <w:t>10</w:t>
            </w:r>
            <w:r>
              <w:rPr>
                <w:rFonts w:hint="eastAsia"/>
                <w:sz w:val="24"/>
                <w:szCs w:val="24"/>
              </w:rPr>
              <w:t>0</w:t>
            </w:r>
            <w:r>
              <w:rPr>
                <w:rFonts w:hint="eastAsia"/>
                <w:sz w:val="24"/>
                <w:szCs w:val="24"/>
              </w:rPr>
              <w:t>万元</w:t>
            </w:r>
          </w:p>
        </w:tc>
        <w:tc>
          <w:tcPr>
            <w:tcW w:w="3796" w:type="dxa"/>
            <w:tcBorders>
              <w:top w:val="outset" w:sz="6" w:space="0" w:color="666699"/>
              <w:left w:val="outset" w:sz="6" w:space="0" w:color="666699"/>
              <w:bottom w:val="outset" w:sz="6" w:space="0" w:color="666699"/>
              <w:right w:val="outset" w:sz="6" w:space="0" w:color="666699"/>
            </w:tcBorders>
            <w:tcMar>
              <w:top w:w="15" w:type="dxa"/>
              <w:left w:w="15" w:type="dxa"/>
              <w:bottom w:w="15" w:type="dxa"/>
              <w:right w:w="15" w:type="dxa"/>
            </w:tcMar>
          </w:tcPr>
          <w:p w:rsidR="00523F4B" w:rsidRDefault="0088316E">
            <w:pPr>
              <w:jc w:val="center"/>
              <w:rPr>
                <w:sz w:val="24"/>
                <w:szCs w:val="24"/>
              </w:rPr>
            </w:pPr>
            <w:r>
              <w:rPr>
                <w:rFonts w:hint="eastAsia"/>
                <w:sz w:val="24"/>
                <w:szCs w:val="24"/>
              </w:rPr>
              <w:t>0.</w:t>
            </w:r>
            <w:r>
              <w:rPr>
                <w:rFonts w:hint="eastAsia"/>
                <w:sz w:val="24"/>
                <w:szCs w:val="24"/>
              </w:rPr>
              <w:t>70</w:t>
            </w:r>
            <w:r>
              <w:rPr>
                <w:sz w:val="24"/>
                <w:szCs w:val="24"/>
              </w:rPr>
              <w:t>%</w:t>
            </w:r>
          </w:p>
        </w:tc>
      </w:tr>
      <w:tr w:rsidR="001263CB">
        <w:trPr>
          <w:tblCellSpacing w:w="0" w:type="dxa"/>
          <w:jc w:val="center"/>
        </w:trPr>
        <w:tc>
          <w:tcPr>
            <w:tcW w:w="3360" w:type="dxa"/>
            <w:tcBorders>
              <w:top w:val="outset" w:sz="6" w:space="0" w:color="666699"/>
              <w:left w:val="outset" w:sz="6" w:space="0" w:color="666699"/>
              <w:bottom w:val="outset" w:sz="6" w:space="0" w:color="666699"/>
              <w:right w:val="outset" w:sz="6" w:space="0" w:color="666699"/>
            </w:tcBorders>
            <w:tcMar>
              <w:top w:w="15" w:type="dxa"/>
              <w:left w:w="15" w:type="dxa"/>
              <w:bottom w:w="15" w:type="dxa"/>
              <w:right w:w="15" w:type="dxa"/>
            </w:tcMar>
          </w:tcPr>
          <w:p w:rsidR="00523F4B" w:rsidRDefault="0088316E">
            <w:pPr>
              <w:jc w:val="center"/>
              <w:rPr>
                <w:sz w:val="24"/>
                <w:szCs w:val="24"/>
              </w:rPr>
            </w:pPr>
            <w:r>
              <w:rPr>
                <w:sz w:val="24"/>
                <w:szCs w:val="24"/>
              </w:rPr>
              <w:t>1</w:t>
            </w:r>
            <w:r>
              <w:rPr>
                <w:rFonts w:hint="eastAsia"/>
                <w:sz w:val="24"/>
                <w:szCs w:val="24"/>
              </w:rPr>
              <w:t>00</w:t>
            </w:r>
            <w:r>
              <w:rPr>
                <w:rFonts w:hint="eastAsia"/>
                <w:sz w:val="24"/>
                <w:szCs w:val="24"/>
              </w:rPr>
              <w:t>万元≤</w:t>
            </w:r>
            <w:r>
              <w:rPr>
                <w:sz w:val="24"/>
                <w:szCs w:val="24"/>
              </w:rPr>
              <w:t>M</w:t>
            </w:r>
            <w:r>
              <w:rPr>
                <w:rFonts w:hint="eastAsia"/>
                <w:sz w:val="24"/>
                <w:szCs w:val="24"/>
              </w:rPr>
              <w:t>＜</w:t>
            </w:r>
            <w:r>
              <w:rPr>
                <w:sz w:val="24"/>
                <w:szCs w:val="24"/>
              </w:rPr>
              <w:t>5</w:t>
            </w:r>
            <w:r>
              <w:rPr>
                <w:rFonts w:hint="eastAsia"/>
                <w:sz w:val="24"/>
                <w:szCs w:val="24"/>
              </w:rPr>
              <w:t>00</w:t>
            </w:r>
            <w:r>
              <w:rPr>
                <w:rFonts w:hint="eastAsia"/>
                <w:sz w:val="24"/>
                <w:szCs w:val="24"/>
              </w:rPr>
              <w:t>万元</w:t>
            </w:r>
          </w:p>
        </w:tc>
        <w:tc>
          <w:tcPr>
            <w:tcW w:w="3796" w:type="dxa"/>
            <w:tcBorders>
              <w:top w:val="outset" w:sz="6" w:space="0" w:color="666699"/>
              <w:left w:val="outset" w:sz="6" w:space="0" w:color="666699"/>
              <w:bottom w:val="outset" w:sz="6" w:space="0" w:color="666699"/>
              <w:right w:val="outset" w:sz="6" w:space="0" w:color="666699"/>
            </w:tcBorders>
            <w:tcMar>
              <w:top w:w="15" w:type="dxa"/>
              <w:left w:w="15" w:type="dxa"/>
              <w:bottom w:w="15" w:type="dxa"/>
              <w:right w:w="15" w:type="dxa"/>
            </w:tcMar>
          </w:tcPr>
          <w:p w:rsidR="00523F4B" w:rsidRDefault="0088316E">
            <w:pPr>
              <w:jc w:val="center"/>
              <w:rPr>
                <w:sz w:val="24"/>
                <w:szCs w:val="24"/>
              </w:rPr>
            </w:pPr>
            <w:r>
              <w:rPr>
                <w:sz w:val="24"/>
                <w:szCs w:val="24"/>
              </w:rPr>
              <w:t>0.</w:t>
            </w:r>
            <w:r>
              <w:rPr>
                <w:rFonts w:hint="eastAsia"/>
                <w:sz w:val="24"/>
                <w:szCs w:val="24"/>
              </w:rPr>
              <w:t>40</w:t>
            </w:r>
            <w:r>
              <w:rPr>
                <w:sz w:val="24"/>
                <w:szCs w:val="24"/>
              </w:rPr>
              <w:t>%</w:t>
            </w:r>
          </w:p>
        </w:tc>
      </w:tr>
      <w:tr w:rsidR="001263CB">
        <w:trPr>
          <w:tblCellSpacing w:w="0" w:type="dxa"/>
          <w:jc w:val="center"/>
        </w:trPr>
        <w:tc>
          <w:tcPr>
            <w:tcW w:w="3360" w:type="dxa"/>
            <w:tcBorders>
              <w:top w:val="outset" w:sz="6" w:space="0" w:color="666699"/>
              <w:left w:val="outset" w:sz="6" w:space="0" w:color="666699"/>
              <w:bottom w:val="outset" w:sz="6" w:space="0" w:color="666699"/>
              <w:right w:val="outset" w:sz="6" w:space="0" w:color="666699"/>
            </w:tcBorders>
            <w:tcMar>
              <w:top w:w="15" w:type="dxa"/>
              <w:left w:w="15" w:type="dxa"/>
              <w:bottom w:w="15" w:type="dxa"/>
              <w:right w:w="15" w:type="dxa"/>
            </w:tcMar>
          </w:tcPr>
          <w:p w:rsidR="00523F4B" w:rsidRDefault="0088316E">
            <w:pPr>
              <w:jc w:val="center"/>
              <w:rPr>
                <w:sz w:val="24"/>
                <w:szCs w:val="24"/>
              </w:rPr>
            </w:pPr>
            <w:r>
              <w:rPr>
                <w:sz w:val="24"/>
                <w:szCs w:val="24"/>
              </w:rPr>
              <w:t>M</w:t>
            </w:r>
            <w:r>
              <w:rPr>
                <w:rFonts w:hint="eastAsia"/>
                <w:sz w:val="24"/>
                <w:szCs w:val="24"/>
              </w:rPr>
              <w:t>≥</w:t>
            </w:r>
            <w:r>
              <w:rPr>
                <w:rFonts w:hint="eastAsia"/>
                <w:sz w:val="24"/>
                <w:szCs w:val="24"/>
              </w:rPr>
              <w:t>5</w:t>
            </w:r>
            <w:r>
              <w:rPr>
                <w:sz w:val="24"/>
                <w:szCs w:val="24"/>
              </w:rPr>
              <w:t>00</w:t>
            </w:r>
            <w:r>
              <w:rPr>
                <w:rFonts w:hint="eastAsia"/>
                <w:sz w:val="24"/>
                <w:szCs w:val="24"/>
              </w:rPr>
              <w:t>万元</w:t>
            </w:r>
          </w:p>
        </w:tc>
        <w:tc>
          <w:tcPr>
            <w:tcW w:w="3796" w:type="dxa"/>
            <w:tcBorders>
              <w:top w:val="outset" w:sz="6" w:space="0" w:color="666699"/>
              <w:left w:val="outset" w:sz="6" w:space="0" w:color="666699"/>
              <w:bottom w:val="outset" w:sz="6" w:space="0" w:color="666699"/>
              <w:right w:val="outset" w:sz="6" w:space="0" w:color="666699"/>
            </w:tcBorders>
            <w:tcMar>
              <w:top w:w="15" w:type="dxa"/>
              <w:left w:w="15" w:type="dxa"/>
              <w:bottom w:w="15" w:type="dxa"/>
              <w:right w:w="15" w:type="dxa"/>
            </w:tcMar>
          </w:tcPr>
          <w:p w:rsidR="00523F4B" w:rsidRDefault="0088316E">
            <w:pPr>
              <w:jc w:val="center"/>
              <w:rPr>
                <w:sz w:val="24"/>
                <w:szCs w:val="24"/>
              </w:rPr>
            </w:pPr>
            <w:r>
              <w:rPr>
                <w:rFonts w:hint="eastAsia"/>
                <w:sz w:val="24"/>
                <w:szCs w:val="24"/>
              </w:rPr>
              <w:t>1000</w:t>
            </w:r>
            <w:r>
              <w:rPr>
                <w:rFonts w:hint="eastAsia"/>
                <w:sz w:val="24"/>
                <w:szCs w:val="24"/>
              </w:rPr>
              <w:t>元</w:t>
            </w:r>
            <w:r>
              <w:rPr>
                <w:rFonts w:hint="eastAsia"/>
                <w:sz w:val="24"/>
                <w:szCs w:val="24"/>
              </w:rPr>
              <w:t>/</w:t>
            </w:r>
            <w:r>
              <w:rPr>
                <w:rFonts w:hint="eastAsia"/>
                <w:sz w:val="24"/>
                <w:szCs w:val="24"/>
              </w:rPr>
              <w:t>笔</w:t>
            </w:r>
          </w:p>
        </w:tc>
      </w:tr>
    </w:tbl>
    <w:p w:rsidR="00523F4B" w:rsidRPr="00E643DB" w:rsidRDefault="0088316E">
      <w:pPr>
        <w:pStyle w:val="-"/>
        <w:ind w:firstLine="480"/>
        <w:rPr>
          <w:bCs/>
          <w:sz w:val="24"/>
          <w:szCs w:val="24"/>
        </w:rPr>
      </w:pPr>
      <w:r w:rsidRPr="00E643DB">
        <w:rPr>
          <w:rFonts w:hint="eastAsia"/>
          <w:bCs/>
          <w:sz w:val="24"/>
          <w:szCs w:val="24"/>
        </w:rPr>
        <w:t>本基金</w:t>
      </w:r>
      <w:r w:rsidRPr="00E643DB">
        <w:rPr>
          <w:rFonts w:hint="eastAsia"/>
          <w:bCs/>
          <w:sz w:val="24"/>
          <w:szCs w:val="24"/>
        </w:rPr>
        <w:t>A</w:t>
      </w:r>
      <w:r w:rsidRPr="00E643DB">
        <w:rPr>
          <w:rFonts w:hint="eastAsia"/>
          <w:bCs/>
          <w:sz w:val="24"/>
          <w:szCs w:val="24"/>
        </w:rPr>
        <w:t>类基金份额的申购费用由投资人承担，不列入基金资产，用于基金的市场推广、销售、登记等各项费用。</w:t>
      </w:r>
    </w:p>
    <w:p w:rsidR="00523F4B" w:rsidRDefault="0088316E">
      <w:pPr>
        <w:pStyle w:val="a4"/>
        <w:spacing w:line="360" w:lineRule="auto"/>
        <w:ind w:firstLineChars="200" w:firstLine="480"/>
        <w:jc w:val="both"/>
        <w:rPr>
          <w:bCs/>
          <w:sz w:val="24"/>
          <w:szCs w:val="24"/>
        </w:rPr>
      </w:pPr>
    </w:p>
    <w:p w:rsidR="00523F4B" w:rsidRDefault="0088316E">
      <w:pPr>
        <w:tabs>
          <w:tab w:val="left" w:pos="488"/>
        </w:tabs>
        <w:spacing w:line="360" w:lineRule="auto"/>
        <w:ind w:left="480"/>
        <w:jc w:val="both"/>
        <w:rPr>
          <w:b/>
          <w:bCs/>
          <w:sz w:val="24"/>
          <w:szCs w:val="24"/>
        </w:rPr>
      </w:pPr>
      <w:r>
        <w:rPr>
          <w:b/>
          <w:bCs/>
          <w:sz w:val="24"/>
          <w:szCs w:val="24"/>
        </w:rPr>
        <w:t xml:space="preserve">3.3 </w:t>
      </w:r>
      <w:r>
        <w:rPr>
          <w:b/>
          <w:bCs/>
          <w:sz w:val="24"/>
          <w:szCs w:val="24"/>
        </w:rPr>
        <w:t>其他与申购相关的事项</w:t>
      </w:r>
    </w:p>
    <w:p w:rsidR="00523F4B" w:rsidRDefault="0088316E">
      <w:pPr>
        <w:pStyle w:val="a4"/>
        <w:spacing w:line="360" w:lineRule="auto"/>
        <w:ind w:firstLineChars="200" w:firstLine="480"/>
        <w:jc w:val="both"/>
        <w:rPr>
          <w:bCs/>
          <w:sz w:val="24"/>
          <w:szCs w:val="24"/>
        </w:rPr>
      </w:pPr>
      <w:r>
        <w:rPr>
          <w:rFonts w:hint="eastAsia"/>
          <w:bCs/>
          <w:sz w:val="24"/>
          <w:szCs w:val="24"/>
        </w:rPr>
        <w:t>（</w:t>
      </w:r>
      <w:r>
        <w:rPr>
          <w:rFonts w:hint="eastAsia"/>
          <w:bCs/>
          <w:sz w:val="24"/>
          <w:szCs w:val="24"/>
        </w:rPr>
        <w:t>1</w:t>
      </w:r>
      <w:r>
        <w:rPr>
          <w:rFonts w:hint="eastAsia"/>
          <w:bCs/>
          <w:sz w:val="24"/>
          <w:szCs w:val="24"/>
        </w:rPr>
        <w:t>）基金管理人应以交易时间结束前受理有效申购申请的当天作为申购申请日（</w:t>
      </w:r>
      <w:r>
        <w:rPr>
          <w:rFonts w:hint="eastAsia"/>
          <w:bCs/>
          <w:sz w:val="24"/>
          <w:szCs w:val="24"/>
        </w:rPr>
        <w:t>T</w:t>
      </w:r>
      <w:r>
        <w:rPr>
          <w:rFonts w:hint="eastAsia"/>
          <w:bCs/>
          <w:sz w:val="24"/>
          <w:szCs w:val="24"/>
        </w:rPr>
        <w:t>日），在正常情况下，本基金登记机构在</w:t>
      </w:r>
      <w:r>
        <w:rPr>
          <w:rFonts w:hint="eastAsia"/>
          <w:bCs/>
          <w:sz w:val="24"/>
          <w:szCs w:val="24"/>
        </w:rPr>
        <w:t>T+1</w:t>
      </w:r>
      <w:r>
        <w:rPr>
          <w:rFonts w:hint="eastAsia"/>
          <w:bCs/>
          <w:sz w:val="24"/>
          <w:szCs w:val="24"/>
        </w:rPr>
        <w:t>日内对该交易的有效性进行</w:t>
      </w:r>
      <w:r>
        <w:rPr>
          <w:rFonts w:hint="eastAsia"/>
          <w:bCs/>
          <w:sz w:val="24"/>
          <w:szCs w:val="24"/>
        </w:rPr>
        <w:lastRenderedPageBreak/>
        <w:t>确认。</w:t>
      </w:r>
      <w:r>
        <w:rPr>
          <w:rFonts w:hint="eastAsia"/>
          <w:bCs/>
          <w:sz w:val="24"/>
          <w:szCs w:val="24"/>
        </w:rPr>
        <w:t>T</w:t>
      </w:r>
      <w:r>
        <w:rPr>
          <w:rFonts w:hint="eastAsia"/>
          <w:bCs/>
          <w:sz w:val="24"/>
          <w:szCs w:val="24"/>
        </w:rPr>
        <w:t>日提交的有效申请，投资人可在</w:t>
      </w:r>
      <w:r>
        <w:rPr>
          <w:rFonts w:hint="eastAsia"/>
          <w:bCs/>
          <w:sz w:val="24"/>
          <w:szCs w:val="24"/>
        </w:rPr>
        <w:t>T+2</w:t>
      </w:r>
      <w:r>
        <w:rPr>
          <w:rFonts w:hint="eastAsia"/>
          <w:bCs/>
          <w:sz w:val="24"/>
          <w:szCs w:val="24"/>
        </w:rPr>
        <w:t>日后（包括该日）</w:t>
      </w:r>
      <w:bookmarkStart w:id="2" w:name="_Hlk88739350"/>
      <w:r>
        <w:rPr>
          <w:rFonts w:hint="eastAsia"/>
          <w:bCs/>
          <w:sz w:val="24"/>
          <w:szCs w:val="24"/>
        </w:rPr>
        <w:t>到销售网点柜台或以销售机构规定的其他方式查询申请的确认情况。</w:t>
      </w:r>
      <w:bookmarkEnd w:id="2"/>
      <w:r>
        <w:rPr>
          <w:rFonts w:hint="eastAsia"/>
          <w:bCs/>
          <w:sz w:val="24"/>
          <w:szCs w:val="24"/>
        </w:rPr>
        <w:t>若申购不成功或无效，则申购款项本金退还给投资人。销售机构对申购申请的受理并不代表该申请一定成功，而仅代表销售机构确实接收</w:t>
      </w:r>
      <w:r>
        <w:rPr>
          <w:rFonts w:hint="eastAsia"/>
          <w:bCs/>
          <w:sz w:val="24"/>
          <w:szCs w:val="24"/>
        </w:rPr>
        <w:t>到申购申请。申购申请的确认以登记机构的确认结果为准；</w:t>
      </w:r>
    </w:p>
    <w:p w:rsidR="00523F4B" w:rsidRDefault="0088316E">
      <w:pPr>
        <w:pStyle w:val="a4"/>
        <w:spacing w:line="360" w:lineRule="auto"/>
        <w:ind w:firstLineChars="200" w:firstLine="480"/>
        <w:jc w:val="both"/>
        <w:rPr>
          <w:bCs/>
          <w:sz w:val="24"/>
          <w:szCs w:val="24"/>
        </w:rPr>
      </w:pPr>
      <w:r>
        <w:rPr>
          <w:rFonts w:hint="eastAsia"/>
          <w:bCs/>
          <w:sz w:val="24"/>
          <w:szCs w:val="24"/>
        </w:rPr>
        <w:t>（</w:t>
      </w:r>
      <w:r>
        <w:rPr>
          <w:bCs/>
          <w:sz w:val="24"/>
          <w:szCs w:val="24"/>
        </w:rPr>
        <w:t>2</w:t>
      </w:r>
      <w:r>
        <w:rPr>
          <w:bCs/>
          <w:sz w:val="24"/>
          <w:szCs w:val="24"/>
        </w:rPr>
        <w:t>）申购以金额申请，遵循</w:t>
      </w:r>
      <w:r>
        <w:rPr>
          <w:bCs/>
          <w:sz w:val="24"/>
          <w:szCs w:val="24"/>
        </w:rPr>
        <w:t>“</w:t>
      </w:r>
      <w:r>
        <w:rPr>
          <w:bCs/>
          <w:sz w:val="24"/>
          <w:szCs w:val="24"/>
        </w:rPr>
        <w:t>未知价</w:t>
      </w:r>
      <w:r>
        <w:rPr>
          <w:bCs/>
          <w:sz w:val="24"/>
          <w:szCs w:val="24"/>
        </w:rPr>
        <w:t>”</w:t>
      </w:r>
      <w:r>
        <w:rPr>
          <w:bCs/>
          <w:sz w:val="24"/>
          <w:szCs w:val="24"/>
        </w:rPr>
        <w:t>原则，即申购价格</w:t>
      </w:r>
      <w:r>
        <w:rPr>
          <w:rFonts w:hint="eastAsia"/>
          <w:bCs/>
          <w:sz w:val="24"/>
          <w:szCs w:val="24"/>
        </w:rPr>
        <w:t>以申请当日收市后计算的各类基金份额净值为基准进行计算</w:t>
      </w:r>
      <w:r>
        <w:rPr>
          <w:bCs/>
          <w:sz w:val="24"/>
          <w:szCs w:val="24"/>
        </w:rPr>
        <w:t>；</w:t>
      </w:r>
    </w:p>
    <w:p w:rsidR="00523F4B" w:rsidRDefault="0088316E">
      <w:pPr>
        <w:pStyle w:val="a4"/>
        <w:spacing w:line="360" w:lineRule="auto"/>
        <w:ind w:firstLineChars="200" w:firstLine="480"/>
        <w:jc w:val="both"/>
        <w:rPr>
          <w:bCs/>
          <w:sz w:val="24"/>
          <w:szCs w:val="24"/>
        </w:rPr>
      </w:pPr>
      <w:r>
        <w:rPr>
          <w:rFonts w:hint="eastAsia"/>
          <w:bCs/>
          <w:sz w:val="24"/>
          <w:szCs w:val="24"/>
        </w:rPr>
        <w:t>（</w:t>
      </w:r>
      <w:r>
        <w:rPr>
          <w:bCs/>
          <w:sz w:val="24"/>
          <w:szCs w:val="24"/>
        </w:rPr>
        <w:t>3</w:t>
      </w:r>
      <w:r>
        <w:rPr>
          <w:bCs/>
          <w:sz w:val="24"/>
          <w:szCs w:val="24"/>
        </w:rPr>
        <w:t>）</w:t>
      </w:r>
      <w:r>
        <w:rPr>
          <w:rFonts w:hint="eastAsia"/>
          <w:bCs/>
          <w:sz w:val="24"/>
          <w:szCs w:val="24"/>
        </w:rPr>
        <w:t>投资人申购基金份额时，必须全额交付申购款项，投资人交付申购款项，申购成立；基金份额登记机构确认基金份额时，申购生效；</w:t>
      </w:r>
    </w:p>
    <w:p w:rsidR="00523F4B" w:rsidRDefault="0088316E">
      <w:pPr>
        <w:pStyle w:val="a4"/>
        <w:spacing w:line="360" w:lineRule="auto"/>
        <w:ind w:firstLineChars="200" w:firstLine="480"/>
        <w:jc w:val="both"/>
        <w:rPr>
          <w:bCs/>
          <w:sz w:val="24"/>
          <w:szCs w:val="24"/>
        </w:rPr>
      </w:pPr>
      <w:r>
        <w:rPr>
          <w:rFonts w:hint="eastAsia"/>
          <w:bCs/>
          <w:sz w:val="24"/>
          <w:szCs w:val="24"/>
        </w:rPr>
        <w:t>（</w:t>
      </w:r>
      <w:r>
        <w:rPr>
          <w:bCs/>
          <w:sz w:val="24"/>
          <w:szCs w:val="24"/>
        </w:rPr>
        <w:t>4</w:t>
      </w:r>
      <w:r>
        <w:rPr>
          <w:bCs/>
          <w:sz w:val="24"/>
          <w:szCs w:val="24"/>
        </w:rPr>
        <w:t>）当日的申购申请可以在基金管理人规定的时间以内撤销。</w:t>
      </w:r>
    </w:p>
    <w:p w:rsidR="00523F4B" w:rsidRDefault="0088316E" w:rsidP="0088316E">
      <w:pPr>
        <w:pStyle w:val="a4"/>
        <w:spacing w:line="360" w:lineRule="auto"/>
        <w:ind w:firstLineChars="200" w:firstLine="454"/>
        <w:jc w:val="both"/>
        <w:rPr>
          <w:w w:val="95"/>
          <w:sz w:val="24"/>
          <w:szCs w:val="24"/>
        </w:rPr>
      </w:pPr>
    </w:p>
    <w:p w:rsidR="00523F4B" w:rsidRDefault="0088316E" w:rsidP="0088316E">
      <w:pPr>
        <w:tabs>
          <w:tab w:val="left" w:pos="330"/>
        </w:tabs>
        <w:spacing w:line="360" w:lineRule="auto"/>
        <w:ind w:firstLineChars="200" w:firstLine="482"/>
        <w:jc w:val="both"/>
        <w:outlineLvl w:val="0"/>
        <w:rPr>
          <w:b/>
          <w:bCs/>
          <w:sz w:val="24"/>
          <w:szCs w:val="24"/>
        </w:rPr>
      </w:pPr>
      <w:r>
        <w:rPr>
          <w:rFonts w:hint="eastAsia"/>
          <w:b/>
          <w:bCs/>
          <w:sz w:val="24"/>
          <w:szCs w:val="24"/>
        </w:rPr>
        <w:t>4</w:t>
      </w:r>
      <w:r>
        <w:rPr>
          <w:b/>
          <w:bCs/>
          <w:sz w:val="24"/>
          <w:szCs w:val="24"/>
        </w:rPr>
        <w:t xml:space="preserve"> </w:t>
      </w:r>
      <w:r>
        <w:rPr>
          <w:b/>
          <w:bCs/>
          <w:sz w:val="24"/>
          <w:szCs w:val="24"/>
        </w:rPr>
        <w:t>日常赎回业务</w:t>
      </w:r>
    </w:p>
    <w:p w:rsidR="00523F4B" w:rsidRDefault="0088316E">
      <w:pPr>
        <w:tabs>
          <w:tab w:val="left" w:pos="503"/>
        </w:tabs>
        <w:spacing w:line="360" w:lineRule="auto"/>
        <w:ind w:left="480"/>
        <w:jc w:val="both"/>
        <w:rPr>
          <w:b/>
          <w:bCs/>
          <w:sz w:val="24"/>
          <w:szCs w:val="24"/>
        </w:rPr>
      </w:pPr>
      <w:r>
        <w:rPr>
          <w:rFonts w:hint="eastAsia"/>
          <w:b/>
          <w:bCs/>
          <w:sz w:val="24"/>
          <w:szCs w:val="24"/>
        </w:rPr>
        <w:t>4</w:t>
      </w:r>
      <w:r>
        <w:rPr>
          <w:b/>
          <w:bCs/>
          <w:sz w:val="24"/>
          <w:szCs w:val="24"/>
        </w:rPr>
        <w:t xml:space="preserve">.1 </w:t>
      </w:r>
      <w:r>
        <w:rPr>
          <w:b/>
          <w:bCs/>
          <w:sz w:val="24"/>
          <w:szCs w:val="24"/>
        </w:rPr>
        <w:t>赎回份额限制</w:t>
      </w:r>
    </w:p>
    <w:p w:rsidR="00523F4B" w:rsidRDefault="0088316E">
      <w:pPr>
        <w:pStyle w:val="a4"/>
        <w:spacing w:line="360" w:lineRule="auto"/>
        <w:ind w:firstLineChars="200" w:firstLine="480"/>
        <w:jc w:val="both"/>
        <w:rPr>
          <w:bCs/>
          <w:sz w:val="24"/>
          <w:szCs w:val="24"/>
        </w:rPr>
      </w:pPr>
      <w:r>
        <w:rPr>
          <w:rFonts w:hint="eastAsia"/>
          <w:bCs/>
          <w:sz w:val="24"/>
          <w:szCs w:val="24"/>
        </w:rPr>
        <w:t>每次赎回的最低份额为</w:t>
      </w:r>
      <w:r>
        <w:rPr>
          <w:rFonts w:hint="eastAsia"/>
          <w:bCs/>
          <w:sz w:val="24"/>
          <w:szCs w:val="24"/>
        </w:rPr>
        <w:t>1</w:t>
      </w:r>
      <w:r>
        <w:rPr>
          <w:rFonts w:hint="eastAsia"/>
          <w:bCs/>
          <w:sz w:val="24"/>
          <w:szCs w:val="24"/>
        </w:rPr>
        <w:t>份。基金份额持有人赎回时或赎回后在销售机构网点保留的基金份额余额不足</w:t>
      </w:r>
      <w:r>
        <w:rPr>
          <w:rFonts w:hint="eastAsia"/>
          <w:bCs/>
          <w:sz w:val="24"/>
          <w:szCs w:val="24"/>
        </w:rPr>
        <w:t>1</w:t>
      </w:r>
      <w:r>
        <w:rPr>
          <w:rFonts w:hint="eastAsia"/>
          <w:bCs/>
          <w:sz w:val="24"/>
          <w:szCs w:val="24"/>
        </w:rPr>
        <w:t>份的，在赎回时需一次全部赎回。实际操作中，以各</w:t>
      </w:r>
      <w:r>
        <w:rPr>
          <w:rFonts w:hint="eastAsia"/>
          <w:bCs/>
          <w:sz w:val="24"/>
          <w:szCs w:val="24"/>
        </w:rPr>
        <w:t>销售</w:t>
      </w:r>
      <w:r>
        <w:rPr>
          <w:rFonts w:hint="eastAsia"/>
          <w:bCs/>
          <w:sz w:val="24"/>
          <w:szCs w:val="24"/>
        </w:rPr>
        <w:t>机构的具体规定为准。</w:t>
      </w:r>
    </w:p>
    <w:p w:rsidR="00523F4B" w:rsidRDefault="0088316E">
      <w:pPr>
        <w:tabs>
          <w:tab w:val="left" w:pos="503"/>
        </w:tabs>
        <w:spacing w:line="360" w:lineRule="auto"/>
        <w:ind w:left="480"/>
        <w:jc w:val="both"/>
        <w:rPr>
          <w:b/>
          <w:bCs/>
          <w:sz w:val="24"/>
          <w:szCs w:val="24"/>
        </w:rPr>
      </w:pPr>
      <w:r>
        <w:rPr>
          <w:rFonts w:hint="eastAsia"/>
          <w:b/>
          <w:bCs/>
          <w:sz w:val="24"/>
          <w:szCs w:val="24"/>
        </w:rPr>
        <w:t>4</w:t>
      </w:r>
      <w:r>
        <w:rPr>
          <w:b/>
          <w:bCs/>
          <w:sz w:val="24"/>
          <w:szCs w:val="24"/>
        </w:rPr>
        <w:t xml:space="preserve">.2 </w:t>
      </w:r>
      <w:r>
        <w:rPr>
          <w:b/>
          <w:bCs/>
          <w:sz w:val="24"/>
          <w:szCs w:val="24"/>
        </w:rPr>
        <w:t>赎回费率</w:t>
      </w:r>
    </w:p>
    <w:p w:rsidR="00523F4B" w:rsidRDefault="0088316E">
      <w:pPr>
        <w:pStyle w:val="a4"/>
        <w:spacing w:line="360" w:lineRule="auto"/>
        <w:ind w:firstLineChars="200" w:firstLine="480"/>
        <w:jc w:val="both"/>
        <w:rPr>
          <w:bCs/>
          <w:sz w:val="24"/>
          <w:szCs w:val="24"/>
        </w:rPr>
      </w:pPr>
      <w:bookmarkStart w:id="3" w:name="_Hlk98267113"/>
      <w:r>
        <w:rPr>
          <w:rFonts w:hint="eastAsia"/>
          <w:bCs/>
          <w:sz w:val="24"/>
          <w:szCs w:val="24"/>
        </w:rPr>
        <w:t>本基金的赎回费在本基金份额持有人赎回本基金份额时收取。本基金份额的赎回费率按照持有时间递减，即本基金份额持有时间越长，所适用的赎回费率越低。</w:t>
      </w:r>
    </w:p>
    <w:p w:rsidR="00523F4B" w:rsidRDefault="0088316E">
      <w:pPr>
        <w:pStyle w:val="a4"/>
        <w:spacing w:line="360" w:lineRule="auto"/>
        <w:ind w:firstLineChars="200" w:firstLine="480"/>
        <w:jc w:val="both"/>
        <w:rPr>
          <w:bCs/>
          <w:sz w:val="24"/>
          <w:szCs w:val="24"/>
        </w:rPr>
      </w:pPr>
      <w:r>
        <w:rPr>
          <w:rFonts w:hint="eastAsia"/>
          <w:bCs/>
          <w:sz w:val="24"/>
          <w:szCs w:val="24"/>
        </w:rPr>
        <w:t>本基金</w:t>
      </w:r>
      <w:r>
        <w:rPr>
          <w:rFonts w:hint="eastAsia"/>
          <w:bCs/>
          <w:sz w:val="24"/>
          <w:szCs w:val="24"/>
        </w:rPr>
        <w:t>A</w:t>
      </w:r>
      <w:r>
        <w:rPr>
          <w:rFonts w:hint="eastAsia"/>
          <w:bCs/>
          <w:sz w:val="24"/>
          <w:szCs w:val="24"/>
        </w:rPr>
        <w:t>类基金份额的赎回费率如下表所示：</w:t>
      </w:r>
    </w:p>
    <w:tbl>
      <w:tblPr>
        <w:tblW w:w="7156" w:type="dxa"/>
        <w:jc w:val="center"/>
        <w:tblCellSpacing w:w="0" w:type="dxa"/>
        <w:tblBorders>
          <w:top w:val="outset" w:sz="6" w:space="0" w:color="666699"/>
          <w:left w:val="outset" w:sz="6" w:space="0" w:color="666699"/>
          <w:bottom w:val="outset" w:sz="6" w:space="0" w:color="666699"/>
          <w:right w:val="outset" w:sz="6" w:space="0" w:color="666699"/>
          <w:insideH w:val="outset" w:sz="6" w:space="0" w:color="666699"/>
          <w:insideV w:val="outset" w:sz="6" w:space="0" w:color="666699"/>
        </w:tblBorders>
        <w:tblLayout w:type="fixed"/>
        <w:tblLook w:val="04A0"/>
      </w:tblPr>
      <w:tblGrid>
        <w:gridCol w:w="3360"/>
        <w:gridCol w:w="3796"/>
      </w:tblGrid>
      <w:tr w:rsidR="001263CB">
        <w:trPr>
          <w:tblCellSpacing w:w="0" w:type="dxa"/>
          <w:jc w:val="center"/>
        </w:trPr>
        <w:tc>
          <w:tcPr>
            <w:tcW w:w="3360" w:type="dxa"/>
            <w:tcBorders>
              <w:top w:val="outset" w:sz="6" w:space="0" w:color="666699"/>
              <w:left w:val="outset" w:sz="6" w:space="0" w:color="666699"/>
              <w:bottom w:val="outset" w:sz="6" w:space="0" w:color="666699"/>
              <w:right w:val="outset" w:sz="6" w:space="0" w:color="666699"/>
            </w:tcBorders>
            <w:tcMar>
              <w:top w:w="15" w:type="dxa"/>
              <w:left w:w="15" w:type="dxa"/>
              <w:bottom w:w="15" w:type="dxa"/>
              <w:right w:w="15" w:type="dxa"/>
            </w:tcMar>
            <w:vAlign w:val="center"/>
          </w:tcPr>
          <w:p w:rsidR="00523F4B" w:rsidRDefault="0088316E">
            <w:pPr>
              <w:autoSpaceDE/>
              <w:autoSpaceDN/>
              <w:spacing w:after="200" w:line="360" w:lineRule="auto"/>
              <w:jc w:val="center"/>
              <w:rPr>
                <w:rFonts w:ascii="Times New Roman" w:hAnsi="Times New Roman" w:cs="Times New Roman"/>
                <w:kern w:val="2"/>
                <w:sz w:val="21"/>
                <w:szCs w:val="24"/>
              </w:rPr>
            </w:pPr>
            <w:r>
              <w:rPr>
                <w:rFonts w:ascii="Times New Roman" w:hAnsi="Times New Roman" w:cs="Times New Roman" w:hint="eastAsia"/>
                <w:kern w:val="2"/>
                <w:sz w:val="21"/>
                <w:szCs w:val="24"/>
              </w:rPr>
              <w:t>连续持有时间（</w:t>
            </w:r>
            <w:r>
              <w:rPr>
                <w:rFonts w:ascii="Times New Roman" w:hAnsi="Times New Roman" w:cs="Times New Roman"/>
                <w:kern w:val="2"/>
                <w:sz w:val="21"/>
                <w:szCs w:val="24"/>
              </w:rPr>
              <w:t>N</w:t>
            </w:r>
            <w:r>
              <w:rPr>
                <w:rFonts w:ascii="Times New Roman" w:hAnsi="Times New Roman" w:cs="Times New Roman" w:hint="eastAsia"/>
                <w:kern w:val="2"/>
                <w:sz w:val="21"/>
                <w:szCs w:val="24"/>
              </w:rPr>
              <w:t>）</w:t>
            </w:r>
          </w:p>
        </w:tc>
        <w:tc>
          <w:tcPr>
            <w:tcW w:w="3796" w:type="dxa"/>
            <w:tcBorders>
              <w:top w:val="outset" w:sz="6" w:space="0" w:color="666699"/>
              <w:left w:val="outset" w:sz="6" w:space="0" w:color="666699"/>
              <w:bottom w:val="outset" w:sz="6" w:space="0" w:color="666699"/>
              <w:right w:val="outset" w:sz="6" w:space="0" w:color="666699"/>
            </w:tcBorders>
            <w:tcMar>
              <w:top w:w="15" w:type="dxa"/>
              <w:left w:w="15" w:type="dxa"/>
              <w:bottom w:w="15" w:type="dxa"/>
              <w:right w:w="15" w:type="dxa"/>
            </w:tcMar>
            <w:vAlign w:val="center"/>
          </w:tcPr>
          <w:p w:rsidR="00523F4B" w:rsidRDefault="0088316E">
            <w:pPr>
              <w:autoSpaceDE/>
              <w:autoSpaceDN/>
              <w:spacing w:after="200" w:line="360" w:lineRule="auto"/>
              <w:jc w:val="center"/>
              <w:rPr>
                <w:rFonts w:ascii="Times New Roman" w:hAnsi="Times New Roman" w:cs="Times New Roman"/>
                <w:kern w:val="2"/>
                <w:sz w:val="21"/>
                <w:szCs w:val="24"/>
              </w:rPr>
            </w:pPr>
            <w:r>
              <w:rPr>
                <w:rFonts w:ascii="Times New Roman" w:hAnsi="Times New Roman" w:cs="Times New Roman" w:hint="eastAsia"/>
                <w:kern w:val="2"/>
                <w:sz w:val="21"/>
                <w:szCs w:val="24"/>
              </w:rPr>
              <w:t>赎回费率</w:t>
            </w:r>
          </w:p>
        </w:tc>
      </w:tr>
      <w:tr w:rsidR="001263CB">
        <w:trPr>
          <w:tblCellSpacing w:w="0" w:type="dxa"/>
          <w:jc w:val="center"/>
        </w:trPr>
        <w:tc>
          <w:tcPr>
            <w:tcW w:w="3360" w:type="dxa"/>
            <w:tcBorders>
              <w:top w:val="outset" w:sz="6" w:space="0" w:color="666699"/>
              <w:left w:val="outset" w:sz="6" w:space="0" w:color="666699"/>
              <w:bottom w:val="outset" w:sz="6" w:space="0" w:color="666699"/>
              <w:right w:val="outset" w:sz="6" w:space="0" w:color="666699"/>
            </w:tcBorders>
            <w:tcMar>
              <w:top w:w="15" w:type="dxa"/>
              <w:left w:w="15" w:type="dxa"/>
              <w:bottom w:w="15" w:type="dxa"/>
              <w:right w:w="15" w:type="dxa"/>
            </w:tcMar>
          </w:tcPr>
          <w:p w:rsidR="00523F4B" w:rsidRDefault="0088316E">
            <w:pPr>
              <w:autoSpaceDE/>
              <w:autoSpaceDN/>
              <w:spacing w:after="200" w:line="360" w:lineRule="auto"/>
              <w:jc w:val="center"/>
              <w:rPr>
                <w:rFonts w:ascii="Times New Roman" w:hAnsi="Times New Roman" w:cs="Times New Roman"/>
                <w:kern w:val="2"/>
                <w:sz w:val="21"/>
                <w:szCs w:val="24"/>
              </w:rPr>
            </w:pPr>
            <w:r>
              <w:rPr>
                <w:rFonts w:ascii="Times New Roman" w:hAnsi="Times New Roman" w:cs="Times New Roman"/>
                <w:kern w:val="2"/>
                <w:sz w:val="21"/>
                <w:szCs w:val="24"/>
              </w:rPr>
              <w:t>N</w:t>
            </w:r>
            <w:r>
              <w:rPr>
                <w:rFonts w:ascii="Times New Roman" w:hAnsi="Times New Roman" w:cs="Times New Roman" w:hint="eastAsia"/>
                <w:kern w:val="2"/>
                <w:sz w:val="21"/>
                <w:szCs w:val="24"/>
              </w:rPr>
              <w:t>＜</w:t>
            </w:r>
            <w:r>
              <w:rPr>
                <w:rFonts w:ascii="Times New Roman" w:hAnsi="Times New Roman" w:cs="Times New Roman"/>
                <w:kern w:val="2"/>
                <w:sz w:val="21"/>
                <w:szCs w:val="24"/>
              </w:rPr>
              <w:t>7</w:t>
            </w:r>
            <w:r>
              <w:rPr>
                <w:rFonts w:ascii="Times New Roman" w:hAnsi="Times New Roman" w:cs="Times New Roman" w:hint="eastAsia"/>
                <w:kern w:val="2"/>
                <w:sz w:val="21"/>
                <w:szCs w:val="24"/>
              </w:rPr>
              <w:t>日</w:t>
            </w:r>
          </w:p>
        </w:tc>
        <w:tc>
          <w:tcPr>
            <w:tcW w:w="3796" w:type="dxa"/>
            <w:tcBorders>
              <w:top w:val="outset" w:sz="6" w:space="0" w:color="666699"/>
              <w:left w:val="outset" w:sz="6" w:space="0" w:color="666699"/>
              <w:bottom w:val="outset" w:sz="6" w:space="0" w:color="666699"/>
              <w:right w:val="outset" w:sz="6" w:space="0" w:color="666699"/>
            </w:tcBorders>
            <w:tcMar>
              <w:top w:w="15" w:type="dxa"/>
              <w:left w:w="15" w:type="dxa"/>
              <w:bottom w:w="15" w:type="dxa"/>
              <w:right w:w="15" w:type="dxa"/>
            </w:tcMar>
          </w:tcPr>
          <w:p w:rsidR="00523F4B" w:rsidRDefault="0088316E">
            <w:pPr>
              <w:autoSpaceDE/>
              <w:autoSpaceDN/>
              <w:spacing w:after="200" w:line="360" w:lineRule="auto"/>
              <w:jc w:val="center"/>
              <w:rPr>
                <w:rFonts w:ascii="Times New Roman" w:hAnsi="Times New Roman" w:cs="Times New Roman"/>
                <w:kern w:val="2"/>
                <w:sz w:val="21"/>
                <w:szCs w:val="24"/>
              </w:rPr>
            </w:pPr>
            <w:r>
              <w:rPr>
                <w:rFonts w:ascii="Times New Roman" w:hAnsi="Times New Roman" w:cs="Times New Roman"/>
                <w:kern w:val="2"/>
                <w:sz w:val="21"/>
                <w:szCs w:val="24"/>
              </w:rPr>
              <w:t>1.5</w:t>
            </w:r>
            <w:r>
              <w:rPr>
                <w:rFonts w:ascii="Times New Roman" w:hAnsi="Times New Roman" w:cs="Times New Roman" w:hint="eastAsia"/>
                <w:kern w:val="2"/>
                <w:sz w:val="21"/>
                <w:szCs w:val="24"/>
              </w:rPr>
              <w:t>0</w:t>
            </w:r>
            <w:r>
              <w:rPr>
                <w:rFonts w:ascii="Times New Roman" w:hAnsi="Times New Roman" w:cs="Times New Roman"/>
                <w:kern w:val="2"/>
                <w:sz w:val="21"/>
                <w:szCs w:val="24"/>
              </w:rPr>
              <w:t>%</w:t>
            </w:r>
          </w:p>
        </w:tc>
      </w:tr>
      <w:tr w:rsidR="001263CB">
        <w:trPr>
          <w:tblCellSpacing w:w="0" w:type="dxa"/>
          <w:jc w:val="center"/>
        </w:trPr>
        <w:tc>
          <w:tcPr>
            <w:tcW w:w="3360" w:type="dxa"/>
            <w:tcBorders>
              <w:top w:val="outset" w:sz="6" w:space="0" w:color="666699"/>
              <w:left w:val="outset" w:sz="6" w:space="0" w:color="666699"/>
              <w:bottom w:val="outset" w:sz="6" w:space="0" w:color="666699"/>
              <w:right w:val="outset" w:sz="6" w:space="0" w:color="666699"/>
            </w:tcBorders>
            <w:tcMar>
              <w:top w:w="15" w:type="dxa"/>
              <w:left w:w="15" w:type="dxa"/>
              <w:bottom w:w="15" w:type="dxa"/>
              <w:right w:w="15" w:type="dxa"/>
            </w:tcMar>
          </w:tcPr>
          <w:p w:rsidR="00523F4B" w:rsidRDefault="0088316E">
            <w:pPr>
              <w:autoSpaceDE/>
              <w:autoSpaceDN/>
              <w:spacing w:after="200" w:line="360" w:lineRule="auto"/>
              <w:jc w:val="center"/>
              <w:rPr>
                <w:rFonts w:ascii="Times New Roman" w:hAnsi="Times New Roman" w:cs="Times New Roman"/>
                <w:kern w:val="2"/>
                <w:sz w:val="21"/>
                <w:szCs w:val="24"/>
              </w:rPr>
            </w:pPr>
            <w:r>
              <w:rPr>
                <w:rFonts w:ascii="Times New Roman" w:hAnsi="Times New Roman" w:cs="Times New Roman" w:hint="eastAsia"/>
                <w:kern w:val="2"/>
                <w:sz w:val="21"/>
                <w:szCs w:val="24"/>
              </w:rPr>
              <w:t>7</w:t>
            </w:r>
            <w:r>
              <w:rPr>
                <w:rFonts w:ascii="Times New Roman" w:hAnsi="Times New Roman" w:cs="Times New Roman" w:hint="eastAsia"/>
                <w:kern w:val="2"/>
                <w:sz w:val="21"/>
                <w:szCs w:val="24"/>
              </w:rPr>
              <w:t>日≤</w:t>
            </w:r>
            <w:r>
              <w:rPr>
                <w:rFonts w:ascii="Times New Roman" w:hAnsi="Times New Roman" w:cs="Times New Roman" w:hint="eastAsia"/>
                <w:kern w:val="2"/>
                <w:sz w:val="21"/>
                <w:szCs w:val="24"/>
              </w:rPr>
              <w:t>N</w:t>
            </w:r>
            <w:r>
              <w:rPr>
                <w:rFonts w:ascii="Times New Roman" w:hAnsi="Times New Roman" w:cs="Times New Roman" w:hint="eastAsia"/>
                <w:kern w:val="2"/>
                <w:sz w:val="21"/>
                <w:szCs w:val="24"/>
              </w:rPr>
              <w:t>＜</w:t>
            </w:r>
            <w:r>
              <w:rPr>
                <w:rFonts w:ascii="Times New Roman" w:hAnsi="Times New Roman" w:cs="Times New Roman" w:hint="eastAsia"/>
                <w:kern w:val="2"/>
                <w:sz w:val="21"/>
                <w:szCs w:val="24"/>
              </w:rPr>
              <w:t>3</w:t>
            </w:r>
            <w:r>
              <w:rPr>
                <w:rFonts w:ascii="Times New Roman" w:hAnsi="Times New Roman" w:cs="Times New Roman"/>
                <w:kern w:val="2"/>
                <w:sz w:val="21"/>
                <w:szCs w:val="24"/>
              </w:rPr>
              <w:t>0</w:t>
            </w:r>
            <w:r>
              <w:rPr>
                <w:rFonts w:ascii="Times New Roman" w:hAnsi="Times New Roman" w:cs="Times New Roman" w:hint="eastAsia"/>
                <w:kern w:val="2"/>
                <w:sz w:val="21"/>
                <w:szCs w:val="24"/>
              </w:rPr>
              <w:t>日</w:t>
            </w:r>
          </w:p>
        </w:tc>
        <w:tc>
          <w:tcPr>
            <w:tcW w:w="3796" w:type="dxa"/>
            <w:tcBorders>
              <w:top w:val="outset" w:sz="6" w:space="0" w:color="666699"/>
              <w:left w:val="outset" w:sz="6" w:space="0" w:color="666699"/>
              <w:bottom w:val="outset" w:sz="6" w:space="0" w:color="666699"/>
              <w:right w:val="outset" w:sz="6" w:space="0" w:color="666699"/>
            </w:tcBorders>
            <w:tcMar>
              <w:top w:w="15" w:type="dxa"/>
              <w:left w:w="15" w:type="dxa"/>
              <w:bottom w:w="15" w:type="dxa"/>
              <w:right w:w="15" w:type="dxa"/>
            </w:tcMar>
          </w:tcPr>
          <w:p w:rsidR="00523F4B" w:rsidRDefault="0088316E">
            <w:pPr>
              <w:autoSpaceDE/>
              <w:autoSpaceDN/>
              <w:spacing w:after="200" w:line="360" w:lineRule="auto"/>
              <w:jc w:val="center"/>
              <w:rPr>
                <w:rFonts w:ascii="Times New Roman" w:hAnsi="Times New Roman" w:cs="Times New Roman"/>
                <w:kern w:val="2"/>
                <w:sz w:val="21"/>
                <w:szCs w:val="24"/>
              </w:rPr>
            </w:pPr>
            <w:r>
              <w:rPr>
                <w:rFonts w:ascii="Times New Roman" w:hAnsi="Times New Roman" w:cs="Times New Roman" w:hint="eastAsia"/>
                <w:kern w:val="2"/>
                <w:sz w:val="21"/>
                <w:szCs w:val="24"/>
              </w:rPr>
              <w:t>0</w:t>
            </w:r>
            <w:r>
              <w:rPr>
                <w:rFonts w:ascii="Times New Roman" w:hAnsi="Times New Roman" w:cs="Times New Roman"/>
                <w:kern w:val="2"/>
                <w:sz w:val="21"/>
                <w:szCs w:val="24"/>
              </w:rPr>
              <w:t>.10</w:t>
            </w:r>
            <w:r>
              <w:rPr>
                <w:rFonts w:ascii="Times New Roman" w:hAnsi="Times New Roman" w:cs="Times New Roman" w:hint="eastAsia"/>
                <w:kern w:val="2"/>
                <w:sz w:val="21"/>
                <w:szCs w:val="24"/>
              </w:rPr>
              <w:t>%</w:t>
            </w:r>
          </w:p>
        </w:tc>
      </w:tr>
      <w:tr w:rsidR="001263CB">
        <w:trPr>
          <w:tblCellSpacing w:w="0" w:type="dxa"/>
          <w:jc w:val="center"/>
        </w:trPr>
        <w:tc>
          <w:tcPr>
            <w:tcW w:w="3360" w:type="dxa"/>
            <w:tcBorders>
              <w:top w:val="outset" w:sz="6" w:space="0" w:color="666699"/>
              <w:left w:val="outset" w:sz="6" w:space="0" w:color="666699"/>
              <w:bottom w:val="outset" w:sz="6" w:space="0" w:color="666699"/>
              <w:right w:val="outset" w:sz="6" w:space="0" w:color="666699"/>
            </w:tcBorders>
            <w:tcMar>
              <w:top w:w="15" w:type="dxa"/>
              <w:left w:w="15" w:type="dxa"/>
              <w:bottom w:w="15" w:type="dxa"/>
              <w:right w:w="15" w:type="dxa"/>
            </w:tcMar>
          </w:tcPr>
          <w:p w:rsidR="00523F4B" w:rsidRDefault="0088316E">
            <w:pPr>
              <w:autoSpaceDE/>
              <w:autoSpaceDN/>
              <w:spacing w:after="200" w:line="360" w:lineRule="auto"/>
              <w:jc w:val="center"/>
              <w:rPr>
                <w:rFonts w:ascii="Times New Roman" w:hAnsi="Times New Roman" w:cs="Times New Roman"/>
                <w:kern w:val="2"/>
                <w:sz w:val="21"/>
                <w:szCs w:val="24"/>
              </w:rPr>
            </w:pPr>
            <w:r>
              <w:rPr>
                <w:rFonts w:ascii="Times New Roman" w:hAnsi="Times New Roman" w:cs="Times New Roman"/>
                <w:kern w:val="2"/>
                <w:sz w:val="21"/>
                <w:szCs w:val="24"/>
              </w:rPr>
              <w:t>N</w:t>
            </w:r>
            <w:r>
              <w:rPr>
                <w:rFonts w:ascii="Times New Roman" w:hAnsi="Times New Roman" w:cs="Times New Roman" w:hint="eastAsia"/>
                <w:kern w:val="2"/>
                <w:sz w:val="21"/>
                <w:szCs w:val="24"/>
              </w:rPr>
              <w:t>≥</w:t>
            </w:r>
            <w:r>
              <w:rPr>
                <w:rFonts w:ascii="Times New Roman" w:hAnsi="Times New Roman" w:cs="Times New Roman"/>
                <w:kern w:val="2"/>
                <w:sz w:val="21"/>
                <w:szCs w:val="24"/>
              </w:rPr>
              <w:t>30</w:t>
            </w:r>
            <w:r>
              <w:rPr>
                <w:rFonts w:ascii="Times New Roman" w:hAnsi="Times New Roman" w:cs="Times New Roman" w:hint="eastAsia"/>
                <w:kern w:val="2"/>
                <w:sz w:val="21"/>
                <w:szCs w:val="24"/>
              </w:rPr>
              <w:t>日</w:t>
            </w:r>
          </w:p>
        </w:tc>
        <w:tc>
          <w:tcPr>
            <w:tcW w:w="3796" w:type="dxa"/>
            <w:tcBorders>
              <w:top w:val="outset" w:sz="6" w:space="0" w:color="666699"/>
              <w:left w:val="outset" w:sz="6" w:space="0" w:color="666699"/>
              <w:bottom w:val="outset" w:sz="6" w:space="0" w:color="666699"/>
              <w:right w:val="outset" w:sz="6" w:space="0" w:color="666699"/>
            </w:tcBorders>
            <w:tcMar>
              <w:top w:w="15" w:type="dxa"/>
              <w:left w:w="15" w:type="dxa"/>
              <w:bottom w:w="15" w:type="dxa"/>
              <w:right w:w="15" w:type="dxa"/>
            </w:tcMar>
          </w:tcPr>
          <w:p w:rsidR="00523F4B" w:rsidRDefault="0088316E">
            <w:pPr>
              <w:autoSpaceDE/>
              <w:autoSpaceDN/>
              <w:spacing w:after="200" w:line="360" w:lineRule="auto"/>
              <w:jc w:val="center"/>
              <w:rPr>
                <w:rFonts w:ascii="Times New Roman" w:hAnsi="Times New Roman" w:cs="Times New Roman"/>
                <w:kern w:val="2"/>
                <w:sz w:val="21"/>
                <w:szCs w:val="24"/>
              </w:rPr>
            </w:pPr>
            <w:r>
              <w:rPr>
                <w:rFonts w:ascii="Times New Roman" w:hAnsi="Times New Roman" w:cs="Times New Roman"/>
                <w:kern w:val="2"/>
                <w:sz w:val="21"/>
                <w:szCs w:val="24"/>
              </w:rPr>
              <w:t>0%</w:t>
            </w:r>
          </w:p>
        </w:tc>
      </w:tr>
    </w:tbl>
    <w:p w:rsidR="00523F4B" w:rsidRDefault="0088316E">
      <w:pPr>
        <w:pStyle w:val="a4"/>
        <w:spacing w:line="360" w:lineRule="auto"/>
        <w:ind w:firstLineChars="200" w:firstLine="480"/>
        <w:jc w:val="both"/>
        <w:rPr>
          <w:bCs/>
          <w:sz w:val="24"/>
          <w:szCs w:val="24"/>
        </w:rPr>
      </w:pPr>
      <w:r>
        <w:rPr>
          <w:rFonts w:hint="eastAsia"/>
          <w:bCs/>
          <w:sz w:val="24"/>
          <w:szCs w:val="24"/>
        </w:rPr>
        <w:t>本基金</w:t>
      </w:r>
      <w:r>
        <w:rPr>
          <w:rFonts w:hint="eastAsia"/>
          <w:bCs/>
          <w:sz w:val="24"/>
          <w:szCs w:val="24"/>
        </w:rPr>
        <w:t>C</w:t>
      </w:r>
      <w:r>
        <w:rPr>
          <w:rFonts w:hint="eastAsia"/>
          <w:bCs/>
          <w:sz w:val="24"/>
          <w:szCs w:val="24"/>
        </w:rPr>
        <w:t>类基金份额的赎回费率如下表所示：</w:t>
      </w:r>
    </w:p>
    <w:tbl>
      <w:tblPr>
        <w:tblW w:w="7156" w:type="dxa"/>
        <w:jc w:val="center"/>
        <w:tblCellSpacing w:w="0" w:type="dxa"/>
        <w:tblBorders>
          <w:top w:val="outset" w:sz="6" w:space="0" w:color="666699"/>
          <w:left w:val="outset" w:sz="6" w:space="0" w:color="666699"/>
          <w:bottom w:val="outset" w:sz="6" w:space="0" w:color="666699"/>
          <w:right w:val="outset" w:sz="6" w:space="0" w:color="666699"/>
          <w:insideH w:val="outset" w:sz="6" w:space="0" w:color="666699"/>
          <w:insideV w:val="outset" w:sz="6" w:space="0" w:color="666699"/>
        </w:tblBorders>
        <w:tblLayout w:type="fixed"/>
        <w:tblLook w:val="04A0"/>
      </w:tblPr>
      <w:tblGrid>
        <w:gridCol w:w="3360"/>
        <w:gridCol w:w="3796"/>
      </w:tblGrid>
      <w:tr w:rsidR="001263CB">
        <w:trPr>
          <w:tblCellSpacing w:w="0" w:type="dxa"/>
          <w:jc w:val="center"/>
        </w:trPr>
        <w:tc>
          <w:tcPr>
            <w:tcW w:w="3360" w:type="dxa"/>
            <w:tcBorders>
              <w:top w:val="outset" w:sz="6" w:space="0" w:color="666699"/>
              <w:left w:val="outset" w:sz="6" w:space="0" w:color="666699"/>
              <w:bottom w:val="outset" w:sz="6" w:space="0" w:color="666699"/>
              <w:right w:val="outset" w:sz="6" w:space="0" w:color="666699"/>
            </w:tcBorders>
            <w:tcMar>
              <w:top w:w="15" w:type="dxa"/>
              <w:left w:w="15" w:type="dxa"/>
              <w:bottom w:w="15" w:type="dxa"/>
              <w:right w:w="15" w:type="dxa"/>
            </w:tcMar>
            <w:vAlign w:val="center"/>
          </w:tcPr>
          <w:p w:rsidR="00523F4B" w:rsidRDefault="0088316E">
            <w:pPr>
              <w:autoSpaceDE/>
              <w:autoSpaceDN/>
              <w:spacing w:after="200" w:line="360" w:lineRule="auto"/>
              <w:jc w:val="center"/>
              <w:rPr>
                <w:rFonts w:ascii="Times New Roman" w:hAnsi="Times New Roman" w:cs="Times New Roman"/>
                <w:kern w:val="2"/>
                <w:sz w:val="21"/>
                <w:szCs w:val="24"/>
              </w:rPr>
            </w:pPr>
            <w:r>
              <w:rPr>
                <w:rFonts w:ascii="Times New Roman" w:hAnsi="Times New Roman" w:cs="Times New Roman" w:hint="eastAsia"/>
                <w:kern w:val="2"/>
                <w:sz w:val="21"/>
                <w:szCs w:val="24"/>
              </w:rPr>
              <w:t>连续持有时间（</w:t>
            </w:r>
            <w:r>
              <w:rPr>
                <w:rFonts w:ascii="Times New Roman" w:hAnsi="Times New Roman" w:cs="Times New Roman"/>
                <w:kern w:val="2"/>
                <w:sz w:val="21"/>
                <w:szCs w:val="24"/>
              </w:rPr>
              <w:t>N</w:t>
            </w:r>
            <w:r>
              <w:rPr>
                <w:rFonts w:ascii="Times New Roman" w:hAnsi="Times New Roman" w:cs="Times New Roman" w:hint="eastAsia"/>
                <w:kern w:val="2"/>
                <w:sz w:val="21"/>
                <w:szCs w:val="24"/>
              </w:rPr>
              <w:t>）</w:t>
            </w:r>
          </w:p>
        </w:tc>
        <w:tc>
          <w:tcPr>
            <w:tcW w:w="3796" w:type="dxa"/>
            <w:tcBorders>
              <w:top w:val="outset" w:sz="6" w:space="0" w:color="666699"/>
              <w:left w:val="outset" w:sz="6" w:space="0" w:color="666699"/>
              <w:bottom w:val="outset" w:sz="6" w:space="0" w:color="666699"/>
              <w:right w:val="outset" w:sz="6" w:space="0" w:color="666699"/>
            </w:tcBorders>
            <w:tcMar>
              <w:top w:w="15" w:type="dxa"/>
              <w:left w:w="15" w:type="dxa"/>
              <w:bottom w:w="15" w:type="dxa"/>
              <w:right w:w="15" w:type="dxa"/>
            </w:tcMar>
            <w:vAlign w:val="center"/>
          </w:tcPr>
          <w:p w:rsidR="00523F4B" w:rsidRDefault="0088316E">
            <w:pPr>
              <w:autoSpaceDE/>
              <w:autoSpaceDN/>
              <w:spacing w:after="200" w:line="360" w:lineRule="auto"/>
              <w:jc w:val="center"/>
              <w:rPr>
                <w:rFonts w:ascii="Times New Roman" w:hAnsi="Times New Roman" w:cs="Times New Roman"/>
                <w:kern w:val="2"/>
                <w:sz w:val="21"/>
                <w:szCs w:val="24"/>
              </w:rPr>
            </w:pPr>
            <w:r>
              <w:rPr>
                <w:rFonts w:ascii="Times New Roman" w:hAnsi="Times New Roman" w:cs="Times New Roman" w:hint="eastAsia"/>
                <w:kern w:val="2"/>
                <w:sz w:val="21"/>
                <w:szCs w:val="24"/>
              </w:rPr>
              <w:t>赎回费率</w:t>
            </w:r>
          </w:p>
        </w:tc>
      </w:tr>
      <w:tr w:rsidR="001263CB">
        <w:trPr>
          <w:tblCellSpacing w:w="0" w:type="dxa"/>
          <w:jc w:val="center"/>
        </w:trPr>
        <w:tc>
          <w:tcPr>
            <w:tcW w:w="3360" w:type="dxa"/>
            <w:tcBorders>
              <w:top w:val="outset" w:sz="6" w:space="0" w:color="666699"/>
              <w:left w:val="outset" w:sz="6" w:space="0" w:color="666699"/>
              <w:bottom w:val="outset" w:sz="6" w:space="0" w:color="666699"/>
              <w:right w:val="outset" w:sz="6" w:space="0" w:color="666699"/>
            </w:tcBorders>
            <w:tcMar>
              <w:top w:w="15" w:type="dxa"/>
              <w:left w:w="15" w:type="dxa"/>
              <w:bottom w:w="15" w:type="dxa"/>
              <w:right w:w="15" w:type="dxa"/>
            </w:tcMar>
          </w:tcPr>
          <w:p w:rsidR="00523F4B" w:rsidRDefault="0088316E">
            <w:pPr>
              <w:autoSpaceDE/>
              <w:autoSpaceDN/>
              <w:spacing w:after="200" w:line="360" w:lineRule="auto"/>
              <w:jc w:val="center"/>
              <w:rPr>
                <w:rFonts w:ascii="Times New Roman" w:hAnsi="Times New Roman" w:cs="Times New Roman"/>
                <w:kern w:val="2"/>
                <w:sz w:val="21"/>
                <w:szCs w:val="24"/>
              </w:rPr>
            </w:pPr>
            <w:r>
              <w:rPr>
                <w:rFonts w:ascii="Times New Roman" w:hAnsi="Times New Roman" w:cs="Times New Roman"/>
                <w:kern w:val="2"/>
                <w:sz w:val="21"/>
                <w:szCs w:val="24"/>
              </w:rPr>
              <w:t>N</w:t>
            </w:r>
            <w:r>
              <w:rPr>
                <w:rFonts w:ascii="Times New Roman" w:hAnsi="Times New Roman" w:cs="Times New Roman" w:hint="eastAsia"/>
                <w:kern w:val="2"/>
                <w:sz w:val="21"/>
                <w:szCs w:val="24"/>
              </w:rPr>
              <w:t>＜</w:t>
            </w:r>
            <w:r>
              <w:rPr>
                <w:rFonts w:ascii="Times New Roman" w:hAnsi="Times New Roman" w:cs="Times New Roman"/>
                <w:kern w:val="2"/>
                <w:sz w:val="21"/>
                <w:szCs w:val="24"/>
              </w:rPr>
              <w:t>7</w:t>
            </w:r>
            <w:r>
              <w:rPr>
                <w:rFonts w:ascii="Times New Roman" w:hAnsi="Times New Roman" w:cs="Times New Roman" w:hint="eastAsia"/>
                <w:kern w:val="2"/>
                <w:sz w:val="21"/>
                <w:szCs w:val="24"/>
              </w:rPr>
              <w:t>日</w:t>
            </w:r>
          </w:p>
        </w:tc>
        <w:tc>
          <w:tcPr>
            <w:tcW w:w="3796" w:type="dxa"/>
            <w:tcBorders>
              <w:top w:val="outset" w:sz="6" w:space="0" w:color="666699"/>
              <w:left w:val="outset" w:sz="6" w:space="0" w:color="666699"/>
              <w:bottom w:val="outset" w:sz="6" w:space="0" w:color="666699"/>
              <w:right w:val="outset" w:sz="6" w:space="0" w:color="666699"/>
            </w:tcBorders>
            <w:tcMar>
              <w:top w:w="15" w:type="dxa"/>
              <w:left w:w="15" w:type="dxa"/>
              <w:bottom w:w="15" w:type="dxa"/>
              <w:right w:w="15" w:type="dxa"/>
            </w:tcMar>
          </w:tcPr>
          <w:p w:rsidR="00523F4B" w:rsidRDefault="0088316E">
            <w:pPr>
              <w:autoSpaceDE/>
              <w:autoSpaceDN/>
              <w:spacing w:after="200" w:line="360" w:lineRule="auto"/>
              <w:jc w:val="center"/>
              <w:rPr>
                <w:rFonts w:ascii="Times New Roman" w:hAnsi="Times New Roman" w:cs="Times New Roman"/>
                <w:kern w:val="2"/>
                <w:sz w:val="21"/>
                <w:szCs w:val="24"/>
              </w:rPr>
            </w:pPr>
            <w:r>
              <w:rPr>
                <w:rFonts w:ascii="Times New Roman" w:hAnsi="Times New Roman" w:cs="Times New Roman"/>
                <w:kern w:val="2"/>
                <w:sz w:val="21"/>
                <w:szCs w:val="24"/>
              </w:rPr>
              <w:t>1.5</w:t>
            </w:r>
            <w:r>
              <w:rPr>
                <w:rFonts w:ascii="Times New Roman" w:hAnsi="Times New Roman" w:cs="Times New Roman" w:hint="eastAsia"/>
                <w:kern w:val="2"/>
                <w:sz w:val="21"/>
                <w:szCs w:val="24"/>
              </w:rPr>
              <w:t>0</w:t>
            </w:r>
            <w:r>
              <w:rPr>
                <w:rFonts w:ascii="Times New Roman" w:hAnsi="Times New Roman" w:cs="Times New Roman"/>
                <w:kern w:val="2"/>
                <w:sz w:val="21"/>
                <w:szCs w:val="24"/>
              </w:rPr>
              <w:t>%</w:t>
            </w:r>
          </w:p>
        </w:tc>
      </w:tr>
      <w:tr w:rsidR="001263CB">
        <w:trPr>
          <w:tblCellSpacing w:w="0" w:type="dxa"/>
          <w:jc w:val="center"/>
        </w:trPr>
        <w:tc>
          <w:tcPr>
            <w:tcW w:w="3360" w:type="dxa"/>
            <w:tcBorders>
              <w:top w:val="outset" w:sz="6" w:space="0" w:color="666699"/>
              <w:left w:val="outset" w:sz="6" w:space="0" w:color="666699"/>
              <w:bottom w:val="outset" w:sz="6" w:space="0" w:color="666699"/>
              <w:right w:val="outset" w:sz="6" w:space="0" w:color="666699"/>
            </w:tcBorders>
            <w:tcMar>
              <w:top w:w="15" w:type="dxa"/>
              <w:left w:w="15" w:type="dxa"/>
              <w:bottom w:w="15" w:type="dxa"/>
              <w:right w:w="15" w:type="dxa"/>
            </w:tcMar>
          </w:tcPr>
          <w:p w:rsidR="00523F4B" w:rsidRDefault="0088316E">
            <w:pPr>
              <w:autoSpaceDE/>
              <w:autoSpaceDN/>
              <w:spacing w:after="200" w:line="360" w:lineRule="auto"/>
              <w:jc w:val="center"/>
              <w:rPr>
                <w:rFonts w:ascii="Times New Roman" w:hAnsi="Times New Roman" w:cs="Times New Roman"/>
                <w:kern w:val="2"/>
                <w:sz w:val="21"/>
                <w:szCs w:val="24"/>
              </w:rPr>
            </w:pPr>
            <w:r>
              <w:rPr>
                <w:rFonts w:ascii="Times New Roman" w:hAnsi="Times New Roman" w:cs="Times New Roman"/>
                <w:kern w:val="2"/>
                <w:sz w:val="21"/>
                <w:szCs w:val="24"/>
              </w:rPr>
              <w:t>N</w:t>
            </w:r>
            <w:r>
              <w:rPr>
                <w:rFonts w:ascii="Times New Roman" w:hAnsi="Times New Roman" w:cs="Times New Roman" w:hint="eastAsia"/>
                <w:kern w:val="2"/>
                <w:sz w:val="21"/>
                <w:szCs w:val="24"/>
              </w:rPr>
              <w:t>≥</w:t>
            </w:r>
            <w:r>
              <w:rPr>
                <w:rFonts w:ascii="Times New Roman" w:hAnsi="Times New Roman" w:cs="Times New Roman" w:hint="eastAsia"/>
                <w:kern w:val="2"/>
                <w:sz w:val="21"/>
                <w:szCs w:val="24"/>
              </w:rPr>
              <w:t>7</w:t>
            </w:r>
            <w:r>
              <w:rPr>
                <w:rFonts w:ascii="Times New Roman" w:hAnsi="Times New Roman" w:cs="Times New Roman" w:hint="eastAsia"/>
                <w:kern w:val="2"/>
                <w:sz w:val="21"/>
                <w:szCs w:val="24"/>
              </w:rPr>
              <w:t>日</w:t>
            </w:r>
          </w:p>
        </w:tc>
        <w:tc>
          <w:tcPr>
            <w:tcW w:w="3796" w:type="dxa"/>
            <w:tcBorders>
              <w:top w:val="outset" w:sz="6" w:space="0" w:color="666699"/>
              <w:left w:val="outset" w:sz="6" w:space="0" w:color="666699"/>
              <w:bottom w:val="outset" w:sz="6" w:space="0" w:color="666699"/>
              <w:right w:val="outset" w:sz="6" w:space="0" w:color="666699"/>
            </w:tcBorders>
            <w:tcMar>
              <w:top w:w="15" w:type="dxa"/>
              <w:left w:w="15" w:type="dxa"/>
              <w:bottom w:w="15" w:type="dxa"/>
              <w:right w:w="15" w:type="dxa"/>
            </w:tcMar>
          </w:tcPr>
          <w:p w:rsidR="00523F4B" w:rsidRDefault="0088316E">
            <w:pPr>
              <w:autoSpaceDE/>
              <w:autoSpaceDN/>
              <w:spacing w:after="200" w:line="360" w:lineRule="auto"/>
              <w:jc w:val="center"/>
              <w:rPr>
                <w:rFonts w:ascii="Times New Roman" w:hAnsi="Times New Roman" w:cs="Times New Roman"/>
                <w:kern w:val="2"/>
                <w:sz w:val="21"/>
                <w:szCs w:val="24"/>
              </w:rPr>
            </w:pPr>
            <w:r>
              <w:rPr>
                <w:rFonts w:ascii="Times New Roman" w:hAnsi="Times New Roman" w:cs="Times New Roman"/>
                <w:kern w:val="2"/>
                <w:sz w:val="21"/>
                <w:szCs w:val="24"/>
              </w:rPr>
              <w:t>0%</w:t>
            </w:r>
          </w:p>
        </w:tc>
      </w:tr>
    </w:tbl>
    <w:p w:rsidR="00523F4B" w:rsidRDefault="0088316E">
      <w:pPr>
        <w:pStyle w:val="a4"/>
        <w:spacing w:line="360" w:lineRule="auto"/>
        <w:ind w:firstLineChars="200" w:firstLine="480"/>
        <w:jc w:val="both"/>
        <w:rPr>
          <w:bCs/>
          <w:sz w:val="24"/>
          <w:szCs w:val="24"/>
        </w:rPr>
      </w:pPr>
    </w:p>
    <w:bookmarkEnd w:id="3"/>
    <w:p w:rsidR="00523F4B" w:rsidRDefault="0088316E">
      <w:pPr>
        <w:tabs>
          <w:tab w:val="left" w:pos="493"/>
        </w:tabs>
        <w:spacing w:line="360" w:lineRule="auto"/>
        <w:ind w:left="480"/>
        <w:jc w:val="both"/>
        <w:rPr>
          <w:b/>
          <w:bCs/>
          <w:sz w:val="24"/>
          <w:szCs w:val="24"/>
        </w:rPr>
      </w:pPr>
      <w:r>
        <w:rPr>
          <w:rFonts w:hint="eastAsia"/>
          <w:b/>
          <w:bCs/>
          <w:sz w:val="24"/>
          <w:szCs w:val="24"/>
        </w:rPr>
        <w:t>4</w:t>
      </w:r>
      <w:r>
        <w:rPr>
          <w:b/>
          <w:bCs/>
          <w:sz w:val="24"/>
          <w:szCs w:val="24"/>
        </w:rPr>
        <w:t xml:space="preserve">.3 </w:t>
      </w:r>
      <w:r>
        <w:rPr>
          <w:b/>
          <w:bCs/>
          <w:sz w:val="24"/>
          <w:szCs w:val="24"/>
        </w:rPr>
        <w:t>其他与赎回相关的事项</w:t>
      </w:r>
    </w:p>
    <w:p w:rsidR="00523F4B" w:rsidRDefault="0088316E">
      <w:pPr>
        <w:pStyle w:val="a4"/>
        <w:spacing w:line="360" w:lineRule="auto"/>
        <w:ind w:firstLineChars="200" w:firstLine="480"/>
        <w:jc w:val="both"/>
        <w:rPr>
          <w:bCs/>
          <w:sz w:val="24"/>
          <w:szCs w:val="24"/>
        </w:rPr>
      </w:pPr>
      <w:r>
        <w:rPr>
          <w:rFonts w:hint="eastAsia"/>
          <w:bCs/>
          <w:sz w:val="24"/>
          <w:szCs w:val="24"/>
        </w:rPr>
        <w:t>（</w:t>
      </w:r>
      <w:r>
        <w:rPr>
          <w:rFonts w:hint="eastAsia"/>
          <w:bCs/>
          <w:sz w:val="24"/>
          <w:szCs w:val="24"/>
        </w:rPr>
        <w:t>1</w:t>
      </w:r>
      <w:r>
        <w:rPr>
          <w:rFonts w:hint="eastAsia"/>
          <w:bCs/>
          <w:sz w:val="24"/>
          <w:szCs w:val="24"/>
        </w:rPr>
        <w:t>）</w:t>
      </w:r>
      <w:bookmarkStart w:id="4" w:name="_Hlk98267173"/>
      <w:r>
        <w:rPr>
          <w:rFonts w:hint="eastAsia"/>
          <w:bCs/>
          <w:sz w:val="24"/>
          <w:szCs w:val="24"/>
        </w:rPr>
        <w:t>赎回费用由赎回基金份额的基金份额持有人承担，在基金份额持有人赎回基金份额时收取。本基金对持续持有期少于</w:t>
      </w:r>
      <w:r>
        <w:rPr>
          <w:rFonts w:hint="eastAsia"/>
          <w:bCs/>
          <w:sz w:val="24"/>
          <w:szCs w:val="24"/>
        </w:rPr>
        <w:t>7</w:t>
      </w:r>
      <w:r>
        <w:rPr>
          <w:rFonts w:hint="eastAsia"/>
          <w:bCs/>
          <w:sz w:val="24"/>
          <w:szCs w:val="24"/>
        </w:rPr>
        <w:t>日的投资人收取的赎回费，将全额计入基金财产；对持续持有期等于或长于</w:t>
      </w:r>
      <w:r>
        <w:rPr>
          <w:rFonts w:hint="eastAsia"/>
          <w:bCs/>
          <w:sz w:val="24"/>
          <w:szCs w:val="24"/>
        </w:rPr>
        <w:t>7</w:t>
      </w:r>
      <w:r>
        <w:rPr>
          <w:rFonts w:hint="eastAsia"/>
          <w:bCs/>
          <w:sz w:val="24"/>
          <w:szCs w:val="24"/>
        </w:rPr>
        <w:t>日但少于</w:t>
      </w:r>
      <w:r>
        <w:rPr>
          <w:rFonts w:hint="eastAsia"/>
          <w:bCs/>
          <w:sz w:val="24"/>
          <w:szCs w:val="24"/>
        </w:rPr>
        <w:t>30</w:t>
      </w:r>
      <w:r>
        <w:rPr>
          <w:rFonts w:hint="eastAsia"/>
          <w:bCs/>
          <w:sz w:val="24"/>
          <w:szCs w:val="24"/>
        </w:rPr>
        <w:t>日的投资人收取的赎回费，将不低于赎回费总额的</w:t>
      </w:r>
      <w:r>
        <w:rPr>
          <w:rFonts w:hint="eastAsia"/>
          <w:bCs/>
          <w:sz w:val="24"/>
          <w:szCs w:val="24"/>
        </w:rPr>
        <w:t>50%</w:t>
      </w:r>
      <w:r>
        <w:rPr>
          <w:rFonts w:hint="eastAsia"/>
          <w:bCs/>
          <w:sz w:val="24"/>
          <w:szCs w:val="24"/>
        </w:rPr>
        <w:t>计入基金财产。未计入基金财产的赎回费用于支付登记费和其他必要的手续费。</w:t>
      </w:r>
      <w:bookmarkEnd w:id="4"/>
    </w:p>
    <w:p w:rsidR="00523F4B" w:rsidRDefault="0088316E">
      <w:pPr>
        <w:pStyle w:val="a4"/>
        <w:spacing w:line="360" w:lineRule="auto"/>
        <w:ind w:firstLineChars="200" w:firstLine="480"/>
        <w:jc w:val="both"/>
        <w:rPr>
          <w:bCs/>
          <w:sz w:val="24"/>
          <w:szCs w:val="24"/>
        </w:rPr>
      </w:pPr>
      <w:r>
        <w:rPr>
          <w:rFonts w:hint="eastAsia"/>
          <w:bCs/>
          <w:sz w:val="24"/>
          <w:szCs w:val="24"/>
        </w:rPr>
        <w:t>如法律法规对赎回费的强制性规定发生变动，本基金将依新法规进行修改，不需召开基金份额持有人大会。</w:t>
      </w:r>
    </w:p>
    <w:p w:rsidR="00523F4B" w:rsidRDefault="0088316E">
      <w:pPr>
        <w:pStyle w:val="a4"/>
        <w:spacing w:line="360" w:lineRule="auto"/>
        <w:ind w:firstLineChars="200" w:firstLine="480"/>
        <w:jc w:val="both"/>
        <w:rPr>
          <w:bCs/>
          <w:sz w:val="24"/>
          <w:szCs w:val="24"/>
        </w:rPr>
      </w:pPr>
      <w:r>
        <w:rPr>
          <w:rFonts w:hint="eastAsia"/>
          <w:bCs/>
          <w:sz w:val="24"/>
          <w:szCs w:val="24"/>
        </w:rPr>
        <w:t>（</w:t>
      </w:r>
      <w:r>
        <w:rPr>
          <w:bCs/>
          <w:sz w:val="24"/>
          <w:szCs w:val="24"/>
        </w:rPr>
        <w:t>2</w:t>
      </w:r>
      <w:r>
        <w:rPr>
          <w:bCs/>
          <w:sz w:val="24"/>
          <w:szCs w:val="24"/>
        </w:rPr>
        <w:t>）</w:t>
      </w:r>
      <w:r>
        <w:rPr>
          <w:rFonts w:hint="eastAsia"/>
          <w:bCs/>
          <w:sz w:val="24"/>
          <w:szCs w:val="24"/>
        </w:rPr>
        <w:t>基金管理人应以交易时间结束前受理有效赎回申请的当天作为赎回申请日（</w:t>
      </w:r>
      <w:r>
        <w:rPr>
          <w:rFonts w:hint="eastAsia"/>
          <w:bCs/>
          <w:sz w:val="24"/>
          <w:szCs w:val="24"/>
        </w:rPr>
        <w:t>T</w:t>
      </w:r>
      <w:r>
        <w:rPr>
          <w:rFonts w:hint="eastAsia"/>
          <w:bCs/>
          <w:sz w:val="24"/>
          <w:szCs w:val="24"/>
        </w:rPr>
        <w:t>日），在正常情况下，本基金登记机构在</w:t>
      </w:r>
      <w:r>
        <w:rPr>
          <w:rFonts w:hint="eastAsia"/>
          <w:bCs/>
          <w:sz w:val="24"/>
          <w:szCs w:val="24"/>
        </w:rPr>
        <w:t>T+1</w:t>
      </w:r>
      <w:r>
        <w:rPr>
          <w:rFonts w:hint="eastAsia"/>
          <w:bCs/>
          <w:sz w:val="24"/>
          <w:szCs w:val="24"/>
        </w:rPr>
        <w:t>日内对该交易的有效性进行确认。</w:t>
      </w:r>
      <w:r>
        <w:rPr>
          <w:rFonts w:hint="eastAsia"/>
          <w:bCs/>
          <w:sz w:val="24"/>
          <w:szCs w:val="24"/>
        </w:rPr>
        <w:t>T</w:t>
      </w:r>
      <w:r>
        <w:rPr>
          <w:rFonts w:hint="eastAsia"/>
          <w:bCs/>
          <w:sz w:val="24"/>
          <w:szCs w:val="24"/>
        </w:rPr>
        <w:t>日提交的有效申请，投资人可在</w:t>
      </w:r>
      <w:r>
        <w:rPr>
          <w:rFonts w:hint="eastAsia"/>
          <w:bCs/>
          <w:sz w:val="24"/>
          <w:szCs w:val="24"/>
        </w:rPr>
        <w:t>T+2</w:t>
      </w:r>
      <w:r>
        <w:rPr>
          <w:rFonts w:hint="eastAsia"/>
          <w:bCs/>
          <w:sz w:val="24"/>
          <w:szCs w:val="24"/>
        </w:rPr>
        <w:t>日后（包括该日）到销售网点柜台或以销售机构规定的其他方式查询申请的确认情况。销售机构对赎回申请的受理并不代表该申请一定成功，而仅代表销售机构确实接收到赎回申请。赎回申请的确认以登记机构的确认结果为准；</w:t>
      </w:r>
    </w:p>
    <w:p w:rsidR="00523F4B" w:rsidRDefault="0088316E">
      <w:pPr>
        <w:pStyle w:val="a4"/>
        <w:spacing w:line="360" w:lineRule="auto"/>
        <w:ind w:firstLineChars="200" w:firstLine="480"/>
        <w:jc w:val="both"/>
        <w:rPr>
          <w:bCs/>
          <w:sz w:val="24"/>
          <w:szCs w:val="24"/>
        </w:rPr>
      </w:pPr>
      <w:r>
        <w:rPr>
          <w:rFonts w:hint="eastAsia"/>
          <w:bCs/>
          <w:sz w:val="24"/>
          <w:szCs w:val="24"/>
        </w:rPr>
        <w:t>（</w:t>
      </w:r>
      <w:r>
        <w:rPr>
          <w:bCs/>
          <w:sz w:val="24"/>
          <w:szCs w:val="24"/>
        </w:rPr>
        <w:t>3</w:t>
      </w:r>
      <w:r>
        <w:rPr>
          <w:bCs/>
          <w:sz w:val="24"/>
          <w:szCs w:val="24"/>
        </w:rPr>
        <w:t>）赎回以份额申请，遵循</w:t>
      </w:r>
      <w:r>
        <w:rPr>
          <w:bCs/>
          <w:sz w:val="24"/>
          <w:szCs w:val="24"/>
        </w:rPr>
        <w:t>“</w:t>
      </w:r>
      <w:r>
        <w:rPr>
          <w:bCs/>
          <w:sz w:val="24"/>
          <w:szCs w:val="24"/>
        </w:rPr>
        <w:t>未知</w:t>
      </w:r>
      <w:r>
        <w:rPr>
          <w:bCs/>
          <w:sz w:val="24"/>
          <w:szCs w:val="24"/>
        </w:rPr>
        <w:t>价</w:t>
      </w:r>
      <w:r>
        <w:rPr>
          <w:bCs/>
          <w:sz w:val="24"/>
          <w:szCs w:val="24"/>
        </w:rPr>
        <w:t>”</w:t>
      </w:r>
      <w:r>
        <w:rPr>
          <w:bCs/>
          <w:sz w:val="24"/>
          <w:szCs w:val="24"/>
        </w:rPr>
        <w:t>原则，即赎回价格</w:t>
      </w:r>
      <w:r>
        <w:rPr>
          <w:rFonts w:hint="eastAsia"/>
          <w:bCs/>
          <w:sz w:val="24"/>
          <w:szCs w:val="24"/>
        </w:rPr>
        <w:t>以申请当日收市后计算的各类基金份额净值为基准进行计算；</w:t>
      </w:r>
    </w:p>
    <w:p w:rsidR="00523F4B" w:rsidRDefault="0088316E">
      <w:pPr>
        <w:pStyle w:val="a4"/>
        <w:spacing w:line="360" w:lineRule="auto"/>
        <w:ind w:firstLineChars="200" w:firstLine="480"/>
        <w:jc w:val="both"/>
        <w:rPr>
          <w:bCs/>
          <w:sz w:val="24"/>
          <w:szCs w:val="24"/>
        </w:rPr>
      </w:pPr>
      <w:r>
        <w:rPr>
          <w:rFonts w:hint="eastAsia"/>
          <w:bCs/>
          <w:sz w:val="24"/>
          <w:szCs w:val="24"/>
        </w:rPr>
        <w:t>（</w:t>
      </w:r>
      <w:r>
        <w:rPr>
          <w:bCs/>
          <w:sz w:val="24"/>
          <w:szCs w:val="24"/>
        </w:rPr>
        <w:t>4</w:t>
      </w:r>
      <w:r>
        <w:rPr>
          <w:bCs/>
          <w:sz w:val="24"/>
          <w:szCs w:val="24"/>
        </w:rPr>
        <w:t>）</w:t>
      </w:r>
      <w:r>
        <w:rPr>
          <w:rFonts w:hint="eastAsia"/>
          <w:bCs/>
          <w:sz w:val="24"/>
          <w:szCs w:val="24"/>
        </w:rPr>
        <w:t>基金份额持有人赎回时，除指定赎回外，基金管理人按先进先出的原则，对该持有人账户在该销售机构托管的基金份额进行处理，</w:t>
      </w:r>
      <w:r w:rsidRPr="000E7717">
        <w:rPr>
          <w:rFonts w:hint="eastAsia"/>
          <w:bCs/>
          <w:sz w:val="24"/>
          <w:szCs w:val="24"/>
        </w:rPr>
        <w:t>即按照投资人认购、申购的先后次序进行顺序赎回</w:t>
      </w:r>
      <w:r>
        <w:rPr>
          <w:rFonts w:hint="eastAsia"/>
          <w:bCs/>
          <w:sz w:val="24"/>
          <w:szCs w:val="24"/>
        </w:rPr>
        <w:t>；</w:t>
      </w:r>
    </w:p>
    <w:p w:rsidR="00523F4B" w:rsidRDefault="0088316E">
      <w:pPr>
        <w:pStyle w:val="a4"/>
        <w:spacing w:line="360" w:lineRule="auto"/>
        <w:ind w:firstLineChars="200" w:firstLine="480"/>
        <w:jc w:val="both"/>
        <w:rPr>
          <w:bCs/>
          <w:sz w:val="24"/>
          <w:szCs w:val="24"/>
        </w:rPr>
      </w:pPr>
      <w:r>
        <w:rPr>
          <w:rFonts w:hint="eastAsia"/>
          <w:bCs/>
          <w:sz w:val="24"/>
          <w:szCs w:val="24"/>
        </w:rPr>
        <w:t>（</w:t>
      </w:r>
      <w:r>
        <w:rPr>
          <w:bCs/>
          <w:sz w:val="24"/>
          <w:szCs w:val="24"/>
        </w:rPr>
        <w:t>5</w:t>
      </w:r>
      <w:r>
        <w:rPr>
          <w:bCs/>
          <w:sz w:val="24"/>
          <w:szCs w:val="24"/>
        </w:rPr>
        <w:t>）</w:t>
      </w:r>
      <w:r>
        <w:rPr>
          <w:rFonts w:hint="eastAsia"/>
          <w:bCs/>
          <w:sz w:val="24"/>
          <w:szCs w:val="24"/>
        </w:rPr>
        <w:t>当日的赎回申请可以在基金管理人规定的时间以内撤销；</w:t>
      </w:r>
    </w:p>
    <w:p w:rsidR="00523F4B" w:rsidRDefault="0088316E">
      <w:pPr>
        <w:pStyle w:val="a4"/>
        <w:spacing w:line="360" w:lineRule="auto"/>
        <w:ind w:firstLineChars="200" w:firstLine="480"/>
        <w:jc w:val="both"/>
        <w:rPr>
          <w:bCs/>
          <w:sz w:val="24"/>
          <w:szCs w:val="24"/>
        </w:rPr>
      </w:pPr>
      <w:r>
        <w:rPr>
          <w:rFonts w:hint="eastAsia"/>
          <w:bCs/>
          <w:sz w:val="24"/>
          <w:szCs w:val="24"/>
        </w:rPr>
        <w:t>（</w:t>
      </w:r>
      <w:r>
        <w:rPr>
          <w:bCs/>
          <w:sz w:val="24"/>
          <w:szCs w:val="24"/>
        </w:rPr>
        <w:t>6</w:t>
      </w:r>
      <w:r>
        <w:rPr>
          <w:rFonts w:hint="eastAsia"/>
          <w:bCs/>
          <w:sz w:val="24"/>
          <w:szCs w:val="24"/>
        </w:rPr>
        <w:t>）基金份额持有人递交赎回申请，赎回成立；登记机构确认赎回时，赎回生效。投资者赎回申请生效后，基金管理人将在</w:t>
      </w:r>
      <w:r>
        <w:rPr>
          <w:bCs/>
          <w:sz w:val="24"/>
          <w:szCs w:val="24"/>
        </w:rPr>
        <w:t>T</w:t>
      </w:r>
      <w:r>
        <w:rPr>
          <w:bCs/>
          <w:sz w:val="24"/>
          <w:szCs w:val="24"/>
        </w:rPr>
        <w:t>＋</w:t>
      </w:r>
      <w:r>
        <w:rPr>
          <w:bCs/>
          <w:sz w:val="24"/>
          <w:szCs w:val="24"/>
        </w:rPr>
        <w:t>7</w:t>
      </w:r>
      <w:r>
        <w:rPr>
          <w:bCs/>
          <w:sz w:val="24"/>
          <w:szCs w:val="24"/>
        </w:rPr>
        <w:t>日（包括该日）内支付赎回款项。</w:t>
      </w:r>
      <w:r>
        <w:rPr>
          <w:rFonts w:hint="eastAsia"/>
          <w:bCs/>
          <w:sz w:val="24"/>
          <w:szCs w:val="24"/>
        </w:rPr>
        <w:t>如遇交易所或交易市场数据传输延迟、通讯系统故障、银行数据交换系统</w:t>
      </w:r>
      <w:r>
        <w:rPr>
          <w:rFonts w:hint="eastAsia"/>
          <w:bCs/>
          <w:sz w:val="24"/>
          <w:szCs w:val="24"/>
        </w:rPr>
        <w:t>故障或其它非基金管理人及基金托管人所能控制的因素影响业务处理流程，则赎回款项的支付时间可相应顺延。在发生巨额赎回或基金合同载明的其他暂停赎回或延缓支付赎回款项的情形时，款项的支付办法参照基金合同有关条款处理</w:t>
      </w:r>
      <w:r>
        <w:rPr>
          <w:bCs/>
          <w:sz w:val="24"/>
          <w:szCs w:val="24"/>
        </w:rPr>
        <w:t>。</w:t>
      </w:r>
    </w:p>
    <w:p w:rsidR="00523F4B" w:rsidRDefault="0088316E" w:rsidP="0088316E">
      <w:pPr>
        <w:pStyle w:val="a4"/>
        <w:spacing w:line="360" w:lineRule="auto"/>
        <w:ind w:firstLineChars="200" w:firstLine="454"/>
        <w:jc w:val="both"/>
        <w:rPr>
          <w:w w:val="95"/>
          <w:sz w:val="24"/>
          <w:szCs w:val="24"/>
        </w:rPr>
      </w:pPr>
    </w:p>
    <w:p w:rsidR="00523F4B" w:rsidRDefault="0088316E" w:rsidP="0088316E">
      <w:pPr>
        <w:tabs>
          <w:tab w:val="left" w:pos="344"/>
        </w:tabs>
        <w:spacing w:line="360" w:lineRule="auto"/>
        <w:ind w:firstLineChars="200" w:firstLine="482"/>
        <w:jc w:val="both"/>
        <w:outlineLvl w:val="0"/>
        <w:rPr>
          <w:b/>
          <w:bCs/>
          <w:sz w:val="24"/>
          <w:szCs w:val="24"/>
        </w:rPr>
      </w:pPr>
      <w:r>
        <w:rPr>
          <w:rFonts w:hint="eastAsia"/>
          <w:b/>
          <w:bCs/>
          <w:sz w:val="24"/>
          <w:szCs w:val="24"/>
        </w:rPr>
        <w:t>5</w:t>
      </w:r>
      <w:r>
        <w:rPr>
          <w:b/>
          <w:bCs/>
          <w:sz w:val="24"/>
          <w:szCs w:val="24"/>
        </w:rPr>
        <w:t xml:space="preserve"> </w:t>
      </w:r>
      <w:r>
        <w:rPr>
          <w:b/>
          <w:bCs/>
          <w:sz w:val="24"/>
          <w:szCs w:val="24"/>
        </w:rPr>
        <w:t>定期定额投资业务</w:t>
      </w:r>
    </w:p>
    <w:p w:rsidR="00523F4B" w:rsidRDefault="0088316E">
      <w:pPr>
        <w:pStyle w:val="a4"/>
        <w:spacing w:line="360" w:lineRule="auto"/>
        <w:ind w:firstLineChars="200" w:firstLine="480"/>
        <w:jc w:val="both"/>
        <w:rPr>
          <w:bCs/>
          <w:sz w:val="24"/>
          <w:szCs w:val="24"/>
        </w:rPr>
      </w:pPr>
      <w:r>
        <w:rPr>
          <w:rFonts w:hint="eastAsia"/>
          <w:bCs/>
          <w:sz w:val="24"/>
          <w:szCs w:val="24"/>
        </w:rPr>
        <w:t>（</w:t>
      </w:r>
      <w:r>
        <w:rPr>
          <w:rFonts w:hint="eastAsia"/>
          <w:bCs/>
          <w:sz w:val="24"/>
          <w:szCs w:val="24"/>
        </w:rPr>
        <w:t>1</w:t>
      </w:r>
      <w:r>
        <w:rPr>
          <w:rFonts w:hint="eastAsia"/>
          <w:bCs/>
          <w:sz w:val="24"/>
          <w:szCs w:val="24"/>
        </w:rPr>
        <w:t>）</w:t>
      </w:r>
      <w:r>
        <w:rPr>
          <w:bCs/>
          <w:sz w:val="24"/>
          <w:szCs w:val="24"/>
        </w:rPr>
        <w:t>定期定额投资计划指投资者通过有关销售机构提出申请，约定每期申购日、扣款金额及扣款方式，由销售机构于每期约定扣款日在投资者指定银行账户内自动完成扣款及受理基金申购申请的一种投资方式。</w:t>
      </w:r>
    </w:p>
    <w:p w:rsidR="00523F4B" w:rsidRDefault="0088316E">
      <w:pPr>
        <w:pStyle w:val="a4"/>
        <w:spacing w:line="360" w:lineRule="auto"/>
        <w:ind w:firstLineChars="200" w:firstLine="480"/>
        <w:jc w:val="both"/>
        <w:rPr>
          <w:bCs/>
          <w:sz w:val="24"/>
          <w:szCs w:val="24"/>
        </w:rPr>
      </w:pPr>
      <w:r>
        <w:rPr>
          <w:rFonts w:hint="eastAsia"/>
          <w:bCs/>
          <w:sz w:val="24"/>
          <w:szCs w:val="24"/>
        </w:rPr>
        <w:t>（</w:t>
      </w:r>
      <w:r>
        <w:rPr>
          <w:rFonts w:hint="eastAsia"/>
          <w:bCs/>
          <w:sz w:val="24"/>
          <w:szCs w:val="24"/>
        </w:rPr>
        <w:t>2</w:t>
      </w:r>
      <w:r>
        <w:rPr>
          <w:rFonts w:hint="eastAsia"/>
          <w:bCs/>
          <w:sz w:val="24"/>
          <w:szCs w:val="24"/>
        </w:rPr>
        <w:t>）</w:t>
      </w:r>
      <w:r>
        <w:rPr>
          <w:bCs/>
          <w:sz w:val="24"/>
          <w:szCs w:val="24"/>
        </w:rPr>
        <w:t>若无另行公告，定期定额申购的申购费率和计费方式与日常申购业务相同。</w:t>
      </w:r>
    </w:p>
    <w:p w:rsidR="00523F4B" w:rsidRDefault="0088316E">
      <w:pPr>
        <w:pStyle w:val="a4"/>
        <w:spacing w:line="360" w:lineRule="auto"/>
        <w:ind w:firstLineChars="200" w:firstLine="480"/>
        <w:jc w:val="both"/>
        <w:rPr>
          <w:bCs/>
          <w:sz w:val="24"/>
          <w:szCs w:val="24"/>
        </w:rPr>
      </w:pPr>
      <w:r>
        <w:rPr>
          <w:rFonts w:hint="eastAsia"/>
          <w:bCs/>
          <w:sz w:val="24"/>
          <w:szCs w:val="24"/>
        </w:rPr>
        <w:t>（</w:t>
      </w:r>
      <w:r>
        <w:rPr>
          <w:rFonts w:hint="eastAsia"/>
          <w:bCs/>
          <w:sz w:val="24"/>
          <w:szCs w:val="24"/>
        </w:rPr>
        <w:t>3</w:t>
      </w:r>
      <w:r>
        <w:rPr>
          <w:rFonts w:hint="eastAsia"/>
          <w:bCs/>
          <w:sz w:val="24"/>
          <w:szCs w:val="24"/>
        </w:rPr>
        <w:t>）</w:t>
      </w:r>
      <w:r>
        <w:rPr>
          <w:bCs/>
          <w:sz w:val="24"/>
          <w:szCs w:val="24"/>
        </w:rPr>
        <w:t>投资者投资</w:t>
      </w:r>
      <w:r>
        <w:rPr>
          <w:bCs/>
          <w:sz w:val="24"/>
          <w:szCs w:val="24"/>
        </w:rPr>
        <w:t>“</w:t>
      </w:r>
      <w:r>
        <w:rPr>
          <w:bCs/>
          <w:sz w:val="24"/>
          <w:szCs w:val="24"/>
        </w:rPr>
        <w:t>定期定额投资计划</w:t>
      </w:r>
      <w:r>
        <w:rPr>
          <w:bCs/>
          <w:sz w:val="24"/>
          <w:szCs w:val="24"/>
        </w:rPr>
        <w:t>”</w:t>
      </w:r>
      <w:r>
        <w:rPr>
          <w:bCs/>
          <w:sz w:val="24"/>
          <w:szCs w:val="24"/>
        </w:rPr>
        <w:t>时，投资金额不低于申购的起投金额。实际操作中，在不低于招募说明书相关约定的前提下，以各销售机构的具体规定为准。销售机构如以后开展定额定投业务的，本公司可不再另行公告，以各销售机构为准。</w:t>
      </w:r>
    </w:p>
    <w:p w:rsidR="00523F4B" w:rsidRDefault="0088316E">
      <w:pPr>
        <w:pStyle w:val="a4"/>
        <w:spacing w:line="360" w:lineRule="auto"/>
        <w:ind w:firstLineChars="200" w:firstLine="480"/>
        <w:jc w:val="both"/>
        <w:rPr>
          <w:bCs/>
          <w:sz w:val="24"/>
          <w:szCs w:val="24"/>
        </w:rPr>
      </w:pPr>
      <w:r>
        <w:rPr>
          <w:rFonts w:hint="eastAsia"/>
          <w:bCs/>
          <w:sz w:val="24"/>
          <w:szCs w:val="24"/>
        </w:rPr>
        <w:t>（</w:t>
      </w:r>
      <w:r>
        <w:rPr>
          <w:rFonts w:hint="eastAsia"/>
          <w:bCs/>
          <w:sz w:val="24"/>
          <w:szCs w:val="24"/>
        </w:rPr>
        <w:t>4</w:t>
      </w:r>
      <w:r>
        <w:rPr>
          <w:rFonts w:hint="eastAsia"/>
          <w:bCs/>
          <w:sz w:val="24"/>
          <w:szCs w:val="24"/>
        </w:rPr>
        <w:t>）</w:t>
      </w:r>
      <w:r>
        <w:rPr>
          <w:bCs/>
          <w:sz w:val="24"/>
          <w:szCs w:val="24"/>
        </w:rPr>
        <w:t>定期定额投资计划的申请受理时间与基金日常申购业务受理的时间相同。</w:t>
      </w:r>
    </w:p>
    <w:p w:rsidR="00523F4B" w:rsidRDefault="0088316E">
      <w:pPr>
        <w:pStyle w:val="a4"/>
        <w:spacing w:line="360" w:lineRule="auto"/>
        <w:ind w:firstLineChars="200" w:firstLine="480"/>
        <w:jc w:val="both"/>
        <w:rPr>
          <w:bCs/>
          <w:sz w:val="24"/>
          <w:szCs w:val="24"/>
        </w:rPr>
      </w:pPr>
      <w:r>
        <w:rPr>
          <w:rFonts w:hint="eastAsia"/>
          <w:bCs/>
          <w:sz w:val="24"/>
          <w:szCs w:val="24"/>
        </w:rPr>
        <w:t>（</w:t>
      </w:r>
      <w:r>
        <w:rPr>
          <w:rFonts w:hint="eastAsia"/>
          <w:bCs/>
          <w:sz w:val="24"/>
          <w:szCs w:val="24"/>
        </w:rPr>
        <w:t>5</w:t>
      </w:r>
      <w:r>
        <w:rPr>
          <w:rFonts w:hint="eastAsia"/>
          <w:bCs/>
          <w:sz w:val="24"/>
          <w:szCs w:val="24"/>
        </w:rPr>
        <w:t>）</w:t>
      </w:r>
      <w:r>
        <w:rPr>
          <w:bCs/>
          <w:sz w:val="24"/>
          <w:szCs w:val="24"/>
        </w:rPr>
        <w:t>投资者可以通过基金管理人直销</w:t>
      </w:r>
      <w:r>
        <w:rPr>
          <w:bCs/>
          <w:sz w:val="24"/>
          <w:szCs w:val="24"/>
        </w:rPr>
        <w:t>APP</w:t>
      </w:r>
      <w:r>
        <w:rPr>
          <w:bCs/>
          <w:sz w:val="24"/>
          <w:szCs w:val="24"/>
        </w:rPr>
        <w:t>（国泰</w:t>
      </w:r>
      <w:r>
        <w:rPr>
          <w:bCs/>
          <w:sz w:val="24"/>
          <w:szCs w:val="24"/>
        </w:rPr>
        <w:t>海通</w:t>
      </w:r>
      <w:r>
        <w:rPr>
          <w:bCs/>
          <w:sz w:val="24"/>
          <w:szCs w:val="24"/>
        </w:rPr>
        <w:t>资管</w:t>
      </w:r>
      <w:r>
        <w:rPr>
          <w:bCs/>
          <w:sz w:val="24"/>
          <w:szCs w:val="24"/>
        </w:rPr>
        <w:t>APP</w:t>
      </w:r>
      <w:r>
        <w:rPr>
          <w:bCs/>
          <w:sz w:val="24"/>
          <w:szCs w:val="24"/>
        </w:rPr>
        <w:t>）提交申请，约定每期扣款时间、扣款金额、申购基金等，委托由基金管理人于约定扣款日在投资者指定资金账户内自动完成扣款和基金申购等。定期申购业务包括：定期定额申购和定期</w:t>
      </w:r>
      <w:r>
        <w:rPr>
          <w:bCs/>
          <w:sz w:val="24"/>
          <w:szCs w:val="24"/>
        </w:rPr>
        <w:t>不定额申购两种。</w:t>
      </w:r>
    </w:p>
    <w:p w:rsidR="00523F4B" w:rsidRDefault="0088316E">
      <w:pPr>
        <w:pStyle w:val="a4"/>
        <w:spacing w:line="360" w:lineRule="auto"/>
        <w:ind w:firstLineChars="200" w:firstLine="480"/>
        <w:jc w:val="both"/>
        <w:rPr>
          <w:bCs/>
          <w:sz w:val="24"/>
          <w:szCs w:val="24"/>
        </w:rPr>
      </w:pPr>
      <w:r>
        <w:rPr>
          <w:rFonts w:hint="eastAsia"/>
          <w:bCs/>
          <w:sz w:val="24"/>
          <w:szCs w:val="24"/>
        </w:rPr>
        <w:t>（</w:t>
      </w:r>
      <w:r>
        <w:rPr>
          <w:rFonts w:hint="eastAsia"/>
          <w:bCs/>
          <w:sz w:val="24"/>
          <w:szCs w:val="24"/>
        </w:rPr>
        <w:t>6</w:t>
      </w:r>
      <w:r>
        <w:rPr>
          <w:rFonts w:hint="eastAsia"/>
          <w:bCs/>
          <w:sz w:val="24"/>
          <w:szCs w:val="24"/>
        </w:rPr>
        <w:t>）</w:t>
      </w:r>
      <w:r>
        <w:rPr>
          <w:bCs/>
          <w:sz w:val="24"/>
          <w:szCs w:val="24"/>
        </w:rPr>
        <w:t>基金管理人直销中心暂不开通办理定期定额投资计划。</w:t>
      </w:r>
    </w:p>
    <w:p w:rsidR="00523F4B" w:rsidRDefault="0088316E">
      <w:pPr>
        <w:pStyle w:val="a4"/>
        <w:spacing w:line="360" w:lineRule="auto"/>
        <w:ind w:firstLineChars="200" w:firstLine="480"/>
        <w:jc w:val="both"/>
        <w:rPr>
          <w:sz w:val="24"/>
          <w:szCs w:val="24"/>
        </w:rPr>
      </w:pPr>
    </w:p>
    <w:p w:rsidR="00523F4B" w:rsidRDefault="0088316E" w:rsidP="0088316E">
      <w:pPr>
        <w:tabs>
          <w:tab w:val="left" w:pos="344"/>
        </w:tabs>
        <w:spacing w:line="360" w:lineRule="auto"/>
        <w:ind w:firstLineChars="200" w:firstLine="482"/>
        <w:jc w:val="both"/>
        <w:outlineLvl w:val="0"/>
        <w:rPr>
          <w:b/>
          <w:bCs/>
          <w:sz w:val="24"/>
          <w:szCs w:val="24"/>
        </w:rPr>
      </w:pPr>
      <w:r>
        <w:rPr>
          <w:rFonts w:hint="eastAsia"/>
          <w:b/>
          <w:bCs/>
          <w:sz w:val="24"/>
          <w:szCs w:val="24"/>
        </w:rPr>
        <w:t>6</w:t>
      </w:r>
      <w:r>
        <w:rPr>
          <w:b/>
          <w:bCs/>
          <w:sz w:val="24"/>
          <w:szCs w:val="24"/>
        </w:rPr>
        <w:t xml:space="preserve"> </w:t>
      </w:r>
      <w:r>
        <w:rPr>
          <w:b/>
          <w:bCs/>
          <w:sz w:val="24"/>
          <w:szCs w:val="24"/>
        </w:rPr>
        <w:t>基金销售机构</w:t>
      </w:r>
    </w:p>
    <w:p w:rsidR="00523F4B" w:rsidRDefault="0088316E">
      <w:pPr>
        <w:tabs>
          <w:tab w:val="left" w:pos="503"/>
        </w:tabs>
        <w:spacing w:line="360" w:lineRule="auto"/>
        <w:ind w:left="482"/>
        <w:jc w:val="both"/>
        <w:rPr>
          <w:b/>
          <w:bCs/>
          <w:sz w:val="24"/>
          <w:szCs w:val="24"/>
        </w:rPr>
      </w:pPr>
      <w:r>
        <w:rPr>
          <w:rFonts w:hint="eastAsia"/>
          <w:b/>
          <w:bCs/>
          <w:sz w:val="24"/>
          <w:szCs w:val="24"/>
        </w:rPr>
        <w:t>6</w:t>
      </w:r>
      <w:r>
        <w:rPr>
          <w:b/>
          <w:bCs/>
          <w:sz w:val="24"/>
          <w:szCs w:val="24"/>
        </w:rPr>
        <w:t xml:space="preserve">.1 </w:t>
      </w:r>
      <w:r>
        <w:rPr>
          <w:b/>
          <w:bCs/>
          <w:sz w:val="24"/>
          <w:szCs w:val="24"/>
        </w:rPr>
        <w:t>场外销售机构</w:t>
      </w:r>
    </w:p>
    <w:p w:rsidR="00523F4B" w:rsidRDefault="0088316E">
      <w:pPr>
        <w:tabs>
          <w:tab w:val="left" w:pos="661"/>
        </w:tabs>
        <w:spacing w:line="360" w:lineRule="auto"/>
        <w:ind w:left="482"/>
        <w:jc w:val="both"/>
        <w:rPr>
          <w:b/>
          <w:bCs/>
          <w:sz w:val="24"/>
          <w:szCs w:val="24"/>
        </w:rPr>
      </w:pPr>
      <w:r>
        <w:rPr>
          <w:rFonts w:hint="eastAsia"/>
          <w:b/>
          <w:bCs/>
          <w:sz w:val="24"/>
          <w:szCs w:val="24"/>
        </w:rPr>
        <w:t>6</w:t>
      </w:r>
      <w:r>
        <w:rPr>
          <w:b/>
          <w:bCs/>
          <w:sz w:val="24"/>
          <w:szCs w:val="24"/>
        </w:rPr>
        <w:t xml:space="preserve">.1.1 </w:t>
      </w:r>
      <w:r>
        <w:rPr>
          <w:rFonts w:hint="eastAsia"/>
          <w:b/>
          <w:bCs/>
          <w:sz w:val="24"/>
          <w:szCs w:val="24"/>
        </w:rPr>
        <w:t>场外</w:t>
      </w:r>
      <w:r>
        <w:rPr>
          <w:b/>
          <w:bCs/>
          <w:sz w:val="24"/>
          <w:szCs w:val="24"/>
        </w:rPr>
        <w:t>直销机构</w:t>
      </w:r>
    </w:p>
    <w:p w:rsidR="00523F4B" w:rsidRDefault="0088316E">
      <w:pPr>
        <w:pStyle w:val="a4"/>
        <w:spacing w:line="360" w:lineRule="auto"/>
        <w:ind w:firstLineChars="200" w:firstLine="480"/>
        <w:jc w:val="both"/>
        <w:rPr>
          <w:bCs/>
          <w:sz w:val="24"/>
          <w:szCs w:val="24"/>
        </w:rPr>
      </w:pPr>
      <w:r>
        <w:rPr>
          <w:rFonts w:hint="eastAsia"/>
          <w:bCs/>
          <w:sz w:val="24"/>
          <w:szCs w:val="24"/>
        </w:rPr>
        <w:t>（</w:t>
      </w:r>
      <w:r>
        <w:rPr>
          <w:bCs/>
          <w:sz w:val="24"/>
          <w:szCs w:val="24"/>
        </w:rPr>
        <w:t>1</w:t>
      </w:r>
      <w:r>
        <w:rPr>
          <w:bCs/>
          <w:sz w:val="24"/>
          <w:szCs w:val="24"/>
        </w:rPr>
        <w:t>）上海国泰</w:t>
      </w:r>
      <w:r>
        <w:rPr>
          <w:bCs/>
          <w:sz w:val="24"/>
          <w:szCs w:val="24"/>
        </w:rPr>
        <w:t>海通</w:t>
      </w:r>
      <w:r>
        <w:rPr>
          <w:bCs/>
          <w:sz w:val="24"/>
          <w:szCs w:val="24"/>
        </w:rPr>
        <w:t>证券资产管理有限公司直销中心</w:t>
      </w:r>
    </w:p>
    <w:p w:rsidR="00523F4B" w:rsidRDefault="0088316E">
      <w:pPr>
        <w:pStyle w:val="a4"/>
        <w:spacing w:line="360" w:lineRule="auto"/>
        <w:ind w:firstLineChars="200" w:firstLine="480"/>
        <w:jc w:val="both"/>
        <w:rPr>
          <w:bCs/>
          <w:sz w:val="24"/>
          <w:szCs w:val="24"/>
        </w:rPr>
      </w:pPr>
      <w:r>
        <w:rPr>
          <w:rFonts w:hint="eastAsia"/>
          <w:bCs/>
          <w:sz w:val="24"/>
          <w:szCs w:val="24"/>
        </w:rPr>
        <w:t>注册地址：</w:t>
      </w:r>
      <w:r w:rsidRPr="00020BD4">
        <w:rPr>
          <w:rFonts w:hint="eastAsia"/>
          <w:bCs/>
          <w:sz w:val="24"/>
          <w:szCs w:val="24"/>
        </w:rPr>
        <w:t>上海市黄浦区中山南路</w:t>
      </w:r>
      <w:r w:rsidRPr="00020BD4">
        <w:rPr>
          <w:rFonts w:hint="eastAsia"/>
          <w:bCs/>
          <w:sz w:val="24"/>
          <w:szCs w:val="24"/>
        </w:rPr>
        <w:t>888</w:t>
      </w:r>
      <w:r w:rsidRPr="00020BD4">
        <w:rPr>
          <w:rFonts w:hint="eastAsia"/>
          <w:bCs/>
          <w:sz w:val="24"/>
          <w:szCs w:val="24"/>
        </w:rPr>
        <w:t>号</w:t>
      </w:r>
      <w:r w:rsidRPr="00020BD4">
        <w:rPr>
          <w:rFonts w:hint="eastAsia"/>
          <w:bCs/>
          <w:sz w:val="24"/>
          <w:szCs w:val="24"/>
        </w:rPr>
        <w:t>8</w:t>
      </w:r>
      <w:r w:rsidRPr="00020BD4">
        <w:rPr>
          <w:rFonts w:hint="eastAsia"/>
          <w:bCs/>
          <w:sz w:val="24"/>
          <w:szCs w:val="24"/>
        </w:rPr>
        <w:t>层</w:t>
      </w:r>
    </w:p>
    <w:p w:rsidR="00523F4B" w:rsidRDefault="0088316E">
      <w:pPr>
        <w:pStyle w:val="a4"/>
        <w:spacing w:line="360" w:lineRule="auto"/>
        <w:ind w:firstLineChars="200" w:firstLine="480"/>
        <w:jc w:val="both"/>
        <w:rPr>
          <w:bCs/>
          <w:sz w:val="24"/>
          <w:szCs w:val="24"/>
        </w:rPr>
      </w:pPr>
      <w:r>
        <w:rPr>
          <w:rFonts w:hint="eastAsia"/>
          <w:bCs/>
          <w:sz w:val="24"/>
          <w:szCs w:val="24"/>
        </w:rPr>
        <w:t>办公地址：</w:t>
      </w:r>
      <w:r w:rsidRPr="00020BD4">
        <w:rPr>
          <w:rFonts w:hint="eastAsia"/>
          <w:bCs/>
          <w:sz w:val="24"/>
          <w:szCs w:val="24"/>
        </w:rPr>
        <w:t>上海市黄浦区中山南路</w:t>
      </w:r>
      <w:r w:rsidRPr="00020BD4">
        <w:rPr>
          <w:rFonts w:hint="eastAsia"/>
          <w:bCs/>
          <w:sz w:val="24"/>
          <w:szCs w:val="24"/>
        </w:rPr>
        <w:t>888</w:t>
      </w:r>
      <w:r w:rsidRPr="00020BD4">
        <w:rPr>
          <w:rFonts w:hint="eastAsia"/>
          <w:bCs/>
          <w:sz w:val="24"/>
          <w:szCs w:val="24"/>
        </w:rPr>
        <w:t>号</w:t>
      </w:r>
      <w:r w:rsidRPr="00020BD4">
        <w:rPr>
          <w:rFonts w:hint="eastAsia"/>
          <w:bCs/>
          <w:sz w:val="24"/>
          <w:szCs w:val="24"/>
        </w:rPr>
        <w:t>B</w:t>
      </w:r>
      <w:r w:rsidRPr="00020BD4">
        <w:rPr>
          <w:rFonts w:hint="eastAsia"/>
          <w:bCs/>
          <w:sz w:val="24"/>
          <w:szCs w:val="24"/>
        </w:rPr>
        <w:t>栋</w:t>
      </w:r>
      <w:r w:rsidRPr="00020BD4">
        <w:rPr>
          <w:rFonts w:hint="eastAsia"/>
          <w:bCs/>
          <w:sz w:val="24"/>
          <w:szCs w:val="24"/>
        </w:rPr>
        <w:t>2-6</w:t>
      </w:r>
      <w:r w:rsidRPr="00020BD4">
        <w:rPr>
          <w:rFonts w:hint="eastAsia"/>
          <w:bCs/>
          <w:sz w:val="24"/>
          <w:szCs w:val="24"/>
        </w:rPr>
        <w:t>层及</w:t>
      </w:r>
      <w:r w:rsidRPr="00020BD4">
        <w:rPr>
          <w:rFonts w:hint="eastAsia"/>
          <w:bCs/>
          <w:sz w:val="24"/>
          <w:szCs w:val="24"/>
        </w:rPr>
        <w:t>8</w:t>
      </w:r>
      <w:r w:rsidRPr="00020BD4">
        <w:rPr>
          <w:rFonts w:hint="eastAsia"/>
          <w:bCs/>
          <w:sz w:val="24"/>
          <w:szCs w:val="24"/>
        </w:rPr>
        <w:t>层</w:t>
      </w:r>
    </w:p>
    <w:p w:rsidR="00523F4B" w:rsidRDefault="0088316E">
      <w:pPr>
        <w:pStyle w:val="a4"/>
        <w:spacing w:line="360" w:lineRule="auto"/>
        <w:ind w:firstLineChars="200" w:firstLine="480"/>
        <w:jc w:val="both"/>
        <w:rPr>
          <w:bCs/>
          <w:sz w:val="24"/>
          <w:szCs w:val="24"/>
        </w:rPr>
      </w:pPr>
      <w:r>
        <w:rPr>
          <w:rFonts w:hint="eastAsia"/>
          <w:bCs/>
          <w:sz w:val="24"/>
          <w:szCs w:val="24"/>
        </w:rPr>
        <w:t>法定代表人：陶耿</w:t>
      </w:r>
    </w:p>
    <w:p w:rsidR="00523F4B" w:rsidRDefault="0088316E">
      <w:pPr>
        <w:pStyle w:val="a4"/>
        <w:spacing w:line="360" w:lineRule="auto"/>
        <w:ind w:firstLineChars="200" w:firstLine="480"/>
        <w:jc w:val="both"/>
        <w:rPr>
          <w:bCs/>
          <w:sz w:val="24"/>
          <w:szCs w:val="24"/>
        </w:rPr>
      </w:pPr>
      <w:r>
        <w:rPr>
          <w:rFonts w:hint="eastAsia"/>
          <w:bCs/>
          <w:sz w:val="24"/>
          <w:szCs w:val="24"/>
        </w:rPr>
        <w:t>联系电话：</w:t>
      </w:r>
      <w:r>
        <w:rPr>
          <w:bCs/>
          <w:sz w:val="24"/>
          <w:szCs w:val="24"/>
        </w:rPr>
        <w:t>021-38676999</w:t>
      </w:r>
    </w:p>
    <w:p w:rsidR="00523F4B" w:rsidRDefault="0088316E">
      <w:pPr>
        <w:pStyle w:val="a4"/>
        <w:spacing w:line="360" w:lineRule="auto"/>
        <w:ind w:firstLineChars="200" w:firstLine="480"/>
        <w:jc w:val="both"/>
        <w:rPr>
          <w:bCs/>
          <w:sz w:val="24"/>
          <w:szCs w:val="24"/>
        </w:rPr>
      </w:pPr>
      <w:r>
        <w:rPr>
          <w:rFonts w:hint="eastAsia"/>
          <w:bCs/>
          <w:sz w:val="24"/>
          <w:szCs w:val="24"/>
        </w:rPr>
        <w:t>联系人：甘珉</w:t>
      </w:r>
    </w:p>
    <w:p w:rsidR="00523F4B" w:rsidRDefault="0088316E">
      <w:pPr>
        <w:pStyle w:val="a4"/>
        <w:spacing w:line="360" w:lineRule="auto"/>
        <w:ind w:firstLineChars="200" w:firstLine="480"/>
        <w:jc w:val="both"/>
        <w:rPr>
          <w:bCs/>
          <w:sz w:val="24"/>
          <w:szCs w:val="24"/>
        </w:rPr>
      </w:pPr>
      <w:r>
        <w:rPr>
          <w:rFonts w:hint="eastAsia"/>
          <w:bCs/>
          <w:sz w:val="24"/>
          <w:szCs w:val="24"/>
        </w:rPr>
        <w:t>网址：</w:t>
      </w:r>
      <w:r>
        <w:rPr>
          <w:bCs/>
          <w:sz w:val="24"/>
          <w:szCs w:val="24"/>
        </w:rPr>
        <w:t>www.</w:t>
      </w:r>
      <w:r>
        <w:rPr>
          <w:bCs/>
          <w:sz w:val="24"/>
          <w:szCs w:val="24"/>
        </w:rPr>
        <w:t>gtht</w:t>
      </w:r>
      <w:r>
        <w:rPr>
          <w:bCs/>
          <w:sz w:val="24"/>
          <w:szCs w:val="24"/>
        </w:rPr>
        <w:t>zg.com</w:t>
      </w:r>
    </w:p>
    <w:p w:rsidR="00523F4B" w:rsidRDefault="0088316E">
      <w:pPr>
        <w:pStyle w:val="a4"/>
        <w:spacing w:line="360" w:lineRule="auto"/>
        <w:ind w:firstLineChars="200" w:firstLine="480"/>
        <w:jc w:val="both"/>
        <w:rPr>
          <w:bCs/>
          <w:sz w:val="24"/>
          <w:szCs w:val="24"/>
        </w:rPr>
      </w:pPr>
      <w:r>
        <w:rPr>
          <w:rFonts w:hint="eastAsia"/>
          <w:bCs/>
          <w:sz w:val="24"/>
          <w:szCs w:val="24"/>
        </w:rPr>
        <w:t>（</w:t>
      </w:r>
      <w:r>
        <w:rPr>
          <w:bCs/>
          <w:sz w:val="24"/>
          <w:szCs w:val="24"/>
        </w:rPr>
        <w:t>2</w:t>
      </w:r>
      <w:r>
        <w:rPr>
          <w:bCs/>
          <w:sz w:val="24"/>
          <w:szCs w:val="24"/>
        </w:rPr>
        <w:t>）上海国泰</w:t>
      </w:r>
      <w:r>
        <w:rPr>
          <w:bCs/>
          <w:sz w:val="24"/>
          <w:szCs w:val="24"/>
        </w:rPr>
        <w:t>海通</w:t>
      </w:r>
      <w:r>
        <w:rPr>
          <w:bCs/>
          <w:sz w:val="24"/>
          <w:szCs w:val="24"/>
        </w:rPr>
        <w:t>证券资产管理有限公司网上直销系统。</w:t>
      </w:r>
    </w:p>
    <w:p w:rsidR="00523F4B" w:rsidRDefault="0088316E">
      <w:pPr>
        <w:tabs>
          <w:tab w:val="left" w:pos="661"/>
        </w:tabs>
        <w:spacing w:line="360" w:lineRule="auto"/>
        <w:ind w:left="480"/>
        <w:jc w:val="both"/>
        <w:rPr>
          <w:b/>
          <w:bCs/>
          <w:sz w:val="24"/>
          <w:szCs w:val="24"/>
        </w:rPr>
      </w:pPr>
      <w:r>
        <w:rPr>
          <w:rFonts w:hint="eastAsia"/>
          <w:b/>
          <w:bCs/>
          <w:sz w:val="24"/>
          <w:szCs w:val="24"/>
        </w:rPr>
        <w:t>6</w:t>
      </w:r>
      <w:r>
        <w:rPr>
          <w:b/>
          <w:bCs/>
          <w:sz w:val="24"/>
          <w:szCs w:val="24"/>
        </w:rPr>
        <w:t xml:space="preserve">.1.2 </w:t>
      </w:r>
      <w:r>
        <w:rPr>
          <w:b/>
          <w:bCs/>
          <w:sz w:val="24"/>
          <w:szCs w:val="24"/>
        </w:rPr>
        <w:t>场外</w:t>
      </w:r>
      <w:r>
        <w:rPr>
          <w:rFonts w:hint="eastAsia"/>
          <w:b/>
          <w:bCs/>
          <w:sz w:val="24"/>
          <w:szCs w:val="24"/>
        </w:rPr>
        <w:t>非直销</w:t>
      </w:r>
      <w:r>
        <w:rPr>
          <w:b/>
          <w:bCs/>
          <w:sz w:val="24"/>
          <w:szCs w:val="24"/>
        </w:rPr>
        <w:t>机构</w:t>
      </w:r>
    </w:p>
    <w:p w:rsidR="00523F4B" w:rsidRDefault="0088316E">
      <w:pPr>
        <w:pStyle w:val="a4"/>
        <w:spacing w:line="360" w:lineRule="auto"/>
        <w:ind w:firstLineChars="200" w:firstLine="480"/>
        <w:jc w:val="both"/>
        <w:rPr>
          <w:bCs/>
          <w:sz w:val="24"/>
          <w:szCs w:val="24"/>
        </w:rPr>
      </w:pPr>
      <w:r>
        <w:rPr>
          <w:rFonts w:hint="eastAsia"/>
          <w:bCs/>
          <w:sz w:val="24"/>
          <w:szCs w:val="24"/>
        </w:rPr>
        <w:t>具体非直销销售机构见基金管理人网站</w:t>
      </w:r>
      <w:r>
        <w:rPr>
          <w:rFonts w:hint="eastAsia"/>
          <w:bCs/>
          <w:sz w:val="24"/>
          <w:szCs w:val="24"/>
        </w:rPr>
        <w:t>公示，敬请投资者留意。</w:t>
      </w:r>
    </w:p>
    <w:p w:rsidR="00523F4B" w:rsidRDefault="0088316E">
      <w:pPr>
        <w:pStyle w:val="a4"/>
        <w:spacing w:line="360" w:lineRule="auto"/>
        <w:ind w:firstLineChars="200" w:firstLine="480"/>
        <w:jc w:val="both"/>
        <w:rPr>
          <w:bCs/>
          <w:sz w:val="24"/>
          <w:szCs w:val="24"/>
        </w:rPr>
      </w:pPr>
    </w:p>
    <w:p w:rsidR="00523F4B" w:rsidRDefault="0088316E">
      <w:pPr>
        <w:tabs>
          <w:tab w:val="left" w:pos="503"/>
        </w:tabs>
        <w:spacing w:line="360" w:lineRule="auto"/>
        <w:ind w:left="482"/>
        <w:jc w:val="both"/>
        <w:rPr>
          <w:b/>
          <w:bCs/>
          <w:sz w:val="24"/>
          <w:szCs w:val="24"/>
        </w:rPr>
      </w:pPr>
      <w:r>
        <w:rPr>
          <w:b/>
          <w:bCs/>
          <w:sz w:val="24"/>
          <w:szCs w:val="24"/>
        </w:rPr>
        <w:t xml:space="preserve">6.2 </w:t>
      </w:r>
      <w:r>
        <w:rPr>
          <w:rFonts w:hint="eastAsia"/>
          <w:b/>
          <w:bCs/>
          <w:sz w:val="24"/>
          <w:szCs w:val="24"/>
        </w:rPr>
        <w:t>场内销售机构</w:t>
      </w:r>
    </w:p>
    <w:p w:rsidR="00523F4B" w:rsidRDefault="0088316E">
      <w:pPr>
        <w:pStyle w:val="a4"/>
        <w:spacing w:line="360" w:lineRule="auto"/>
        <w:ind w:firstLineChars="200" w:firstLine="480"/>
        <w:jc w:val="both"/>
        <w:rPr>
          <w:bCs/>
          <w:sz w:val="24"/>
          <w:szCs w:val="24"/>
        </w:rPr>
      </w:pPr>
      <w:r>
        <w:rPr>
          <w:rFonts w:hint="eastAsia"/>
          <w:bCs/>
          <w:sz w:val="24"/>
          <w:szCs w:val="24"/>
        </w:rPr>
        <w:t>无。</w:t>
      </w:r>
    </w:p>
    <w:p w:rsidR="00523F4B" w:rsidRDefault="0088316E">
      <w:pPr>
        <w:pStyle w:val="a4"/>
        <w:spacing w:line="360" w:lineRule="auto"/>
        <w:ind w:firstLineChars="200" w:firstLine="480"/>
        <w:jc w:val="both"/>
        <w:rPr>
          <w:sz w:val="24"/>
          <w:szCs w:val="24"/>
        </w:rPr>
      </w:pPr>
    </w:p>
    <w:p w:rsidR="00523F4B" w:rsidRDefault="0088316E" w:rsidP="0088316E">
      <w:pPr>
        <w:tabs>
          <w:tab w:val="left" w:pos="344"/>
        </w:tabs>
        <w:spacing w:line="360" w:lineRule="auto"/>
        <w:ind w:firstLineChars="200" w:firstLine="482"/>
        <w:jc w:val="both"/>
        <w:outlineLvl w:val="0"/>
        <w:rPr>
          <w:b/>
          <w:bCs/>
          <w:sz w:val="24"/>
          <w:szCs w:val="24"/>
        </w:rPr>
      </w:pPr>
      <w:r>
        <w:rPr>
          <w:rFonts w:hint="eastAsia"/>
          <w:b/>
          <w:bCs/>
          <w:sz w:val="24"/>
          <w:szCs w:val="24"/>
        </w:rPr>
        <w:t>7</w:t>
      </w:r>
      <w:r>
        <w:rPr>
          <w:b/>
          <w:bCs/>
          <w:sz w:val="24"/>
          <w:szCs w:val="24"/>
        </w:rPr>
        <w:t xml:space="preserve"> </w:t>
      </w:r>
      <w:r>
        <w:rPr>
          <w:b/>
          <w:bCs/>
          <w:sz w:val="24"/>
          <w:szCs w:val="24"/>
        </w:rPr>
        <w:t>基金份额净值公告</w:t>
      </w:r>
      <w:r>
        <w:rPr>
          <w:b/>
          <w:bCs/>
          <w:sz w:val="24"/>
          <w:szCs w:val="24"/>
        </w:rPr>
        <w:t>/</w:t>
      </w:r>
      <w:r>
        <w:rPr>
          <w:b/>
          <w:bCs/>
          <w:sz w:val="24"/>
          <w:szCs w:val="24"/>
        </w:rPr>
        <w:t>基金收益公告的披露安排</w:t>
      </w:r>
    </w:p>
    <w:p w:rsidR="00523F4B" w:rsidRDefault="0088316E">
      <w:pPr>
        <w:pStyle w:val="a4"/>
        <w:spacing w:line="360" w:lineRule="auto"/>
        <w:ind w:firstLineChars="200" w:firstLine="480"/>
        <w:jc w:val="both"/>
        <w:rPr>
          <w:bCs/>
          <w:sz w:val="24"/>
          <w:szCs w:val="24"/>
        </w:rPr>
      </w:pPr>
      <w:r>
        <w:rPr>
          <w:rFonts w:hint="eastAsia"/>
          <w:bCs/>
          <w:sz w:val="24"/>
          <w:szCs w:val="24"/>
        </w:rPr>
        <w:t>在开始办理基金份额申购或者赎回后，基金管理人应当在不晚于每个开放日的次日，通过规定网站、基金销售机构网站或者营业网点披露开放日的各类基金份额净值和各类基金份额累计净值。</w:t>
      </w:r>
    </w:p>
    <w:p w:rsidR="00523F4B" w:rsidRDefault="0088316E">
      <w:pPr>
        <w:pStyle w:val="a4"/>
        <w:spacing w:line="360" w:lineRule="auto"/>
        <w:ind w:firstLineChars="200" w:firstLine="480"/>
        <w:jc w:val="both"/>
        <w:rPr>
          <w:sz w:val="24"/>
          <w:szCs w:val="24"/>
        </w:rPr>
      </w:pPr>
    </w:p>
    <w:p w:rsidR="00523F4B" w:rsidRDefault="0088316E" w:rsidP="0088316E">
      <w:pPr>
        <w:tabs>
          <w:tab w:val="left" w:pos="344"/>
        </w:tabs>
        <w:spacing w:line="360" w:lineRule="auto"/>
        <w:ind w:firstLineChars="200" w:firstLine="482"/>
        <w:jc w:val="both"/>
        <w:outlineLvl w:val="0"/>
        <w:rPr>
          <w:b/>
          <w:bCs/>
          <w:sz w:val="24"/>
          <w:szCs w:val="24"/>
        </w:rPr>
      </w:pPr>
      <w:r>
        <w:rPr>
          <w:rFonts w:hint="eastAsia"/>
          <w:b/>
          <w:bCs/>
          <w:sz w:val="24"/>
          <w:szCs w:val="24"/>
        </w:rPr>
        <w:t>8</w:t>
      </w:r>
      <w:r>
        <w:rPr>
          <w:b/>
          <w:bCs/>
          <w:sz w:val="24"/>
          <w:szCs w:val="24"/>
        </w:rPr>
        <w:t xml:space="preserve"> </w:t>
      </w:r>
      <w:r>
        <w:rPr>
          <w:b/>
          <w:bCs/>
          <w:sz w:val="24"/>
          <w:szCs w:val="24"/>
        </w:rPr>
        <w:t>其他需要提示的事项</w:t>
      </w:r>
    </w:p>
    <w:p w:rsidR="00523F4B" w:rsidRDefault="0088316E">
      <w:pPr>
        <w:pStyle w:val="a4"/>
        <w:spacing w:line="360" w:lineRule="auto"/>
        <w:ind w:firstLineChars="200" w:firstLine="480"/>
        <w:jc w:val="both"/>
        <w:rPr>
          <w:bCs/>
          <w:sz w:val="24"/>
          <w:szCs w:val="24"/>
        </w:rPr>
      </w:pPr>
      <w:r>
        <w:rPr>
          <w:rFonts w:hint="eastAsia"/>
          <w:bCs/>
          <w:sz w:val="24"/>
          <w:szCs w:val="24"/>
        </w:rPr>
        <w:t>（</w:t>
      </w:r>
      <w:r>
        <w:rPr>
          <w:bCs/>
          <w:sz w:val="24"/>
          <w:szCs w:val="24"/>
        </w:rPr>
        <w:t>1</w:t>
      </w:r>
      <w:r>
        <w:rPr>
          <w:rFonts w:hint="eastAsia"/>
          <w:bCs/>
          <w:sz w:val="24"/>
          <w:szCs w:val="24"/>
        </w:rPr>
        <w:t>）</w:t>
      </w:r>
      <w:r>
        <w:rPr>
          <w:bCs/>
          <w:sz w:val="24"/>
          <w:szCs w:val="24"/>
        </w:rPr>
        <w:t>本公告仅对本基金开放日常申购、赎回及定期定额投资业务相关事项予以说明。投资者欲了解本基金的详细情况，请详细阅读《基金合同》、《招募说明书》</w:t>
      </w:r>
      <w:r>
        <w:rPr>
          <w:rFonts w:hint="eastAsia"/>
          <w:bCs/>
          <w:sz w:val="24"/>
          <w:szCs w:val="24"/>
        </w:rPr>
        <w:t>及《基金产品资料概要》</w:t>
      </w:r>
      <w:r>
        <w:rPr>
          <w:bCs/>
          <w:sz w:val="24"/>
          <w:szCs w:val="24"/>
        </w:rPr>
        <w:t>等法律文件。</w:t>
      </w:r>
    </w:p>
    <w:p w:rsidR="00523F4B" w:rsidRDefault="0088316E">
      <w:pPr>
        <w:pStyle w:val="a4"/>
        <w:spacing w:line="360" w:lineRule="auto"/>
        <w:ind w:firstLineChars="200" w:firstLine="480"/>
        <w:jc w:val="both"/>
        <w:rPr>
          <w:bCs/>
          <w:sz w:val="24"/>
          <w:szCs w:val="24"/>
        </w:rPr>
      </w:pPr>
      <w:r>
        <w:rPr>
          <w:rFonts w:hint="eastAsia"/>
          <w:bCs/>
          <w:sz w:val="24"/>
          <w:szCs w:val="24"/>
        </w:rPr>
        <w:t>（</w:t>
      </w:r>
      <w:r>
        <w:rPr>
          <w:bCs/>
          <w:sz w:val="24"/>
          <w:szCs w:val="24"/>
        </w:rPr>
        <w:t>2</w:t>
      </w:r>
      <w:r>
        <w:rPr>
          <w:rFonts w:hint="eastAsia"/>
          <w:bCs/>
          <w:sz w:val="24"/>
          <w:szCs w:val="24"/>
        </w:rPr>
        <w:t>）</w:t>
      </w:r>
      <w:r>
        <w:rPr>
          <w:bCs/>
          <w:sz w:val="24"/>
          <w:szCs w:val="24"/>
        </w:rPr>
        <w:t>有关本基金开放申购、赎回和定期定额投资业务的具体规定若有变化，本公司将另行公告。</w:t>
      </w:r>
    </w:p>
    <w:p w:rsidR="00523F4B" w:rsidRDefault="0088316E">
      <w:pPr>
        <w:pStyle w:val="a4"/>
        <w:spacing w:line="360" w:lineRule="auto"/>
        <w:ind w:firstLineChars="200" w:firstLine="480"/>
        <w:jc w:val="both"/>
        <w:rPr>
          <w:bCs/>
          <w:sz w:val="24"/>
          <w:szCs w:val="24"/>
        </w:rPr>
      </w:pPr>
      <w:r>
        <w:rPr>
          <w:rFonts w:hint="eastAsia"/>
          <w:bCs/>
          <w:sz w:val="24"/>
          <w:szCs w:val="24"/>
        </w:rPr>
        <w:t>（</w:t>
      </w:r>
      <w:r>
        <w:rPr>
          <w:bCs/>
          <w:sz w:val="24"/>
          <w:szCs w:val="24"/>
        </w:rPr>
        <w:t>3</w:t>
      </w:r>
      <w:r>
        <w:rPr>
          <w:rFonts w:hint="eastAsia"/>
          <w:bCs/>
          <w:sz w:val="24"/>
          <w:szCs w:val="24"/>
        </w:rPr>
        <w:t>）基金管理人可以在基金合同约定的范围内且对基金份额持有人无实质不利影响的前提下调整费率或收费方式，并最迟应于新的费率或收费方式实施前依照《信息披露办法》的有关规定在规定媒介上公告</w:t>
      </w:r>
      <w:r>
        <w:rPr>
          <w:bCs/>
          <w:sz w:val="24"/>
          <w:szCs w:val="24"/>
        </w:rPr>
        <w:t>。</w:t>
      </w:r>
    </w:p>
    <w:p w:rsidR="00523F4B" w:rsidRDefault="0088316E">
      <w:pPr>
        <w:pStyle w:val="a4"/>
        <w:spacing w:line="360" w:lineRule="auto"/>
        <w:ind w:firstLineChars="200" w:firstLine="480"/>
        <w:jc w:val="both"/>
        <w:rPr>
          <w:bCs/>
          <w:sz w:val="24"/>
          <w:szCs w:val="24"/>
        </w:rPr>
      </w:pPr>
      <w:r>
        <w:rPr>
          <w:rFonts w:hint="eastAsia"/>
          <w:bCs/>
          <w:sz w:val="24"/>
          <w:szCs w:val="24"/>
        </w:rPr>
        <w:t>（</w:t>
      </w:r>
      <w:r>
        <w:rPr>
          <w:bCs/>
          <w:sz w:val="24"/>
          <w:szCs w:val="24"/>
        </w:rPr>
        <w:t>4</w:t>
      </w:r>
      <w:r>
        <w:rPr>
          <w:rFonts w:hint="eastAsia"/>
          <w:bCs/>
          <w:sz w:val="24"/>
          <w:szCs w:val="24"/>
        </w:rPr>
        <w:t>）基金管理人可以在不违反法律法规规定及基金合同约定且对现有基金份额持有人利益无实质性不利影响的情况下根据市场情况制定基金促销计划，针对基金投资者定期和不定期地开展基金促销活动。在基金促销活动期间，按相关监管部门要求履行必要手续后，基金管理人</w:t>
      </w:r>
      <w:r>
        <w:rPr>
          <w:rFonts w:hint="eastAsia"/>
          <w:bCs/>
          <w:sz w:val="24"/>
          <w:szCs w:val="24"/>
        </w:rPr>
        <w:t>可以适当调低基金销售费率。基金管理人可以针对特定投资人开展费率优惠活动，详见基金管理人发布的相关公告。</w:t>
      </w:r>
    </w:p>
    <w:p w:rsidR="00523F4B" w:rsidRDefault="0088316E">
      <w:pPr>
        <w:pStyle w:val="a4"/>
        <w:spacing w:line="360" w:lineRule="auto"/>
        <w:ind w:firstLineChars="200" w:firstLine="480"/>
        <w:jc w:val="both"/>
        <w:rPr>
          <w:bCs/>
          <w:sz w:val="24"/>
          <w:szCs w:val="24"/>
        </w:rPr>
      </w:pPr>
      <w:r>
        <w:rPr>
          <w:rFonts w:hint="eastAsia"/>
          <w:bCs/>
          <w:sz w:val="24"/>
          <w:szCs w:val="24"/>
        </w:rPr>
        <w:t>（</w:t>
      </w:r>
      <w:r>
        <w:rPr>
          <w:bCs/>
          <w:sz w:val="24"/>
          <w:szCs w:val="24"/>
        </w:rPr>
        <w:t>5</w:t>
      </w:r>
      <w:r>
        <w:rPr>
          <w:rFonts w:hint="eastAsia"/>
          <w:bCs/>
          <w:sz w:val="24"/>
          <w:szCs w:val="24"/>
        </w:rPr>
        <w:t>）当本基金发生大额申购或赎回情形时，基金管理人可以采用摆动定价机制，以确保基金估值的公平性。具体处理原则与操作规范遵循相关法律法规以及监管部门、自律规则的规定</w:t>
      </w:r>
      <w:r>
        <w:rPr>
          <w:bCs/>
          <w:sz w:val="24"/>
          <w:szCs w:val="24"/>
        </w:rPr>
        <w:t>。</w:t>
      </w:r>
    </w:p>
    <w:p w:rsidR="00523F4B" w:rsidRDefault="0088316E">
      <w:pPr>
        <w:pStyle w:val="a4"/>
        <w:spacing w:line="360" w:lineRule="auto"/>
        <w:ind w:firstLineChars="200" w:firstLine="480"/>
        <w:jc w:val="both"/>
        <w:rPr>
          <w:bCs/>
          <w:sz w:val="24"/>
          <w:szCs w:val="24"/>
        </w:rPr>
      </w:pPr>
      <w:r>
        <w:rPr>
          <w:rFonts w:hint="eastAsia"/>
          <w:bCs/>
          <w:sz w:val="24"/>
          <w:szCs w:val="24"/>
        </w:rPr>
        <w:t>（</w:t>
      </w:r>
      <w:r>
        <w:rPr>
          <w:bCs/>
          <w:sz w:val="24"/>
          <w:szCs w:val="24"/>
        </w:rPr>
        <w:t>6</w:t>
      </w:r>
      <w:r>
        <w:rPr>
          <w:rFonts w:hint="eastAsia"/>
          <w:bCs/>
          <w:sz w:val="24"/>
          <w:szCs w:val="24"/>
        </w:rPr>
        <w:t>）咨询方式：上海国泰</w:t>
      </w:r>
      <w:r>
        <w:rPr>
          <w:rFonts w:hint="eastAsia"/>
          <w:bCs/>
          <w:sz w:val="24"/>
          <w:szCs w:val="24"/>
        </w:rPr>
        <w:t>海通</w:t>
      </w:r>
      <w:r>
        <w:rPr>
          <w:rFonts w:hint="eastAsia"/>
          <w:bCs/>
          <w:sz w:val="24"/>
          <w:szCs w:val="24"/>
        </w:rPr>
        <w:t>证券资产管理有限公司客服电话：</w:t>
      </w:r>
      <w:r>
        <w:rPr>
          <w:bCs/>
          <w:sz w:val="24"/>
          <w:szCs w:val="24"/>
        </w:rPr>
        <w:t>95521</w:t>
      </w:r>
      <w:r>
        <w:rPr>
          <w:bCs/>
          <w:sz w:val="24"/>
          <w:szCs w:val="24"/>
        </w:rPr>
        <w:t>，公司网址：</w:t>
      </w:r>
      <w:r>
        <w:rPr>
          <w:bCs/>
          <w:sz w:val="24"/>
          <w:szCs w:val="24"/>
        </w:rPr>
        <w:t>www.</w:t>
      </w:r>
      <w:r>
        <w:rPr>
          <w:bCs/>
          <w:sz w:val="24"/>
          <w:szCs w:val="24"/>
        </w:rPr>
        <w:t>gtht</w:t>
      </w:r>
      <w:r>
        <w:rPr>
          <w:bCs/>
          <w:sz w:val="24"/>
          <w:szCs w:val="24"/>
        </w:rPr>
        <w:t>zg.com</w:t>
      </w:r>
      <w:r>
        <w:rPr>
          <w:bCs/>
          <w:sz w:val="24"/>
          <w:szCs w:val="24"/>
        </w:rPr>
        <w:t>。</w:t>
      </w:r>
    </w:p>
    <w:p w:rsidR="00523F4B" w:rsidRDefault="0088316E">
      <w:pPr>
        <w:pStyle w:val="a4"/>
        <w:spacing w:line="360" w:lineRule="auto"/>
        <w:ind w:firstLineChars="200" w:firstLine="480"/>
        <w:jc w:val="both"/>
        <w:rPr>
          <w:bCs/>
          <w:sz w:val="24"/>
          <w:szCs w:val="24"/>
        </w:rPr>
      </w:pPr>
      <w:r>
        <w:rPr>
          <w:rFonts w:hint="eastAsia"/>
          <w:bCs/>
          <w:sz w:val="24"/>
          <w:szCs w:val="24"/>
        </w:rPr>
        <w:t>（</w:t>
      </w:r>
      <w:r>
        <w:rPr>
          <w:bCs/>
          <w:sz w:val="24"/>
          <w:szCs w:val="24"/>
        </w:rPr>
        <w:t>7</w:t>
      </w:r>
      <w:r>
        <w:rPr>
          <w:rFonts w:hint="eastAsia"/>
          <w:bCs/>
          <w:sz w:val="24"/>
          <w:szCs w:val="24"/>
        </w:rPr>
        <w:t>）</w:t>
      </w:r>
      <w:r>
        <w:rPr>
          <w:bCs/>
          <w:sz w:val="24"/>
          <w:szCs w:val="24"/>
        </w:rPr>
        <w:t>风险提示：</w:t>
      </w:r>
    </w:p>
    <w:p w:rsidR="00523F4B" w:rsidRDefault="0088316E">
      <w:pPr>
        <w:pStyle w:val="a4"/>
        <w:spacing w:line="360" w:lineRule="auto"/>
        <w:ind w:firstLineChars="200" w:firstLine="480"/>
        <w:jc w:val="both"/>
        <w:rPr>
          <w:bCs/>
          <w:sz w:val="24"/>
          <w:szCs w:val="24"/>
        </w:rPr>
      </w:pPr>
      <w:r>
        <w:rPr>
          <w:rFonts w:hint="eastAsia"/>
          <w:bCs/>
          <w:sz w:val="24"/>
          <w:szCs w:val="24"/>
        </w:rPr>
        <w:t>基金管理人依照恪尽职守、诚实信用、谨慎勤勉的原则管理和运用基金财产，但不保证本基金一定盈利，也不保证最低收益。基</w:t>
      </w:r>
      <w:r>
        <w:rPr>
          <w:rFonts w:hint="eastAsia"/>
          <w:bCs/>
          <w:sz w:val="24"/>
          <w:szCs w:val="24"/>
        </w:rPr>
        <w:t>金的过往业绩并不预示其未来表现。基金管理人管理的其他基金的业绩并不构成本基金业绩表现的保证。投资者购买本基金并不等于将资金作为存款存放在银行或存款类金融机构。</w:t>
      </w:r>
    </w:p>
    <w:p w:rsidR="00523F4B" w:rsidRDefault="0088316E">
      <w:pPr>
        <w:pStyle w:val="a4"/>
        <w:spacing w:line="360" w:lineRule="auto"/>
        <w:ind w:firstLineChars="200" w:firstLine="480"/>
        <w:jc w:val="both"/>
        <w:rPr>
          <w:bCs/>
          <w:sz w:val="24"/>
          <w:szCs w:val="24"/>
        </w:rPr>
      </w:pPr>
      <w:r>
        <w:rPr>
          <w:rFonts w:hint="eastAsia"/>
          <w:bCs/>
          <w:sz w:val="24"/>
          <w:szCs w:val="24"/>
        </w:rPr>
        <w:t>投资有风险，投资者申购本基金时应认真阅读本基金《基金合同》、《招募说明书》及其更新、基金产品资料概要及其更新等信息披露文件，全面认识本基金的风险收益特征，自主判断本基金的投资价值，并应充分考虑自身的风险承受能力，选择适合自己的基金产品</w:t>
      </w:r>
      <w:r>
        <w:rPr>
          <w:bCs/>
          <w:sz w:val="24"/>
          <w:szCs w:val="24"/>
        </w:rPr>
        <w:t>。</w:t>
      </w:r>
    </w:p>
    <w:p w:rsidR="00523F4B" w:rsidRDefault="0088316E">
      <w:pPr>
        <w:pStyle w:val="a4"/>
        <w:spacing w:line="360" w:lineRule="auto"/>
        <w:ind w:firstLineChars="200" w:firstLine="480"/>
        <w:jc w:val="both"/>
        <w:rPr>
          <w:bCs/>
          <w:sz w:val="24"/>
          <w:szCs w:val="24"/>
        </w:rPr>
      </w:pPr>
      <w:r>
        <w:rPr>
          <w:bCs/>
          <w:sz w:val="24"/>
          <w:szCs w:val="24"/>
        </w:rPr>
        <w:t>特此公告。</w:t>
      </w:r>
    </w:p>
    <w:p w:rsidR="00523F4B" w:rsidRDefault="0088316E">
      <w:pPr>
        <w:pStyle w:val="a4"/>
        <w:spacing w:line="360" w:lineRule="auto"/>
        <w:ind w:firstLineChars="200" w:firstLine="480"/>
        <w:jc w:val="both"/>
        <w:rPr>
          <w:sz w:val="24"/>
          <w:szCs w:val="24"/>
        </w:rPr>
      </w:pPr>
    </w:p>
    <w:p w:rsidR="00523F4B" w:rsidRDefault="0088316E">
      <w:pPr>
        <w:pStyle w:val="a4"/>
        <w:spacing w:line="360" w:lineRule="auto"/>
        <w:ind w:firstLineChars="200" w:firstLine="480"/>
        <w:jc w:val="right"/>
        <w:rPr>
          <w:sz w:val="24"/>
          <w:szCs w:val="24"/>
        </w:rPr>
      </w:pPr>
      <w:r>
        <w:rPr>
          <w:rFonts w:hint="eastAsia"/>
          <w:sz w:val="24"/>
          <w:szCs w:val="24"/>
        </w:rPr>
        <w:t>上海国泰</w:t>
      </w:r>
      <w:r>
        <w:rPr>
          <w:rFonts w:hint="eastAsia"/>
          <w:sz w:val="24"/>
          <w:szCs w:val="24"/>
        </w:rPr>
        <w:t>海通</w:t>
      </w:r>
      <w:r>
        <w:rPr>
          <w:sz w:val="24"/>
          <w:szCs w:val="24"/>
        </w:rPr>
        <w:t>证券资产管理有限公司</w:t>
      </w:r>
    </w:p>
    <w:p w:rsidR="00523F4B" w:rsidRDefault="0088316E" w:rsidP="00020BD4">
      <w:pPr>
        <w:pStyle w:val="a4"/>
        <w:spacing w:line="360" w:lineRule="auto"/>
        <w:ind w:firstLineChars="200" w:firstLine="480"/>
        <w:jc w:val="right"/>
        <w:rPr>
          <w:sz w:val="24"/>
          <w:szCs w:val="24"/>
        </w:rPr>
      </w:pPr>
      <w:r w:rsidRPr="00020BD4">
        <w:rPr>
          <w:rFonts w:hint="eastAsia"/>
          <w:sz w:val="24"/>
          <w:szCs w:val="24"/>
        </w:rPr>
        <w:t>2026</w:t>
      </w:r>
      <w:r w:rsidRPr="00020BD4">
        <w:rPr>
          <w:rFonts w:hint="eastAsia"/>
          <w:sz w:val="24"/>
          <w:szCs w:val="24"/>
        </w:rPr>
        <w:t>年</w:t>
      </w:r>
      <w:r w:rsidRPr="00020BD4">
        <w:rPr>
          <w:rFonts w:hint="eastAsia"/>
          <w:sz w:val="24"/>
          <w:szCs w:val="24"/>
        </w:rPr>
        <w:t>1</w:t>
      </w:r>
      <w:r w:rsidRPr="00020BD4">
        <w:rPr>
          <w:rFonts w:hint="eastAsia"/>
          <w:sz w:val="24"/>
          <w:szCs w:val="24"/>
        </w:rPr>
        <w:t>月</w:t>
      </w:r>
      <w:r w:rsidRPr="00020BD4">
        <w:rPr>
          <w:rFonts w:hint="eastAsia"/>
          <w:sz w:val="24"/>
          <w:szCs w:val="24"/>
        </w:rPr>
        <w:t>19</w:t>
      </w:r>
      <w:r w:rsidRPr="00020BD4">
        <w:rPr>
          <w:rFonts w:hint="eastAsia"/>
          <w:sz w:val="24"/>
          <w:szCs w:val="24"/>
        </w:rPr>
        <w:t>日</w:t>
      </w:r>
    </w:p>
    <w:sectPr w:rsidR="00523F4B" w:rsidSect="001263CB">
      <w:headerReference w:type="even" r:id="rId7"/>
      <w:headerReference w:type="default" r:id="rId8"/>
      <w:headerReference w:type="first" r:id="rId9"/>
      <w:pgSz w:w="11930" w:h="16870"/>
      <w:pgMar w:top="1440" w:right="1724" w:bottom="1440" w:left="1800" w:header="918"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63CB" w:rsidRDefault="001263CB" w:rsidP="001263CB">
      <w:r>
        <w:separator/>
      </w:r>
    </w:p>
  </w:endnote>
  <w:endnote w:type="continuationSeparator" w:id="0">
    <w:p w:rsidR="001263CB" w:rsidRDefault="001263CB" w:rsidP="001263C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63CB" w:rsidRDefault="001263CB" w:rsidP="001263CB">
      <w:r>
        <w:separator/>
      </w:r>
    </w:p>
  </w:footnote>
  <w:footnote w:type="continuationSeparator" w:id="0">
    <w:p w:rsidR="001263CB" w:rsidRDefault="001263CB" w:rsidP="001263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3CB" w:rsidRDefault="001263CB">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0;margin-top:0;width:223.5pt;height:315.75pt;z-index:251660288;mso-position-horizontal:center;mso-position-horizontal-relative:page;mso-position-vertical:center;mso-position-vertical-relative:page">
          <v:imagedata r:id="rId1" o:title=""/>
          <o:lock v:ext="edit" aspectratio="f"/>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3CB" w:rsidRDefault="001263CB">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0;margin-top:0;width:223.5pt;height:315.75pt;z-index:251658240;mso-position-horizontal:center;mso-position-horizontal-relative:page;mso-position-vertical:center;mso-position-vertical-relative:page">
          <v:imagedata r:id="rId1" o:title=""/>
          <o:lock v:ext="edit" aspectratio="f"/>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3CB" w:rsidRDefault="001263CB">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0;width:223.5pt;height:315.75pt;z-index:251659264;mso-position-horizontal:center;mso-position-horizontal-relative:page;mso-position-vertical:center;mso-position-vertical-relative:page">
          <v:imagedata r:id="rId1" o:title=""/>
          <o:lock v:ext="edit" aspectratio="f"/>
          <w10:wrap anchorx="page" anchory="pag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3074"/>
    <o:shapelayout v:ext="edit">
      <o:idmap v:ext="edit" data="1,2"/>
    </o:shapelayout>
  </w:hdrShapeDefaults>
  <w:footnotePr>
    <w:footnote w:id="-1"/>
    <w:footnote w:id="0"/>
  </w:footnotePr>
  <w:endnotePr>
    <w:endnote w:id="-1"/>
    <w:endnote w:id="0"/>
  </w:endnotePr>
  <w:compat>
    <w:useFELayout/>
  </w:compat>
  <w:rsids>
    <w:rsidRoot w:val="001263CB"/>
    <w:rsid w:val="001263CB"/>
    <w:rsid w:val="0088316E"/>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63CB"/>
    <w:pPr>
      <w:widowControl w:val="0"/>
      <w:autoSpaceDE w:val="0"/>
      <w:autoSpaceDN w:val="0"/>
    </w:pPr>
    <w:rPr>
      <w:rFonts w:ascii="宋体" w:eastAsia="宋体" w:hAnsi="宋体" w:cs="宋体"/>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1263CB"/>
  </w:style>
  <w:style w:type="paragraph" w:styleId="a4">
    <w:name w:val="Body Text"/>
    <w:basedOn w:val="a"/>
    <w:link w:val="Char0"/>
    <w:uiPriority w:val="1"/>
    <w:qFormat/>
    <w:rsid w:val="001263CB"/>
    <w:rPr>
      <w:sz w:val="21"/>
      <w:szCs w:val="21"/>
    </w:rPr>
  </w:style>
  <w:style w:type="paragraph" w:styleId="a5">
    <w:name w:val="Balloon Text"/>
    <w:basedOn w:val="a"/>
    <w:link w:val="Char1"/>
    <w:uiPriority w:val="99"/>
    <w:semiHidden/>
    <w:unhideWhenUsed/>
    <w:qFormat/>
    <w:rsid w:val="001263CB"/>
    <w:rPr>
      <w:sz w:val="18"/>
      <w:szCs w:val="18"/>
    </w:rPr>
  </w:style>
  <w:style w:type="paragraph" w:styleId="a6">
    <w:name w:val="footer"/>
    <w:basedOn w:val="a"/>
    <w:link w:val="Char2"/>
    <w:uiPriority w:val="99"/>
    <w:unhideWhenUsed/>
    <w:rsid w:val="001263CB"/>
    <w:pPr>
      <w:tabs>
        <w:tab w:val="center" w:pos="4153"/>
        <w:tab w:val="right" w:pos="8306"/>
      </w:tabs>
      <w:snapToGrid w:val="0"/>
    </w:pPr>
    <w:rPr>
      <w:sz w:val="18"/>
      <w:szCs w:val="18"/>
    </w:rPr>
  </w:style>
  <w:style w:type="paragraph" w:styleId="a7">
    <w:name w:val="header"/>
    <w:basedOn w:val="a"/>
    <w:link w:val="Char3"/>
    <w:uiPriority w:val="99"/>
    <w:unhideWhenUsed/>
    <w:rsid w:val="001263CB"/>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semiHidden/>
    <w:unhideWhenUsed/>
    <w:rsid w:val="001263CB"/>
    <w:rPr>
      <w:rFonts w:ascii="Times New Roman" w:hAnsi="Times New Roman" w:cs="Times New Roman"/>
      <w:sz w:val="24"/>
      <w:szCs w:val="24"/>
    </w:rPr>
  </w:style>
  <w:style w:type="paragraph" w:styleId="a9">
    <w:name w:val="Title"/>
    <w:basedOn w:val="a"/>
    <w:uiPriority w:val="10"/>
    <w:qFormat/>
    <w:rsid w:val="001263CB"/>
    <w:pPr>
      <w:spacing w:before="58"/>
      <w:ind w:left="1504" w:right="1585"/>
      <w:jc w:val="center"/>
    </w:pPr>
    <w:rPr>
      <w:sz w:val="30"/>
      <w:szCs w:val="30"/>
    </w:rPr>
  </w:style>
  <w:style w:type="paragraph" w:styleId="aa">
    <w:name w:val="annotation subject"/>
    <w:basedOn w:val="a3"/>
    <w:next w:val="a3"/>
    <w:link w:val="Char4"/>
    <w:uiPriority w:val="99"/>
    <w:semiHidden/>
    <w:unhideWhenUsed/>
    <w:qFormat/>
    <w:rsid w:val="001263CB"/>
    <w:rPr>
      <w:b/>
      <w:bCs/>
    </w:rPr>
  </w:style>
  <w:style w:type="character" w:styleId="ab">
    <w:name w:val="annotation reference"/>
    <w:basedOn w:val="a0"/>
    <w:uiPriority w:val="99"/>
    <w:semiHidden/>
    <w:unhideWhenUsed/>
    <w:rsid w:val="001263CB"/>
    <w:rPr>
      <w:sz w:val="21"/>
      <w:szCs w:val="21"/>
    </w:rPr>
  </w:style>
  <w:style w:type="table" w:customStyle="1" w:styleId="TableNormal0">
    <w:name w:val="Table Normal_0"/>
    <w:uiPriority w:val="2"/>
    <w:semiHidden/>
    <w:unhideWhenUsed/>
    <w:qFormat/>
    <w:rsid w:val="001263CB"/>
    <w:tblPr>
      <w:tblCellMar>
        <w:top w:w="0" w:type="dxa"/>
        <w:left w:w="0" w:type="dxa"/>
        <w:bottom w:w="0" w:type="dxa"/>
        <w:right w:w="0" w:type="dxa"/>
      </w:tblCellMar>
    </w:tblPr>
  </w:style>
  <w:style w:type="paragraph" w:styleId="ac">
    <w:name w:val="List Paragraph"/>
    <w:basedOn w:val="a"/>
    <w:uiPriority w:val="1"/>
    <w:qFormat/>
    <w:rsid w:val="001263CB"/>
    <w:pPr>
      <w:ind w:left="120" w:firstLine="420"/>
    </w:pPr>
  </w:style>
  <w:style w:type="paragraph" w:customStyle="1" w:styleId="TableParagraph">
    <w:name w:val="Table Paragraph"/>
    <w:basedOn w:val="a"/>
    <w:uiPriority w:val="1"/>
    <w:qFormat/>
    <w:rsid w:val="001263CB"/>
    <w:pPr>
      <w:spacing w:before="85"/>
      <w:ind w:left="48" w:right="42"/>
      <w:jc w:val="center"/>
    </w:pPr>
  </w:style>
  <w:style w:type="character" w:customStyle="1" w:styleId="Char3">
    <w:name w:val="页眉 Char"/>
    <w:basedOn w:val="a0"/>
    <w:link w:val="a7"/>
    <w:uiPriority w:val="99"/>
    <w:rsid w:val="001263CB"/>
    <w:rPr>
      <w:rFonts w:ascii="宋体" w:eastAsia="宋体" w:hAnsi="宋体" w:cs="宋体"/>
      <w:sz w:val="18"/>
      <w:szCs w:val="18"/>
      <w:lang w:eastAsia="zh-CN"/>
    </w:rPr>
  </w:style>
  <w:style w:type="character" w:customStyle="1" w:styleId="Char2">
    <w:name w:val="页脚 Char"/>
    <w:basedOn w:val="a0"/>
    <w:link w:val="a6"/>
    <w:uiPriority w:val="99"/>
    <w:qFormat/>
    <w:rsid w:val="001263CB"/>
    <w:rPr>
      <w:rFonts w:ascii="宋体" w:eastAsia="宋体" w:hAnsi="宋体" w:cs="宋体"/>
      <w:sz w:val="18"/>
      <w:szCs w:val="18"/>
      <w:lang w:eastAsia="zh-CN"/>
    </w:rPr>
  </w:style>
  <w:style w:type="paragraph" w:customStyle="1" w:styleId="1">
    <w:name w:val="修订1"/>
    <w:hidden/>
    <w:uiPriority w:val="99"/>
    <w:semiHidden/>
    <w:rsid w:val="001263CB"/>
    <w:rPr>
      <w:rFonts w:ascii="宋体" w:eastAsia="宋体" w:hAnsi="宋体" w:cs="宋体"/>
      <w:sz w:val="22"/>
      <w:szCs w:val="22"/>
    </w:rPr>
  </w:style>
  <w:style w:type="character" w:customStyle="1" w:styleId="Char0">
    <w:name w:val="正文文本 Char"/>
    <w:basedOn w:val="a0"/>
    <w:link w:val="a4"/>
    <w:uiPriority w:val="1"/>
    <w:rsid w:val="001263CB"/>
    <w:rPr>
      <w:rFonts w:ascii="宋体" w:eastAsia="宋体" w:hAnsi="宋体" w:cs="宋体"/>
      <w:sz w:val="21"/>
      <w:szCs w:val="21"/>
      <w:lang w:eastAsia="zh-CN"/>
    </w:rPr>
  </w:style>
  <w:style w:type="character" w:customStyle="1" w:styleId="Char1">
    <w:name w:val="批注框文本 Char"/>
    <w:basedOn w:val="a0"/>
    <w:link w:val="a5"/>
    <w:uiPriority w:val="99"/>
    <w:semiHidden/>
    <w:rsid w:val="001263CB"/>
    <w:rPr>
      <w:rFonts w:ascii="宋体" w:eastAsia="宋体" w:hAnsi="宋体" w:cs="宋体"/>
      <w:sz w:val="18"/>
      <w:szCs w:val="18"/>
      <w:lang w:eastAsia="zh-CN"/>
    </w:rPr>
  </w:style>
  <w:style w:type="character" w:customStyle="1" w:styleId="Char">
    <w:name w:val="批注文字 Char"/>
    <w:basedOn w:val="a0"/>
    <w:link w:val="a3"/>
    <w:uiPriority w:val="99"/>
    <w:semiHidden/>
    <w:qFormat/>
    <w:rsid w:val="001263CB"/>
    <w:rPr>
      <w:rFonts w:ascii="宋体" w:eastAsia="宋体" w:hAnsi="宋体" w:cs="宋体"/>
      <w:lang w:eastAsia="zh-CN"/>
    </w:rPr>
  </w:style>
  <w:style w:type="character" w:customStyle="1" w:styleId="Char4">
    <w:name w:val="批注主题 Char"/>
    <w:basedOn w:val="Char"/>
    <w:link w:val="aa"/>
    <w:uiPriority w:val="99"/>
    <w:semiHidden/>
    <w:qFormat/>
    <w:rsid w:val="001263CB"/>
    <w:rPr>
      <w:rFonts w:ascii="宋体" w:eastAsia="宋体" w:hAnsi="宋体" w:cs="宋体"/>
      <w:b/>
      <w:bCs/>
      <w:lang w:eastAsia="zh-CN"/>
    </w:rPr>
  </w:style>
  <w:style w:type="paragraph" w:customStyle="1" w:styleId="-">
    <w:name w:val="模板-正文"/>
    <w:basedOn w:val="a8"/>
    <w:link w:val="-Char"/>
    <w:qFormat/>
    <w:rsid w:val="001263CB"/>
    <w:pPr>
      <w:widowControl/>
      <w:shd w:val="clear" w:color="auto" w:fill="FFFFFF"/>
      <w:autoSpaceDE/>
      <w:autoSpaceDN/>
      <w:snapToGrid w:val="0"/>
      <w:spacing w:line="360" w:lineRule="auto"/>
      <w:ind w:firstLineChars="200" w:firstLine="200"/>
      <w:jc w:val="both"/>
    </w:pPr>
    <w:rPr>
      <w:rFonts w:ascii="宋体" w:hAnsi="宋体"/>
      <w:color w:val="222222"/>
      <w:sz w:val="21"/>
      <w:szCs w:val="21"/>
      <w:lang w:val="zh-CN"/>
    </w:rPr>
  </w:style>
  <w:style w:type="character" w:customStyle="1" w:styleId="-Char">
    <w:name w:val="模板-正文 Char"/>
    <w:link w:val="-"/>
    <w:qFormat/>
    <w:rsid w:val="001263CB"/>
    <w:rPr>
      <w:rFonts w:ascii="宋体" w:eastAsia="宋体" w:hAnsi="宋体" w:cs="Times New Roman"/>
      <w:color w:val="222222"/>
      <w:sz w:val="21"/>
      <w:szCs w:val="21"/>
      <w:shd w:val="clear" w:color="auto" w:fill="FFFFFF"/>
      <w:lang w:val="zh-CN" w:eastAsia="zh-CN"/>
    </w:rPr>
  </w:style>
  <w:style w:type="character" w:customStyle="1" w:styleId="da">
    <w:name w:val="da"/>
    <w:basedOn w:val="a0"/>
    <w:qFormat/>
    <w:rsid w:val="001263CB"/>
  </w:style>
  <w:style w:type="paragraph" w:styleId="ad">
    <w:name w:val="Revision"/>
    <w:hidden/>
    <w:uiPriority w:val="99"/>
    <w:unhideWhenUsed/>
    <w:rsid w:val="00726E26"/>
    <w:rPr>
      <w:rFonts w:ascii="宋体" w:eastAsia="宋体" w:hAnsi="宋体" w:cs="宋体"/>
      <w:sz w:val="22"/>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B4200B-5836-4032-9F55-C8D85DACF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650</Words>
  <Characters>3705</Characters>
  <Application>Microsoft Office Word</Application>
  <DocSecurity>4</DocSecurity>
  <Lines>30</Lines>
  <Paragraphs>8</Paragraphs>
  <ScaleCrop>false</ScaleCrop>
  <Company/>
  <LinksUpToDate>false</LinksUpToDate>
  <CharactersWithSpaces>4347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ZHONGM</cp:lastModifiedBy>
  <cp:revision>2</cp:revision>
  <dcterms:created xsi:type="dcterms:W3CDTF">2026-01-18T16:00:00Z</dcterms:created>
  <dcterms:modified xsi:type="dcterms:W3CDTF">2026-01-18T16:00:00Z</dcterms:modified>
  <cp:contentStatus>国泰君安证券股份有限公司*国泰海通证券资产管理公司：国泰海通稳健泰裕债券型发起式证券投资基金开放日常申购、赎回和定期定额投资业务的公告，烦请于下周一（2026年1月19日）发布，谢谢*zhanghaowen@gtht.com*lkl@ssnews.com.cn * *chengang5@gtht.com,liyan11@gtht.com *2026-01-16 17:33:06;</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2022-02-16T00:00:00Z</vt:filetime>
  </property>
  <property fmtid="{D5CDD505-2E9C-101B-9397-08002B2CF9AE}" pid="3" name="Creator">
    <vt:lpwstr>WPS 文字</vt:lpwstr>
  </property>
  <property fmtid="{D5CDD505-2E9C-101B-9397-08002B2CF9AE}" pid="4" name="ICV">
    <vt:lpwstr>5362867A45694513BFBBC677DF5B5C3B_12</vt:lpwstr>
  </property>
  <property fmtid="{D5CDD505-2E9C-101B-9397-08002B2CF9AE}" pid="5" name="KSOProductBuildVer">
    <vt:lpwstr>2052-12.8.2.17134</vt:lpwstr>
  </property>
  <property fmtid="{D5CDD505-2E9C-101B-9397-08002B2CF9AE}" pid="6" name="LastSaved">
    <vt:filetime>2022-02-22T00:00:00Z</vt:filetime>
  </property>
</Properties>
</file>