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E3" w:rsidRDefault="000C2E52">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新华基金管理股份有限公司新华鼎利债券型证券投资基金基金经理变更公告</w:t>
      </w:r>
    </w:p>
    <w:p w:rsidR="00B615E3" w:rsidRDefault="000C2E52">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1</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17</w:t>
      </w:r>
      <w:r>
        <w:rPr>
          <w:rFonts w:asciiTheme="minorEastAsia" w:eastAsiaTheme="minorEastAsia" w:hAnsiTheme="minorEastAsia" w:cs="宋体"/>
          <w:bCs/>
          <w:sz w:val="24"/>
          <w:szCs w:val="24"/>
        </w:rPr>
        <w:t>日</w:t>
      </w:r>
    </w:p>
    <w:p w:rsidR="00B615E3" w:rsidRDefault="00B615E3">
      <w:pPr>
        <w:spacing w:line="560" w:lineRule="exact"/>
        <w:jc w:val="center"/>
        <w:rPr>
          <w:rFonts w:asciiTheme="minorEastAsia" w:eastAsiaTheme="minorEastAsia" w:hAnsiTheme="minorEastAsia"/>
          <w:color w:val="000000"/>
          <w:sz w:val="24"/>
          <w:szCs w:val="24"/>
        </w:rPr>
      </w:pPr>
    </w:p>
    <w:p w:rsidR="00B615E3" w:rsidRDefault="000C2E52">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B615E3">
        <w:trPr>
          <w:jc w:val="center"/>
        </w:trPr>
        <w:tc>
          <w:tcPr>
            <w:tcW w:w="435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B615E3" w:rsidRDefault="000C2E52">
            <w:pPr>
              <w:rPr>
                <w:rFonts w:asciiTheme="minorEastAsia" w:eastAsiaTheme="minorEastAsia" w:hAnsiTheme="minorEastAsia"/>
                <w:sz w:val="24"/>
                <w:szCs w:val="24"/>
              </w:rPr>
            </w:pPr>
            <w:r>
              <w:rPr>
                <w:rFonts w:asciiTheme="minorEastAsia" w:eastAsiaTheme="minorEastAsia" w:hAnsiTheme="minorEastAsia"/>
                <w:sz w:val="24"/>
                <w:szCs w:val="24"/>
              </w:rPr>
              <w:t>新华鼎利债券型证券投资基金</w:t>
            </w:r>
          </w:p>
        </w:tc>
      </w:tr>
      <w:tr w:rsidR="00B615E3">
        <w:trPr>
          <w:jc w:val="center"/>
        </w:trPr>
        <w:tc>
          <w:tcPr>
            <w:tcW w:w="435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B615E3" w:rsidRDefault="000C2E52">
            <w:pPr>
              <w:rPr>
                <w:rFonts w:asciiTheme="minorEastAsia" w:eastAsiaTheme="minorEastAsia" w:hAnsiTheme="minorEastAsia"/>
                <w:sz w:val="24"/>
                <w:szCs w:val="24"/>
              </w:rPr>
            </w:pPr>
            <w:r>
              <w:rPr>
                <w:rFonts w:asciiTheme="minorEastAsia" w:eastAsiaTheme="minorEastAsia" w:hAnsiTheme="minorEastAsia"/>
                <w:sz w:val="24"/>
                <w:szCs w:val="24"/>
              </w:rPr>
              <w:t>新华鼎利债券</w:t>
            </w:r>
          </w:p>
        </w:tc>
      </w:tr>
      <w:tr w:rsidR="00B615E3">
        <w:trPr>
          <w:jc w:val="center"/>
        </w:trPr>
        <w:tc>
          <w:tcPr>
            <w:tcW w:w="4353" w:type="dxa"/>
            <w:vAlign w:val="center"/>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004647</w:t>
            </w:r>
          </w:p>
        </w:tc>
      </w:tr>
      <w:tr w:rsidR="00B615E3">
        <w:trPr>
          <w:jc w:val="center"/>
        </w:trPr>
        <w:tc>
          <w:tcPr>
            <w:tcW w:w="435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B615E3" w:rsidRDefault="000C2E52">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B615E3">
        <w:trPr>
          <w:jc w:val="center"/>
        </w:trPr>
        <w:tc>
          <w:tcPr>
            <w:tcW w:w="435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B615E3" w:rsidRDefault="000C2E52">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B615E3">
        <w:trPr>
          <w:jc w:val="center"/>
        </w:trPr>
        <w:tc>
          <w:tcPr>
            <w:tcW w:w="435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增聘基金经理</w:t>
            </w:r>
          </w:p>
        </w:tc>
      </w:tr>
      <w:tr w:rsidR="00B615E3">
        <w:trPr>
          <w:trHeight w:val="624"/>
          <w:jc w:val="center"/>
        </w:trPr>
        <w:tc>
          <w:tcPr>
            <w:tcW w:w="4353" w:type="dxa"/>
            <w:vMerge w:val="restart"/>
            <w:vAlign w:val="center"/>
          </w:tcPr>
          <w:p w:rsidR="00B615E3" w:rsidRDefault="000C2E52">
            <w:pPr>
              <w:jc w:val="left"/>
            </w:pPr>
            <w:r>
              <w:rPr>
                <w:rFonts w:asciiTheme="minorEastAsia" w:eastAsiaTheme="minorEastAsia" w:hAnsiTheme="minorEastAsia"/>
                <w:sz w:val="24"/>
                <w:szCs w:val="24"/>
              </w:rPr>
              <w:t>新任基金经理姓名</w:t>
            </w:r>
          </w:p>
        </w:tc>
        <w:tc>
          <w:tcPr>
            <w:tcW w:w="5286" w:type="dxa"/>
            <w:vMerge w:val="restart"/>
            <w:vAlign w:val="center"/>
          </w:tcPr>
          <w:p w:rsidR="00B615E3" w:rsidRDefault="000C2E52">
            <w:pPr>
              <w:jc w:val="left"/>
            </w:pPr>
            <w:r>
              <w:rPr>
                <w:rFonts w:asciiTheme="minorEastAsia" w:eastAsiaTheme="minorEastAsia" w:hAnsiTheme="minorEastAsia"/>
                <w:sz w:val="24"/>
                <w:szCs w:val="24"/>
              </w:rPr>
              <w:t>林翟</w:t>
            </w:r>
          </w:p>
        </w:tc>
      </w:tr>
      <w:tr w:rsidR="00B615E3">
        <w:trPr>
          <w:trHeight w:val="507"/>
          <w:jc w:val="center"/>
        </w:trPr>
        <w:tc>
          <w:tcPr>
            <w:tcW w:w="4353" w:type="dxa"/>
            <w:vAlign w:val="center"/>
          </w:tcPr>
          <w:p w:rsidR="00B615E3" w:rsidRDefault="000C2E52">
            <w:pPr>
              <w:jc w:val="left"/>
            </w:pPr>
            <w:r>
              <w:rPr>
                <w:rFonts w:asciiTheme="minorEastAsia" w:eastAsiaTheme="minorEastAsia" w:hAnsiTheme="minorEastAsia"/>
                <w:sz w:val="24"/>
                <w:szCs w:val="24"/>
              </w:rPr>
              <w:t>共同管理本基金的其他基金经理姓名</w:t>
            </w:r>
          </w:p>
        </w:tc>
        <w:tc>
          <w:tcPr>
            <w:tcW w:w="5286" w:type="dxa"/>
            <w:vAlign w:val="center"/>
          </w:tcPr>
          <w:p w:rsidR="00B615E3" w:rsidRDefault="000C2E52">
            <w:pPr>
              <w:jc w:val="left"/>
            </w:pPr>
            <w:r>
              <w:rPr>
                <w:rFonts w:asciiTheme="minorEastAsia" w:eastAsiaTheme="minorEastAsia" w:hAnsiTheme="minorEastAsia"/>
                <w:sz w:val="24"/>
                <w:szCs w:val="24"/>
              </w:rPr>
              <w:t>李晓然</w:t>
            </w:r>
          </w:p>
        </w:tc>
      </w:tr>
    </w:tbl>
    <w:p w:rsidR="00B615E3" w:rsidRDefault="00B615E3">
      <w:pPr>
        <w:pStyle w:val="2"/>
        <w:spacing w:line="560" w:lineRule="exact"/>
        <w:rPr>
          <w:rFonts w:asciiTheme="minorEastAsia" w:eastAsiaTheme="minorEastAsia" w:hAnsiTheme="minorEastAsia"/>
          <w:bCs w:val="0"/>
          <w:color w:val="000000"/>
          <w:sz w:val="24"/>
          <w:szCs w:val="24"/>
        </w:rPr>
      </w:pPr>
      <w:bookmarkStart w:id="1" w:name="_Toc275961409"/>
    </w:p>
    <w:p w:rsidR="00B615E3" w:rsidRDefault="000C2E52">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703"/>
        <w:gridCol w:w="1157"/>
        <w:gridCol w:w="2910"/>
        <w:gridCol w:w="1425"/>
        <w:gridCol w:w="1453"/>
      </w:tblGrid>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新任基金经理姓名</w:t>
            </w:r>
          </w:p>
        </w:tc>
        <w:tc>
          <w:tcPr>
            <w:tcW w:w="6945" w:type="dxa"/>
            <w:gridSpan w:val="4"/>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林翟</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任职日期</w:t>
            </w:r>
          </w:p>
        </w:tc>
        <w:tc>
          <w:tcPr>
            <w:tcW w:w="6945" w:type="dxa"/>
            <w:gridSpan w:val="4"/>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16</w:t>
            </w:r>
            <w:r>
              <w:rPr>
                <w:rFonts w:asciiTheme="minorEastAsia" w:eastAsiaTheme="minorEastAsia" w:hAnsiTheme="minorEastAsia"/>
                <w:sz w:val="24"/>
                <w:szCs w:val="24"/>
              </w:rPr>
              <w:t>日</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证券从业年限</w:t>
            </w:r>
          </w:p>
        </w:tc>
        <w:tc>
          <w:tcPr>
            <w:tcW w:w="6945" w:type="dxa"/>
            <w:gridSpan w:val="4"/>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16</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证券投资管理从业年限</w:t>
            </w:r>
          </w:p>
        </w:tc>
        <w:tc>
          <w:tcPr>
            <w:tcW w:w="6945" w:type="dxa"/>
            <w:gridSpan w:val="4"/>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16</w:t>
            </w:r>
          </w:p>
        </w:tc>
      </w:tr>
      <w:tr w:rsidR="00B615E3">
        <w:trPr>
          <w:trHeight w:val="1610"/>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过往从业经历</w:t>
            </w:r>
          </w:p>
        </w:tc>
        <w:tc>
          <w:tcPr>
            <w:tcW w:w="6945" w:type="dxa"/>
            <w:gridSpan w:val="4"/>
          </w:tcPr>
          <w:p w:rsidR="00B615E3" w:rsidRDefault="000C2E52">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曾任华农财产保险股份有限公司投资经理、</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中英人寿保险有限公司投资经理、新时代证券股份有限公司高级投资经理、北信瑞丰基金管理有限公司基金经理。</w:t>
            </w:r>
          </w:p>
        </w:tc>
      </w:tr>
      <w:tr w:rsidR="00B615E3">
        <w:trPr>
          <w:jc w:val="center"/>
        </w:trPr>
        <w:tc>
          <w:tcPr>
            <w:tcW w:w="2703" w:type="dxa"/>
            <w:vMerge w:val="restart"/>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其中：管理过公募基金的名称及期间</w:t>
            </w:r>
          </w:p>
        </w:tc>
        <w:tc>
          <w:tcPr>
            <w:tcW w:w="1157" w:type="dxa"/>
            <w:vAlign w:val="center"/>
          </w:tcPr>
          <w:p w:rsidR="00B615E3" w:rsidRDefault="000C2E52">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基金</w:t>
            </w:r>
          </w:p>
          <w:p w:rsidR="00B615E3" w:rsidRDefault="000C2E52">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主代码</w:t>
            </w:r>
          </w:p>
        </w:tc>
        <w:tc>
          <w:tcPr>
            <w:tcW w:w="2910" w:type="dxa"/>
            <w:vAlign w:val="center"/>
          </w:tcPr>
          <w:p w:rsidR="00B615E3" w:rsidRDefault="000C2E52">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基金名称</w:t>
            </w:r>
          </w:p>
        </w:tc>
        <w:tc>
          <w:tcPr>
            <w:tcW w:w="1425" w:type="dxa"/>
            <w:vAlign w:val="center"/>
          </w:tcPr>
          <w:p w:rsidR="00B615E3" w:rsidRDefault="000C2E52">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任职日期</w:t>
            </w:r>
          </w:p>
        </w:tc>
        <w:tc>
          <w:tcPr>
            <w:tcW w:w="1453" w:type="dxa"/>
            <w:vAlign w:val="center"/>
          </w:tcPr>
          <w:p w:rsidR="00B615E3" w:rsidRDefault="000C2E52">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离任日期</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001681</w:t>
            </w:r>
          </w:p>
        </w:tc>
        <w:tc>
          <w:tcPr>
            <w:tcW w:w="2910" w:type="dxa"/>
            <w:vAlign w:val="center"/>
          </w:tcPr>
          <w:p w:rsidR="00B615E3" w:rsidRDefault="000C2E52">
            <w:pPr>
              <w:jc w:val="center"/>
            </w:pPr>
            <w:r>
              <w:rPr>
                <w:rFonts w:asciiTheme="minorEastAsia" w:eastAsiaTheme="minorEastAsia" w:hAnsiTheme="minorEastAsia"/>
                <w:color w:val="000000"/>
                <w:sz w:val="24"/>
                <w:szCs w:val="24"/>
              </w:rPr>
              <w:t>新华积极价值灵活配置混合型证券投资基金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2025-06-12</w:t>
            </w:r>
          </w:p>
        </w:tc>
        <w:tc>
          <w:tcPr>
            <w:tcW w:w="1453" w:type="dxa"/>
            <w:vAlign w:val="center"/>
          </w:tcPr>
          <w:p w:rsidR="00B615E3" w:rsidRDefault="000C2E52">
            <w:pPr>
              <w:jc w:val="center"/>
            </w:pPr>
            <w:r>
              <w:rPr>
                <w:rFonts w:asciiTheme="minorEastAsia" w:eastAsiaTheme="minorEastAsia" w:hAnsiTheme="minorEastAsia"/>
                <w:color w:val="000000"/>
                <w:sz w:val="24"/>
                <w:szCs w:val="24"/>
              </w:rPr>
              <w:t>-</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011457</w:t>
            </w:r>
          </w:p>
        </w:tc>
        <w:tc>
          <w:tcPr>
            <w:tcW w:w="2910" w:type="dxa"/>
            <w:vAlign w:val="center"/>
          </w:tcPr>
          <w:p w:rsidR="00B615E3" w:rsidRDefault="000C2E52">
            <w:pPr>
              <w:jc w:val="center"/>
            </w:pPr>
            <w:r>
              <w:rPr>
                <w:rFonts w:asciiTheme="minorEastAsia" w:eastAsiaTheme="minorEastAsia" w:hAnsiTheme="minorEastAsia"/>
                <w:color w:val="000000"/>
                <w:sz w:val="24"/>
                <w:szCs w:val="24"/>
              </w:rPr>
              <w:t>新华行业龙头主题股票型证券投资基金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2025-08-01</w:t>
            </w:r>
          </w:p>
        </w:tc>
        <w:tc>
          <w:tcPr>
            <w:tcW w:w="1453" w:type="dxa"/>
            <w:vAlign w:val="center"/>
          </w:tcPr>
          <w:p w:rsidR="00B615E3" w:rsidRDefault="000C2E52">
            <w:pPr>
              <w:jc w:val="center"/>
            </w:pPr>
            <w:r>
              <w:rPr>
                <w:rFonts w:asciiTheme="minorEastAsia" w:eastAsiaTheme="minorEastAsia" w:hAnsiTheme="minorEastAsia"/>
                <w:color w:val="000000"/>
                <w:sz w:val="24"/>
                <w:szCs w:val="24"/>
              </w:rPr>
              <w:t>-</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002765</w:t>
            </w:r>
          </w:p>
        </w:tc>
        <w:tc>
          <w:tcPr>
            <w:tcW w:w="2910" w:type="dxa"/>
            <w:vAlign w:val="center"/>
          </w:tcPr>
          <w:p w:rsidR="00B615E3" w:rsidRDefault="000C2E52">
            <w:pPr>
              <w:jc w:val="center"/>
            </w:pPr>
            <w:r>
              <w:rPr>
                <w:rFonts w:asciiTheme="minorEastAsia" w:eastAsiaTheme="minorEastAsia" w:hAnsiTheme="minorEastAsia"/>
                <w:color w:val="000000"/>
                <w:sz w:val="24"/>
                <w:szCs w:val="24"/>
              </w:rPr>
              <w:t>新华双利债券型证券投资基金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2025-07-23</w:t>
            </w:r>
          </w:p>
        </w:tc>
        <w:tc>
          <w:tcPr>
            <w:tcW w:w="1453" w:type="dxa"/>
            <w:vAlign w:val="center"/>
          </w:tcPr>
          <w:p w:rsidR="00B615E3" w:rsidRDefault="000C2E52">
            <w:pPr>
              <w:jc w:val="center"/>
            </w:pPr>
            <w:r>
              <w:rPr>
                <w:rFonts w:asciiTheme="minorEastAsia" w:eastAsiaTheme="minorEastAsia" w:hAnsiTheme="minorEastAsia"/>
                <w:color w:val="000000"/>
                <w:sz w:val="24"/>
                <w:szCs w:val="24"/>
              </w:rPr>
              <w:t>-</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000584</w:t>
            </w:r>
          </w:p>
        </w:tc>
        <w:tc>
          <w:tcPr>
            <w:tcW w:w="2910" w:type="dxa"/>
            <w:vAlign w:val="center"/>
          </w:tcPr>
          <w:p w:rsidR="00B615E3" w:rsidRDefault="000C2E52">
            <w:pPr>
              <w:jc w:val="center"/>
            </w:pPr>
            <w:r>
              <w:rPr>
                <w:rFonts w:asciiTheme="minorEastAsia" w:eastAsiaTheme="minorEastAsia" w:hAnsiTheme="minorEastAsia"/>
                <w:color w:val="000000"/>
                <w:sz w:val="24"/>
                <w:szCs w:val="24"/>
              </w:rPr>
              <w:t>新华鑫益灵活配置混合型证券投资基金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2026-01-07</w:t>
            </w:r>
          </w:p>
        </w:tc>
        <w:tc>
          <w:tcPr>
            <w:tcW w:w="1453" w:type="dxa"/>
            <w:vAlign w:val="center"/>
          </w:tcPr>
          <w:p w:rsidR="00B615E3" w:rsidRDefault="000C2E52">
            <w:pPr>
              <w:jc w:val="center"/>
            </w:pPr>
            <w:r>
              <w:rPr>
                <w:rFonts w:asciiTheme="minorEastAsia" w:eastAsiaTheme="minorEastAsia" w:hAnsiTheme="minorEastAsia"/>
                <w:color w:val="000000"/>
                <w:sz w:val="24"/>
                <w:szCs w:val="24"/>
              </w:rPr>
              <w:t>-</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010401</w:t>
            </w:r>
          </w:p>
        </w:tc>
        <w:tc>
          <w:tcPr>
            <w:tcW w:w="2910" w:type="dxa"/>
            <w:vAlign w:val="center"/>
          </w:tcPr>
          <w:p w:rsidR="00B615E3" w:rsidRDefault="000C2E52">
            <w:pPr>
              <w:jc w:val="center"/>
            </w:pPr>
            <w:r>
              <w:rPr>
                <w:rFonts w:asciiTheme="minorEastAsia" w:eastAsiaTheme="minorEastAsia" w:hAnsiTheme="minorEastAsia"/>
                <w:color w:val="000000"/>
                <w:sz w:val="24"/>
                <w:szCs w:val="24"/>
              </w:rPr>
              <w:t>新华安康多元收益一年持有期混合型证券投资基金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2025-06-12</w:t>
            </w:r>
          </w:p>
        </w:tc>
        <w:tc>
          <w:tcPr>
            <w:tcW w:w="1453" w:type="dxa"/>
            <w:vAlign w:val="center"/>
          </w:tcPr>
          <w:p w:rsidR="00B615E3" w:rsidRDefault="000C2E52">
            <w:pPr>
              <w:jc w:val="center"/>
            </w:pPr>
            <w:r>
              <w:rPr>
                <w:rFonts w:asciiTheme="minorEastAsia" w:eastAsiaTheme="minorEastAsia" w:hAnsiTheme="minorEastAsia"/>
                <w:color w:val="000000"/>
                <w:sz w:val="24"/>
                <w:szCs w:val="24"/>
              </w:rPr>
              <w:t>2025-10-23</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004564</w:t>
            </w:r>
          </w:p>
        </w:tc>
        <w:tc>
          <w:tcPr>
            <w:tcW w:w="2910" w:type="dxa"/>
            <w:vAlign w:val="center"/>
          </w:tcPr>
          <w:p w:rsidR="00B615E3" w:rsidRDefault="000C2E52">
            <w:pPr>
              <w:jc w:val="center"/>
            </w:pPr>
            <w:r>
              <w:rPr>
                <w:rFonts w:asciiTheme="minorEastAsia" w:eastAsiaTheme="minorEastAsia" w:hAnsiTheme="minorEastAsia"/>
                <w:color w:val="000000"/>
                <w:sz w:val="24"/>
                <w:szCs w:val="24"/>
              </w:rPr>
              <w:t>北信瑞丰鼎利债券型证券投资基金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2020-01-10</w:t>
            </w:r>
          </w:p>
        </w:tc>
        <w:tc>
          <w:tcPr>
            <w:tcW w:w="1453" w:type="dxa"/>
            <w:vAlign w:val="center"/>
          </w:tcPr>
          <w:p w:rsidR="00B615E3" w:rsidRDefault="000C2E52">
            <w:pPr>
              <w:jc w:val="center"/>
            </w:pPr>
            <w:r>
              <w:rPr>
                <w:rFonts w:asciiTheme="minorEastAsia" w:eastAsiaTheme="minorEastAsia" w:hAnsiTheme="minorEastAsia"/>
                <w:color w:val="000000"/>
                <w:sz w:val="24"/>
                <w:szCs w:val="24"/>
              </w:rPr>
              <w:t>2024-10-18</w:t>
            </w:r>
          </w:p>
        </w:tc>
      </w:tr>
      <w:tr w:rsidR="00B615E3">
        <w:trPr>
          <w:jc w:val="center"/>
        </w:trPr>
        <w:tc>
          <w:tcPr>
            <w:tcW w:w="2703" w:type="dxa"/>
            <w:vMerge/>
          </w:tcPr>
          <w:p w:rsidR="00B615E3" w:rsidRDefault="00B615E3"/>
        </w:tc>
        <w:tc>
          <w:tcPr>
            <w:tcW w:w="1157" w:type="dxa"/>
            <w:vAlign w:val="center"/>
          </w:tcPr>
          <w:p w:rsidR="00B615E3" w:rsidRDefault="000C2E52">
            <w:pPr>
              <w:jc w:val="center"/>
            </w:pPr>
            <w:r>
              <w:rPr>
                <w:rFonts w:asciiTheme="minorEastAsia" w:eastAsiaTheme="minorEastAsia" w:hAnsiTheme="minorEastAsia"/>
                <w:color w:val="000000"/>
                <w:sz w:val="24"/>
                <w:szCs w:val="24"/>
              </w:rPr>
              <w:t>002745</w:t>
            </w:r>
          </w:p>
        </w:tc>
        <w:tc>
          <w:tcPr>
            <w:tcW w:w="2910" w:type="dxa"/>
            <w:vAlign w:val="center"/>
          </w:tcPr>
          <w:p w:rsidR="00B615E3" w:rsidRDefault="000C2E52">
            <w:pPr>
              <w:jc w:val="center"/>
            </w:pPr>
            <w:r>
              <w:rPr>
                <w:rFonts w:asciiTheme="minorEastAsia" w:eastAsiaTheme="minorEastAsia" w:hAnsiTheme="minorEastAsia"/>
                <w:color w:val="000000"/>
                <w:sz w:val="24"/>
                <w:szCs w:val="24"/>
              </w:rPr>
              <w:t>北信瑞丰丰利混合型证券投资基金</w:t>
            </w:r>
          </w:p>
        </w:tc>
        <w:tc>
          <w:tcPr>
            <w:tcW w:w="1425" w:type="dxa"/>
            <w:vAlign w:val="center"/>
          </w:tcPr>
          <w:p w:rsidR="00B615E3" w:rsidRDefault="000C2E52">
            <w:pPr>
              <w:jc w:val="center"/>
            </w:pPr>
            <w:r>
              <w:rPr>
                <w:rFonts w:asciiTheme="minorEastAsia" w:eastAsiaTheme="minorEastAsia" w:hAnsiTheme="minorEastAsia"/>
                <w:color w:val="000000"/>
                <w:sz w:val="24"/>
                <w:szCs w:val="24"/>
              </w:rPr>
              <w:t>2020-03-07</w:t>
            </w:r>
          </w:p>
        </w:tc>
        <w:tc>
          <w:tcPr>
            <w:tcW w:w="1453" w:type="dxa"/>
            <w:vAlign w:val="center"/>
          </w:tcPr>
          <w:p w:rsidR="00B615E3" w:rsidRDefault="000C2E52">
            <w:pPr>
              <w:jc w:val="center"/>
            </w:pPr>
            <w:r>
              <w:rPr>
                <w:rFonts w:asciiTheme="minorEastAsia" w:eastAsiaTheme="minorEastAsia" w:hAnsiTheme="minorEastAsia"/>
                <w:color w:val="000000"/>
                <w:sz w:val="24"/>
                <w:szCs w:val="24"/>
              </w:rPr>
              <w:t>2024-10-18</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是否曾被监管机构予以行政处罚或采取行政监管措施</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否</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是否已取得基金从业资格</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是</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取得的其他相关从业资格</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国籍</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中国</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学历、学位</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硕士研究生</w:t>
            </w:r>
          </w:p>
        </w:tc>
      </w:tr>
      <w:tr w:rsidR="00B615E3">
        <w:trPr>
          <w:jc w:val="center"/>
        </w:trPr>
        <w:tc>
          <w:tcPr>
            <w:tcW w:w="2703" w:type="dxa"/>
          </w:tcPr>
          <w:p w:rsidR="00B615E3" w:rsidRDefault="000C2E52">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业协会注册</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登记</w:t>
            </w:r>
          </w:p>
        </w:tc>
        <w:tc>
          <w:tcPr>
            <w:tcW w:w="6945" w:type="dxa"/>
            <w:gridSpan w:val="4"/>
          </w:tcPr>
          <w:p w:rsidR="00B615E3" w:rsidRDefault="000C2E52">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是</w:t>
            </w:r>
          </w:p>
        </w:tc>
      </w:tr>
    </w:tbl>
    <w:p w:rsidR="00B615E3" w:rsidRDefault="000C2E52">
      <w:pPr>
        <w:pStyle w:val="2"/>
        <w:spacing w:line="560" w:lineRule="exact"/>
        <w:rPr>
          <w:rFonts w:asciiTheme="minorEastAsia" w:eastAsiaTheme="minorEastAsia" w:hAnsiTheme="minorEastAsia"/>
          <w:bCs w:val="0"/>
          <w:color w:val="000000"/>
          <w:sz w:val="24"/>
          <w:szCs w:val="24"/>
        </w:rPr>
      </w:pPr>
      <w:bookmarkStart w:id="2"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2"/>
    </w:p>
    <w:p w:rsidR="00B615E3" w:rsidRDefault="000C2E5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上述事项已经按规定向中国证券投资基金业协会办理相应手续，并报中国证券监督管理委员会重庆监管局报告。</w:t>
      </w:r>
      <w:bookmarkStart w:id="3" w:name="_GoBack"/>
      <w:bookmarkEnd w:id="3"/>
    </w:p>
    <w:sectPr w:rsidR="00B615E3" w:rsidSect="00B615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E52"/>
    <w:rsid w:val="00111BD0"/>
    <w:rsid w:val="00191AD9"/>
    <w:rsid w:val="001F622D"/>
    <w:rsid w:val="00207AA8"/>
    <w:rsid w:val="002A51E8"/>
    <w:rsid w:val="00306525"/>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615E3"/>
    <w:rsid w:val="00BE716F"/>
    <w:rsid w:val="00BE7AA2"/>
    <w:rsid w:val="00D047E3"/>
    <w:rsid w:val="00D21C32"/>
    <w:rsid w:val="00D64B1C"/>
    <w:rsid w:val="00DD624E"/>
    <w:rsid w:val="00DE5519"/>
    <w:rsid w:val="00E435FE"/>
    <w:rsid w:val="00E857A8"/>
    <w:rsid w:val="00EC7F0B"/>
    <w:rsid w:val="00ED112A"/>
    <w:rsid w:val="00F70EFB"/>
    <w:rsid w:val="00FC353A"/>
    <w:rsid w:val="2DD70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E3"/>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B615E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B615E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615E3"/>
    <w:rPr>
      <w:rFonts w:ascii="宋体" w:eastAsia="宋体"/>
      <w:sz w:val="18"/>
      <w:szCs w:val="18"/>
    </w:rPr>
  </w:style>
  <w:style w:type="paragraph" w:styleId="a4">
    <w:name w:val="Balloon Text"/>
    <w:basedOn w:val="a"/>
    <w:link w:val="Char0"/>
    <w:uiPriority w:val="99"/>
    <w:semiHidden/>
    <w:unhideWhenUsed/>
    <w:qFormat/>
    <w:rsid w:val="00B615E3"/>
    <w:rPr>
      <w:sz w:val="18"/>
      <w:szCs w:val="18"/>
    </w:rPr>
  </w:style>
  <w:style w:type="paragraph" w:styleId="a5">
    <w:name w:val="footer"/>
    <w:basedOn w:val="a"/>
    <w:link w:val="Char1"/>
    <w:uiPriority w:val="99"/>
    <w:unhideWhenUsed/>
    <w:qFormat/>
    <w:rsid w:val="00B615E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615E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B615E3"/>
    <w:pPr>
      <w:snapToGrid w:val="0"/>
      <w:jc w:val="left"/>
    </w:pPr>
    <w:rPr>
      <w:rFonts w:eastAsia="宋体"/>
      <w:sz w:val="18"/>
    </w:rPr>
  </w:style>
  <w:style w:type="character" w:styleId="a8">
    <w:name w:val="footnote reference"/>
    <w:basedOn w:val="a0"/>
    <w:qFormat/>
    <w:rsid w:val="00B615E3"/>
    <w:rPr>
      <w:vertAlign w:val="superscript"/>
    </w:rPr>
  </w:style>
  <w:style w:type="character" w:customStyle="1" w:styleId="1Char">
    <w:name w:val="标题 1 Char"/>
    <w:basedOn w:val="a0"/>
    <w:link w:val="1"/>
    <w:qFormat/>
    <w:rsid w:val="00B615E3"/>
    <w:rPr>
      <w:rFonts w:ascii="Times New Roman" w:eastAsia="宋体" w:hAnsi="Times New Roman" w:cs="Times New Roman"/>
      <w:b/>
      <w:bCs/>
      <w:kern w:val="44"/>
      <w:sz w:val="44"/>
      <w:szCs w:val="44"/>
    </w:rPr>
  </w:style>
  <w:style w:type="character" w:customStyle="1" w:styleId="2Char">
    <w:name w:val="标题 2 Char"/>
    <w:basedOn w:val="a0"/>
    <w:link w:val="2"/>
    <w:qFormat/>
    <w:rsid w:val="00B615E3"/>
    <w:rPr>
      <w:rFonts w:ascii="Arial" w:eastAsia="黑体" w:hAnsi="Arial" w:cs="Times New Roman"/>
      <w:b/>
      <w:bCs/>
      <w:sz w:val="32"/>
      <w:szCs w:val="32"/>
    </w:rPr>
  </w:style>
  <w:style w:type="character" w:customStyle="1" w:styleId="Char3">
    <w:name w:val="脚注文本 Char"/>
    <w:basedOn w:val="a0"/>
    <w:link w:val="a7"/>
    <w:qFormat/>
    <w:rsid w:val="00B615E3"/>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B615E3"/>
    <w:rPr>
      <w:rFonts w:ascii="宋体" w:eastAsia="宋体" w:hAnsi="Times New Roman" w:cs="Times New Roman"/>
      <w:sz w:val="18"/>
      <w:szCs w:val="18"/>
    </w:rPr>
  </w:style>
  <w:style w:type="character" w:customStyle="1" w:styleId="Char2">
    <w:name w:val="页眉 Char"/>
    <w:basedOn w:val="a0"/>
    <w:link w:val="a6"/>
    <w:uiPriority w:val="99"/>
    <w:qFormat/>
    <w:rsid w:val="00B615E3"/>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B615E3"/>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B615E3"/>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4</DocSecurity>
  <Lines>6</Lines>
  <Paragraphs>1</Paragraphs>
  <ScaleCrop>false</ScaleCrop>
  <Company>微软中国</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2026-01-16T01:36:00Z</cp:lastPrinted>
  <dcterms:created xsi:type="dcterms:W3CDTF">2026-01-16T16:00:00Z</dcterms:created>
  <dcterms:modified xsi:type="dcterms:W3CDTF">2026-01-16T16:00:00Z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eyJoZGlkIjoiOGFkZTgyNTYwZGI4OTM0ZjVjNDFkOGExMmE5NWIyYjQiLCJ1c2VySWQiOiI5MTQzMDgxMDUifQ==</vt:lpwstr>
  </property>
  <property fmtid="{D5CDD505-2E9C-101B-9397-08002B2CF9AE}" pid="3" name="KSOProductBuildVer">
    <vt:lpwstr>2052-12.1.0.24031</vt:lpwstr>
  </property>
  <property fmtid="{D5CDD505-2E9C-101B-9397-08002B2CF9AE}" pid="4" name="ICV">
    <vt:lpwstr>3F7B463945884887981E7F1EAB1A3664_12</vt:lpwstr>
  </property>
</Properties>
</file>