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EA" w:rsidRPr="00FF6CE1" w:rsidRDefault="00224CEA" w:rsidP="004648E3">
      <w:pPr>
        <w:adjustRightInd w:val="0"/>
        <w:snapToGrid w:val="0"/>
        <w:spacing w:line="500" w:lineRule="exact"/>
        <w:jc w:val="center"/>
        <w:rPr>
          <w:rFonts w:ascii="黑体" w:eastAsia="黑体" w:hAnsi="黑体" w:cs="Times New Roman"/>
          <w:b/>
          <w:sz w:val="30"/>
          <w:szCs w:val="30"/>
        </w:rPr>
      </w:pPr>
      <w:bookmarkStart w:id="0" w:name="_GoBack"/>
      <w:bookmarkEnd w:id="0"/>
      <w:r w:rsidRPr="00FF6CE1">
        <w:rPr>
          <w:rFonts w:ascii="黑体" w:eastAsia="黑体" w:hAnsi="黑体" w:cs="Times New Roman" w:hint="eastAsia"/>
          <w:b/>
          <w:sz w:val="30"/>
          <w:szCs w:val="30"/>
        </w:rPr>
        <w:t>天弘基金管理有限公司关于旗下基金关联交易事项的公告</w:t>
      </w:r>
    </w:p>
    <w:p w:rsidR="00224CEA" w:rsidRPr="00FF6CE1" w:rsidRDefault="00224CEA" w:rsidP="00224CEA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</w:p>
    <w:p w:rsidR="00224CEA" w:rsidRPr="00FF6CE1" w:rsidRDefault="00224CEA" w:rsidP="00224CEA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  <w:r w:rsidRPr="00FF6CE1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根据《中华人民共和国证券投资基金法》、《公开募集证券投资基金运作管理办法》、《公开募集证券投资基金信息披露管理办法》等有关规定，在履行规定审批程序并经基金托管人同意后，天弘基金管理有限公司（以下简称“本公司”）旗下</w:t>
      </w:r>
      <w:bookmarkStart w:id="1" w:name="PO_flagFund"/>
      <w:r w:rsidR="001E2AC1">
        <w:rPr>
          <w:rFonts w:ascii="仿宋_GB2312" w:eastAsia="仿宋_GB2312" w:hAnsiTheme="minorEastAsia" w:hint="eastAsia"/>
          <w:kern w:val="0"/>
          <w:sz w:val="24"/>
          <w:szCs w:val="24"/>
        </w:rPr>
        <w:t>天弘中证新能源指数增强型证券投资基金</w:t>
      </w:r>
      <w:bookmarkEnd w:id="1"/>
      <w:r w:rsidRPr="00FF6CE1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参加了</w:t>
      </w:r>
      <w:bookmarkStart w:id="2" w:name="PO_addSubscriptionSituation"/>
      <w:r w:rsidR="001E2AC1">
        <w:rPr>
          <w:rFonts w:ascii="仿宋_GB2312" w:eastAsia="仿宋_GB2312" w:hAnsiTheme="minorEastAsia" w:hint="eastAsia"/>
          <w:kern w:val="0"/>
          <w:sz w:val="24"/>
          <w:szCs w:val="24"/>
        </w:rPr>
        <w:t>石家庄尚太科技股份有限公司可转换公司债券（债券简称“尚太转债”）的优先配售</w:t>
      </w:r>
      <w:bookmarkEnd w:id="2"/>
      <w:r w:rsidR="000E336C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，</w:t>
      </w:r>
      <w:bookmarkStart w:id="3" w:name="PO_addAgencyFundRelation"/>
      <w:r w:rsidR="001E2AC1">
        <w:rPr>
          <w:rFonts w:ascii="仿宋_GB2312" w:eastAsia="仿宋_GB2312" w:hAnsiTheme="minorEastAsia" w:hint="eastAsia"/>
          <w:kern w:val="0"/>
          <w:sz w:val="24"/>
          <w:szCs w:val="24"/>
        </w:rPr>
        <w:t>本次发行的主承销商国信证券股份有限公司为本基金的托管人</w:t>
      </w:r>
      <w:bookmarkEnd w:id="3"/>
      <w:r w:rsidR="009223C8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。</w:t>
      </w:r>
      <w:bookmarkStart w:id="4" w:name="PO_securitiesName"/>
      <w:r w:rsidR="001E2AC1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尚太转债</w:t>
      </w:r>
      <w:bookmarkEnd w:id="4"/>
      <w:r w:rsidR="00081CB4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发行价格为</w:t>
      </w:r>
      <w:bookmarkStart w:id="5" w:name="PO_unitPrice"/>
      <w:r w:rsidR="001E2AC1">
        <w:rPr>
          <w:rFonts w:ascii="仿宋_GB2312" w:eastAsia="仿宋_GB2312" w:hAnsiTheme="minorEastAsia" w:cs="Times New Roman"/>
          <w:kern w:val="0"/>
          <w:sz w:val="24"/>
          <w:szCs w:val="24"/>
        </w:rPr>
        <w:t>100.00</w:t>
      </w:r>
      <w:bookmarkEnd w:id="5"/>
      <w:r w:rsidR="004648E3">
        <w:rPr>
          <w:rFonts w:ascii="仿宋_GB2312" w:eastAsia="仿宋_GB2312" w:hAnsiTheme="minorEastAsia" w:hint="eastAsia"/>
          <w:kern w:val="0"/>
          <w:sz w:val="24"/>
          <w:szCs w:val="24"/>
        </w:rPr>
        <w:t>元/张</w:t>
      </w:r>
      <w:r w:rsidR="00081CB4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，</w:t>
      </w:r>
      <w:r w:rsidR="001E2AC1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按面值发行</w:t>
      </w:r>
      <w:r w:rsidRPr="00FF6CE1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。</w:t>
      </w:r>
    </w:p>
    <w:p w:rsidR="00224CEA" w:rsidRPr="00FF6CE1" w:rsidRDefault="00224CEA" w:rsidP="00224CEA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  <w:r w:rsidRPr="00FF6CE1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现将获配结果披露如下：</w:t>
      </w:r>
    </w:p>
    <w:tbl>
      <w:tblPr>
        <w:tblStyle w:val="a7"/>
        <w:tblW w:w="5000" w:type="pct"/>
        <w:jc w:val="center"/>
        <w:tblLook w:val="04A0"/>
      </w:tblPr>
      <w:tblGrid>
        <w:gridCol w:w="1013"/>
        <w:gridCol w:w="3496"/>
        <w:gridCol w:w="1309"/>
        <w:gridCol w:w="1294"/>
        <w:gridCol w:w="1410"/>
      </w:tblGrid>
      <w:tr w:rsidR="00CA2EE6" w:rsidRPr="00FF6CE1" w:rsidTr="00F53440">
        <w:trPr>
          <w:jc w:val="center"/>
        </w:trPr>
        <w:tc>
          <w:tcPr>
            <w:tcW w:w="595" w:type="pct"/>
            <w:vAlign w:val="center"/>
          </w:tcPr>
          <w:p w:rsidR="00CA2EE6" w:rsidRPr="00FF6CE1" w:rsidRDefault="00CA2EE6" w:rsidP="006E33C7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基金</w:t>
            </w:r>
            <w:r w:rsidR="00254409">
              <w:rPr>
                <w:rFonts w:ascii="仿宋_GB2312" w:eastAsia="仿宋_GB2312" w:hAnsiTheme="minorEastAsia" w:hint="eastAsia"/>
                <w:sz w:val="24"/>
                <w:szCs w:val="28"/>
              </w:rPr>
              <w:t>主</w:t>
            </w: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代码</w:t>
            </w:r>
          </w:p>
        </w:tc>
        <w:tc>
          <w:tcPr>
            <w:tcW w:w="2051" w:type="pct"/>
            <w:vAlign w:val="center"/>
          </w:tcPr>
          <w:p w:rsidR="00CA2EE6" w:rsidRPr="00FF6CE1" w:rsidRDefault="00CA2EE6" w:rsidP="006E33C7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bookmarkStart w:id="6" w:name="PO_relatedTradeBondTable"/>
            <w:r w:rsidRPr="00FF6CE1">
              <w:rPr>
                <w:rFonts w:ascii="仿宋_GB2312" w:eastAsia="仿宋_GB2312" w:hAnsiTheme="minorEastAsia" w:cs="Times New Roman" w:hint="eastAsia"/>
                <w:sz w:val="24"/>
                <w:szCs w:val="28"/>
              </w:rPr>
              <w:t>基金名称</w:t>
            </w:r>
          </w:p>
        </w:tc>
        <w:tc>
          <w:tcPr>
            <w:tcW w:w="768" w:type="pct"/>
            <w:vAlign w:val="center"/>
          </w:tcPr>
          <w:p w:rsidR="00CA2EE6" w:rsidRPr="00FF6CE1" w:rsidRDefault="00CA2EE6" w:rsidP="006E33C7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 w:rsidRPr="00FF6CE1">
              <w:rPr>
                <w:rFonts w:ascii="仿宋_GB2312" w:eastAsia="仿宋_GB2312" w:hAnsiTheme="minorEastAsia" w:cs="Times New Roman" w:hint="eastAsia"/>
                <w:sz w:val="24"/>
                <w:szCs w:val="28"/>
              </w:rPr>
              <w:t>获配证券名称</w:t>
            </w:r>
          </w:p>
        </w:tc>
        <w:tc>
          <w:tcPr>
            <w:tcW w:w="759" w:type="pct"/>
            <w:vAlign w:val="center"/>
          </w:tcPr>
          <w:p w:rsidR="00CA2EE6" w:rsidRPr="00FF6CE1" w:rsidRDefault="00CA2EE6" w:rsidP="006E33C7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 w:rsidRPr="00FF6CE1">
              <w:rPr>
                <w:rFonts w:ascii="仿宋_GB2312" w:eastAsia="仿宋_GB2312" w:hAnsiTheme="minorEastAsia" w:cs="Times New Roman" w:hint="eastAsia"/>
                <w:sz w:val="24"/>
                <w:szCs w:val="28"/>
              </w:rPr>
              <w:t>获配数量（张）</w:t>
            </w:r>
          </w:p>
        </w:tc>
        <w:tc>
          <w:tcPr>
            <w:tcW w:w="827" w:type="pct"/>
            <w:vAlign w:val="center"/>
          </w:tcPr>
          <w:p w:rsidR="00CA2EE6" w:rsidRPr="00FF6CE1" w:rsidDel="00014F9B" w:rsidRDefault="00CA2EE6" w:rsidP="006E33C7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 w:rsidRPr="00FF6CE1">
              <w:rPr>
                <w:rFonts w:ascii="仿宋_GB2312" w:eastAsia="仿宋_GB2312" w:hAnsiTheme="minorEastAsia" w:cs="Times New Roman" w:hint="eastAsia"/>
                <w:sz w:val="24"/>
                <w:szCs w:val="28"/>
              </w:rPr>
              <w:t>获配金额</w:t>
            </w:r>
            <w:r w:rsidRPr="00FF6CE1">
              <w:rPr>
                <w:rFonts w:ascii="仿宋_GB2312" w:eastAsia="仿宋_GB2312" w:hAnsiTheme="minorEastAsia" w:cs="Times New Roman"/>
                <w:sz w:val="24"/>
                <w:szCs w:val="28"/>
              </w:rPr>
              <w:t>(</w:t>
            </w:r>
            <w:r w:rsidRPr="00FF6CE1">
              <w:rPr>
                <w:rFonts w:ascii="仿宋_GB2312" w:eastAsia="仿宋_GB2312" w:hAnsiTheme="minorEastAsia" w:cs="Times New Roman" w:hint="eastAsia"/>
                <w:sz w:val="24"/>
                <w:szCs w:val="28"/>
              </w:rPr>
              <w:t>元</w:t>
            </w:r>
            <w:r w:rsidRPr="00FF6CE1">
              <w:rPr>
                <w:rFonts w:ascii="仿宋_GB2312" w:eastAsia="仿宋_GB2312" w:hAnsiTheme="minorEastAsia" w:cs="Times New Roman"/>
                <w:sz w:val="24"/>
                <w:szCs w:val="28"/>
              </w:rPr>
              <w:t>)</w:t>
            </w:r>
          </w:p>
        </w:tc>
      </w:tr>
      <w:tr w:rsidR="00CA2EE6" w:rsidRPr="00FF6CE1" w:rsidTr="00F53440">
        <w:trPr>
          <w:jc w:val="center"/>
        </w:trPr>
        <w:tc>
          <w:tcPr>
            <w:tcW w:w="595" w:type="pct"/>
            <w:vAlign w:val="center"/>
          </w:tcPr>
          <w:p w:rsidR="00CA2EE6" w:rsidRPr="00FF6CE1" w:rsidRDefault="001E2AC1" w:rsidP="006E33C7">
            <w:pPr>
              <w:jc w:val="left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>
              <w:rPr>
                <w:rFonts w:ascii="仿宋_GB2312" w:eastAsia="仿宋_GB2312" w:hAnsiTheme="minorEastAsia" w:cs="Times New Roman"/>
                <w:sz w:val="24"/>
                <w:szCs w:val="28"/>
              </w:rPr>
              <w:t>012328</w:t>
            </w:r>
          </w:p>
        </w:tc>
        <w:tc>
          <w:tcPr>
            <w:tcW w:w="2051" w:type="pct"/>
            <w:vAlign w:val="center"/>
          </w:tcPr>
          <w:p w:rsidR="00CA2EE6" w:rsidRPr="00FF6CE1" w:rsidRDefault="001E2AC1" w:rsidP="006E33C7">
            <w:pPr>
              <w:jc w:val="left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4"/>
                <w:szCs w:val="28"/>
              </w:rPr>
              <w:t>天弘中证新能源指数增强型证券投资基金</w:t>
            </w:r>
          </w:p>
        </w:tc>
        <w:tc>
          <w:tcPr>
            <w:tcW w:w="768" w:type="pct"/>
            <w:vAlign w:val="center"/>
          </w:tcPr>
          <w:p w:rsidR="00CA2EE6" w:rsidRPr="00FF6CE1" w:rsidRDefault="001E2AC1" w:rsidP="006E33C7">
            <w:pPr>
              <w:jc w:val="left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4"/>
                <w:szCs w:val="28"/>
              </w:rPr>
              <w:t>尚太转债</w:t>
            </w:r>
          </w:p>
        </w:tc>
        <w:tc>
          <w:tcPr>
            <w:tcW w:w="759" w:type="pct"/>
            <w:vAlign w:val="center"/>
          </w:tcPr>
          <w:p w:rsidR="00CA2EE6" w:rsidRPr="00FF6CE1" w:rsidRDefault="001E2AC1" w:rsidP="006E33C7">
            <w:pPr>
              <w:jc w:val="left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>
              <w:rPr>
                <w:rFonts w:ascii="仿宋_GB2312" w:eastAsia="仿宋_GB2312" w:hAnsiTheme="minorEastAsia" w:cs="Times New Roman"/>
                <w:sz w:val="24"/>
                <w:szCs w:val="28"/>
              </w:rPr>
              <w:t>67</w:t>
            </w:r>
          </w:p>
        </w:tc>
        <w:tc>
          <w:tcPr>
            <w:tcW w:w="827" w:type="pct"/>
            <w:vAlign w:val="center"/>
          </w:tcPr>
          <w:p w:rsidR="00CA2EE6" w:rsidRPr="00FF6CE1" w:rsidDel="00014F9B" w:rsidRDefault="001E2AC1" w:rsidP="006E33C7">
            <w:pPr>
              <w:jc w:val="left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>
              <w:rPr>
                <w:rFonts w:ascii="仿宋_GB2312" w:eastAsia="仿宋_GB2312" w:hAnsiTheme="minorEastAsia" w:cs="Times New Roman"/>
                <w:sz w:val="24"/>
                <w:szCs w:val="28"/>
              </w:rPr>
              <w:t>6700.00</w:t>
            </w:r>
          </w:p>
        </w:tc>
      </w:tr>
    </w:tbl>
    <w:bookmarkEnd w:id="6"/>
    <w:p w:rsidR="00224CEA" w:rsidRPr="00FF6CE1" w:rsidRDefault="00224CEA" w:rsidP="00224CEA">
      <w:pPr>
        <w:spacing w:line="360" w:lineRule="auto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  <w:r w:rsidRPr="00FF6CE1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投资者可登录我公司官方网站（</w:t>
      </w:r>
      <w:r w:rsidRPr="00FF6CE1">
        <w:rPr>
          <w:rFonts w:ascii="仿宋_GB2312" w:eastAsia="仿宋_GB2312" w:hAnsiTheme="minorEastAsia" w:cs="Times New Roman"/>
          <w:kern w:val="0"/>
          <w:sz w:val="24"/>
          <w:szCs w:val="24"/>
        </w:rPr>
        <w:t>www.thfund.com.cn</w:t>
      </w:r>
      <w:r w:rsidRPr="00FF6CE1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）或拨打我公司客户服务热线（</w:t>
      </w:r>
      <w:r w:rsidR="0097071C" w:rsidRPr="0097071C">
        <w:rPr>
          <w:rFonts w:ascii="仿宋_GB2312" w:eastAsia="仿宋_GB2312" w:hAnsiTheme="minorEastAsia" w:cs="Times New Roman"/>
          <w:kern w:val="0"/>
          <w:sz w:val="24"/>
          <w:szCs w:val="24"/>
        </w:rPr>
        <w:t>400-986-8888</w:t>
      </w:r>
      <w:r w:rsidRPr="00FF6CE1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）了解本基金的相关事宜。</w:t>
      </w:r>
    </w:p>
    <w:p w:rsidR="00224CEA" w:rsidRPr="00FF6CE1" w:rsidRDefault="00224CEA" w:rsidP="00224CEA">
      <w:pPr>
        <w:spacing w:line="360" w:lineRule="auto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</w:p>
    <w:p w:rsidR="00224CEA" w:rsidRPr="00FF6CE1" w:rsidRDefault="00224CEA" w:rsidP="00224CEA">
      <w:pPr>
        <w:spacing w:line="360" w:lineRule="auto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  <w:r w:rsidRPr="00FF6CE1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风险提示</w:t>
      </w:r>
    </w:p>
    <w:p w:rsidR="00224CEA" w:rsidRPr="00FF6CE1" w:rsidRDefault="00224CEA" w:rsidP="00224CEA">
      <w:pPr>
        <w:spacing w:line="360" w:lineRule="auto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  <w:r w:rsidRPr="00FF6CE1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基金管理人承诺以诚实信用、勤勉尽责的原则管理和运用基金资产，但不保证基金一定盈利，也不保证最低收益。投资者投资于本基金时应认真阅读本基金的《基金合同》和《招募说明书》等相关法律文件。</w:t>
      </w:r>
    </w:p>
    <w:p w:rsidR="00224CEA" w:rsidRPr="00FF6CE1" w:rsidRDefault="00224CEA" w:rsidP="00224CEA">
      <w:pPr>
        <w:spacing w:line="360" w:lineRule="auto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</w:p>
    <w:p w:rsidR="00224CEA" w:rsidRPr="00FF6CE1" w:rsidRDefault="00224CEA" w:rsidP="00224CEA">
      <w:pPr>
        <w:spacing w:line="360" w:lineRule="auto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  <w:r w:rsidRPr="00FF6CE1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特此公告。</w:t>
      </w:r>
    </w:p>
    <w:p w:rsidR="00224CEA" w:rsidRPr="00FF6CE1" w:rsidRDefault="00224CEA" w:rsidP="00224CEA">
      <w:pPr>
        <w:ind w:left="420"/>
        <w:rPr>
          <w:rFonts w:ascii="仿宋_GB2312" w:eastAsia="仿宋_GB2312" w:hAnsiTheme="minorEastAsia" w:cs="Times New Roman"/>
          <w:kern w:val="0"/>
          <w:sz w:val="24"/>
          <w:szCs w:val="24"/>
        </w:rPr>
      </w:pPr>
    </w:p>
    <w:p w:rsidR="00224CEA" w:rsidRPr="00FF6CE1" w:rsidRDefault="00224CEA" w:rsidP="00224CEA">
      <w:pPr>
        <w:ind w:left="420"/>
        <w:rPr>
          <w:rFonts w:ascii="仿宋_GB2312" w:eastAsia="仿宋_GB2312" w:hAnsiTheme="minorEastAsia" w:cs="Times New Roman"/>
          <w:kern w:val="0"/>
          <w:sz w:val="24"/>
          <w:szCs w:val="24"/>
        </w:rPr>
      </w:pPr>
    </w:p>
    <w:p w:rsidR="00224CEA" w:rsidRPr="00FF6CE1" w:rsidRDefault="00224CEA" w:rsidP="00224CEA">
      <w:pPr>
        <w:spacing w:line="500" w:lineRule="exact"/>
        <w:jc w:val="right"/>
        <w:rPr>
          <w:rFonts w:ascii="仿宋_GB2312" w:eastAsia="仿宋_GB2312" w:cs="Times New Roman"/>
          <w:sz w:val="24"/>
          <w:szCs w:val="24"/>
        </w:rPr>
      </w:pPr>
      <w:r w:rsidRPr="00FF6CE1">
        <w:rPr>
          <w:rFonts w:ascii="仿宋_GB2312" w:eastAsia="仿宋_GB2312" w:cs="Times New Roman"/>
          <w:sz w:val="24"/>
          <w:szCs w:val="24"/>
        </w:rPr>
        <w:t xml:space="preserve">  </w:t>
      </w:r>
      <w:r w:rsidRPr="00FF6CE1">
        <w:rPr>
          <w:rFonts w:ascii="仿宋_GB2312" w:eastAsia="仿宋_GB2312" w:cs="Times New Roman" w:hint="eastAsia"/>
          <w:sz w:val="24"/>
          <w:szCs w:val="24"/>
        </w:rPr>
        <w:t>天弘基金管理有限公司</w:t>
      </w:r>
    </w:p>
    <w:p w:rsidR="003E055C" w:rsidRPr="004648E3" w:rsidRDefault="001E2AC1" w:rsidP="004648E3">
      <w:pPr>
        <w:wordWrap w:val="0"/>
        <w:spacing w:line="500" w:lineRule="exact"/>
        <w:jc w:val="right"/>
        <w:rPr>
          <w:rFonts w:ascii="仿宋_GB2312" w:eastAsia="仿宋_GB2312" w:cs="Times New Roman"/>
          <w:sz w:val="24"/>
          <w:szCs w:val="24"/>
        </w:rPr>
      </w:pPr>
      <w:bookmarkStart w:id="7" w:name="PO_disclosureDate"/>
      <w:r>
        <w:rPr>
          <w:rFonts w:ascii="仿宋_GB2312" w:eastAsia="仿宋_GB2312" w:cs="Times New Roman" w:hint="eastAsia"/>
          <w:sz w:val="24"/>
          <w:szCs w:val="24"/>
        </w:rPr>
        <w:t>二〇二六年一月十七日</w:t>
      </w:r>
      <w:bookmarkEnd w:id="7"/>
    </w:p>
    <w:sectPr w:rsidR="003E055C" w:rsidRPr="004648E3" w:rsidSect="00F85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945" w:rsidRDefault="00166945" w:rsidP="00E2582B">
      <w:r>
        <w:separator/>
      </w:r>
    </w:p>
  </w:endnote>
  <w:endnote w:type="continuationSeparator" w:id="0">
    <w:p w:rsidR="00166945" w:rsidRDefault="00166945" w:rsidP="00E25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945" w:rsidRDefault="00166945" w:rsidP="00E2582B">
      <w:r>
        <w:separator/>
      </w:r>
    </w:p>
  </w:footnote>
  <w:footnote w:type="continuationSeparator" w:id="0">
    <w:p w:rsidR="00166945" w:rsidRDefault="00166945" w:rsidP="00E258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F537C"/>
    <w:multiLevelType w:val="hybridMultilevel"/>
    <w:tmpl w:val="65B89A5E"/>
    <w:lvl w:ilvl="0" w:tplc="CD24889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C6D"/>
    <w:rsid w:val="00081CB4"/>
    <w:rsid w:val="00082F6D"/>
    <w:rsid w:val="000C7F18"/>
    <w:rsid w:val="000E336C"/>
    <w:rsid w:val="00105775"/>
    <w:rsid w:val="00140168"/>
    <w:rsid w:val="00166945"/>
    <w:rsid w:val="00177566"/>
    <w:rsid w:val="001B5A7D"/>
    <w:rsid w:val="001E2AC1"/>
    <w:rsid w:val="00224CEA"/>
    <w:rsid w:val="00254409"/>
    <w:rsid w:val="00392CEA"/>
    <w:rsid w:val="003D1CC9"/>
    <w:rsid w:val="00431DD6"/>
    <w:rsid w:val="00434F7A"/>
    <w:rsid w:val="00450ED0"/>
    <w:rsid w:val="004648E3"/>
    <w:rsid w:val="004710B9"/>
    <w:rsid w:val="004914BC"/>
    <w:rsid w:val="004B4ACF"/>
    <w:rsid w:val="004E783C"/>
    <w:rsid w:val="005E7030"/>
    <w:rsid w:val="005F773C"/>
    <w:rsid w:val="006E33C7"/>
    <w:rsid w:val="007F005C"/>
    <w:rsid w:val="007F1E01"/>
    <w:rsid w:val="008269E9"/>
    <w:rsid w:val="00906CC1"/>
    <w:rsid w:val="00915C6D"/>
    <w:rsid w:val="009223C8"/>
    <w:rsid w:val="0097071C"/>
    <w:rsid w:val="009A0ABF"/>
    <w:rsid w:val="00A92D37"/>
    <w:rsid w:val="00AE2159"/>
    <w:rsid w:val="00B22303"/>
    <w:rsid w:val="00B73793"/>
    <w:rsid w:val="00BA182F"/>
    <w:rsid w:val="00BB6E05"/>
    <w:rsid w:val="00C23D77"/>
    <w:rsid w:val="00C32432"/>
    <w:rsid w:val="00C53299"/>
    <w:rsid w:val="00CA2EE6"/>
    <w:rsid w:val="00D0261B"/>
    <w:rsid w:val="00D13650"/>
    <w:rsid w:val="00D40487"/>
    <w:rsid w:val="00D811F5"/>
    <w:rsid w:val="00D83A68"/>
    <w:rsid w:val="00DA605E"/>
    <w:rsid w:val="00E15582"/>
    <w:rsid w:val="00E2582B"/>
    <w:rsid w:val="00F27BBD"/>
    <w:rsid w:val="00F53440"/>
    <w:rsid w:val="00F85185"/>
    <w:rsid w:val="00FC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8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82B"/>
    <w:rPr>
      <w:sz w:val="18"/>
      <w:szCs w:val="18"/>
    </w:rPr>
  </w:style>
  <w:style w:type="paragraph" w:styleId="a5">
    <w:name w:val="List Paragraph"/>
    <w:basedOn w:val="a"/>
    <w:uiPriority w:val="34"/>
    <w:qFormat/>
    <w:rsid w:val="00E2582B"/>
    <w:pPr>
      <w:ind w:firstLineChars="200" w:firstLine="420"/>
    </w:pPr>
  </w:style>
  <w:style w:type="paragraph" w:styleId="a6">
    <w:name w:val="No Spacing"/>
    <w:uiPriority w:val="1"/>
    <w:qFormat/>
    <w:rsid w:val="00E2582B"/>
    <w:pPr>
      <w:widowControl w:val="0"/>
      <w:jc w:val="both"/>
    </w:pPr>
  </w:style>
  <w:style w:type="table" w:styleId="a7">
    <w:name w:val="Table Grid"/>
    <w:basedOn w:val="a1"/>
    <w:uiPriority w:val="39"/>
    <w:rsid w:val="00E25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E2582B"/>
    <w:rPr>
      <w:sz w:val="21"/>
      <w:szCs w:val="21"/>
    </w:rPr>
  </w:style>
  <w:style w:type="paragraph" w:styleId="a9">
    <w:name w:val="annotation text"/>
    <w:basedOn w:val="a"/>
    <w:link w:val="Char1"/>
    <w:uiPriority w:val="99"/>
    <w:unhideWhenUsed/>
    <w:rsid w:val="00E2582B"/>
    <w:pPr>
      <w:jc w:val="left"/>
    </w:pPr>
  </w:style>
  <w:style w:type="character" w:customStyle="1" w:styleId="Char1">
    <w:name w:val="批注文字 Char"/>
    <w:basedOn w:val="a0"/>
    <w:link w:val="a9"/>
    <w:uiPriority w:val="99"/>
    <w:rsid w:val="00E2582B"/>
  </w:style>
  <w:style w:type="paragraph" w:styleId="aa">
    <w:name w:val="Balloon Text"/>
    <w:basedOn w:val="a"/>
    <w:link w:val="Char2"/>
    <w:uiPriority w:val="99"/>
    <w:semiHidden/>
    <w:unhideWhenUsed/>
    <w:rsid w:val="00E2582B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258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15ADE-6F2A-4A48-8088-D2CAB884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4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兰静阳</dc:creator>
  <cp:keywords/>
  <dc:description/>
  <cp:lastModifiedBy>ZHONGM</cp:lastModifiedBy>
  <cp:revision>2</cp:revision>
  <dcterms:created xsi:type="dcterms:W3CDTF">2026-01-16T16:01:00Z</dcterms:created>
  <dcterms:modified xsi:type="dcterms:W3CDTF">2026-01-16T16:01:00Z</dcterms:modified>
</cp:coreProperties>
</file>