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EB" w:rsidRDefault="008316A6" w:rsidP="008316A6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>
        <w:rPr>
          <w:rFonts w:ascii="黑体" w:eastAsia="黑体" w:hAnsi="宋体" w:hint="eastAsia"/>
          <w:b/>
          <w:sz w:val="30"/>
          <w:szCs w:val="30"/>
        </w:rPr>
        <w:t>兴证全球基金管理有限公司关于旗下部分基金</w:t>
      </w:r>
    </w:p>
    <w:p w:rsidR="005612EB" w:rsidRDefault="008316A6" w:rsidP="008316A6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耀皮玻璃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600819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5612EB" w:rsidRDefault="008316A6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兴全多维价值混合型证券投资基金、兴全合泰混合型证券投资基金、兴全合衡三年持有期混合型证券投资基金、兴全红利混合型证券投资基金、兴全趋势投资混合型证券投资基金（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）、兴全安泰平衡养老目标三年持有期混合型基金中基金</w:t>
      </w:r>
      <w:r>
        <w:rPr>
          <w:rFonts w:ascii="Times New Roman" w:eastAsia="楷体_GB2312" w:cs="Times New Roman"/>
          <w:color w:val="auto"/>
          <w:kern w:val="2"/>
        </w:rPr>
        <w:t>(FOF)</w:t>
      </w:r>
      <w:r>
        <w:rPr>
          <w:rFonts w:ascii="Times New Roman" w:eastAsia="楷体_GB2312" w:cs="Times New Roman"/>
          <w:color w:val="auto"/>
          <w:kern w:val="2"/>
        </w:rPr>
        <w:t>、兴全优选进取三个月持有期混合型基金中基金（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）、兴全安泰积极养老目标五年持有期混合型发起式基金中基金（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）、兴全优选平衡三个月持有期混合型基金中基金（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</w:t>
      </w:r>
      <w:r>
        <w:rPr>
          <w:rFonts w:ascii="Times New Roman" w:eastAsia="楷体_GB2312" w:cs="Times New Roman"/>
          <w:color w:val="auto"/>
          <w:kern w:val="2"/>
        </w:rPr>
        <w:t>全安悦平衡养老目标三年持有期混合型基金中基金（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）、兴全优选积极三个月持有期混合型基金中基金（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）、兴全盈鑫多元配置三个月持有期混合型基金中基金（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）、兴全盈丰多元配置三个月持有期混合型基金中基金（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ETF-FOF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耀皮玻璃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600819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</w:t>
      </w:r>
      <w:bookmarkStart w:id="0" w:name="_GoBack"/>
      <w:bookmarkEnd w:id="0"/>
      <w:r>
        <w:rPr>
          <w:rFonts w:ascii="Times New Roman" w:eastAsia="楷体_GB2312" w:cs="Times New Roman" w:hint="eastAsia"/>
          <w:color w:val="auto"/>
          <w:kern w:val="2"/>
        </w:rPr>
        <w:t>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5612EB" w:rsidRDefault="008316A6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7.17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</w:t>
      </w:r>
      <w:r>
        <w:rPr>
          <w:rFonts w:eastAsia="楷体_GB2312"/>
          <w:sz w:val="24"/>
        </w:rPr>
        <w:t>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14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耀皮玻璃</w:t>
      </w:r>
      <w:r>
        <w:rPr>
          <w:rFonts w:eastAsia="楷体_GB2312"/>
          <w:sz w:val="24"/>
        </w:rPr>
        <w:t>:2025</w:t>
      </w:r>
      <w:r>
        <w:rPr>
          <w:rFonts w:eastAsia="楷体_GB2312"/>
          <w:sz w:val="24"/>
        </w:rPr>
        <w:t>年度向特定对象发行</w:t>
      </w:r>
      <w:r>
        <w:rPr>
          <w:rFonts w:eastAsia="楷体_GB2312"/>
          <w:sz w:val="24"/>
        </w:rPr>
        <w:t>A</w:t>
      </w:r>
      <w:r>
        <w:rPr>
          <w:rFonts w:eastAsia="楷体_GB2312"/>
          <w:sz w:val="24"/>
        </w:rPr>
        <w:t>股股票之上市公告书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14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5612EB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5612EB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5612EB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5612EB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2026-01-14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2026-01-14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5612E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兴全多维价值混合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139.47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9,999,999.00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10,794,978.00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0.19</w:t>
            </w:r>
          </w:p>
        </w:tc>
      </w:tr>
      <w:tr w:rsidR="005612E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兴全合泰混合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139.47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9,999,999.00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10,794,978.00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0.22</w:t>
            </w:r>
          </w:p>
        </w:tc>
      </w:tr>
      <w:tr w:rsidR="005612E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兴全合衡三年持有混合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139.47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9,999,999.00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10,794,978.00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0.33</w:t>
            </w:r>
          </w:p>
        </w:tc>
      </w:tr>
      <w:tr w:rsidR="005612E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8.3682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599,999.94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647,698.68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</w:tr>
      <w:tr w:rsidR="005612E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兴全趋势混合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418.41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29,999,997.00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32,384,934.00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0.23</w:t>
            </w:r>
          </w:p>
        </w:tc>
      </w:tr>
    </w:tbl>
    <w:p w:rsidR="005612EB" w:rsidRDefault="005612EB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5612EB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5612EB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5612EB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5612EB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2026-01-12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2026-01-12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20.9205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1,499,999.85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1,619,246.70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0.17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兴全优选进取三个月持有混合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34.8675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2,499,999.75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2,698,744.50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9.7629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699,999.93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755,648.46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0.10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兴全安泰积极养老五年持有混合发起式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55.788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3,999,999.60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4,317,991.20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0.20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6.9735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499,999.95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539,748.90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0.06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兴全优选平衡三个月持有混合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34.8675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2,499,999.75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2,698,744.50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0.17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6.9735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499,999.95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539,748.90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0.22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兴全优选积极三个月持有混合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6.9735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499,999.95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539,748.90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0.17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兴全盈鑫多元配置三个月持有混合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41.841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2,999,999.70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3,238,493.40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</w:tr>
      <w:tr w:rsidR="005612EB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兴全盈丰多元配置三个月持有混合（</w:t>
            </w:r>
            <w:r>
              <w:rPr>
                <w:rFonts w:eastAsia="楷体_GB2312"/>
                <w:sz w:val="18"/>
              </w:rPr>
              <w:t>ETF-FOF</w:t>
            </w:r>
            <w:r>
              <w:rPr>
                <w:rFonts w:eastAsia="楷体_GB2312"/>
                <w:sz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6.9735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499,999.95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539,748.90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EB" w:rsidRDefault="008316A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0.14</w:t>
            </w:r>
          </w:p>
        </w:tc>
      </w:tr>
    </w:tbl>
    <w:p w:rsidR="005612EB" w:rsidRDefault="005612EB">
      <w:pPr>
        <w:spacing w:line="360" w:lineRule="auto"/>
        <w:rPr>
          <w:rFonts w:eastAsia="楷体_GB2312"/>
          <w:szCs w:val="21"/>
        </w:rPr>
      </w:pPr>
    </w:p>
    <w:p w:rsidR="005612EB" w:rsidRDefault="008316A6">
      <w:pPr>
        <w:spacing w:line="360" w:lineRule="auto"/>
        <w:rPr>
          <w:rFonts w:eastAsia="楷体_GB2312"/>
          <w:sz w:val="24"/>
          <w:highlight w:val="yellow"/>
        </w:rPr>
      </w:pPr>
      <w:r>
        <w:rPr>
          <w:rFonts w:eastAsia="楷体_GB2312" w:hint="eastAsia"/>
          <w:sz w:val="24"/>
        </w:rPr>
        <w:t>注：按照基金合同约定，</w:t>
      </w:r>
      <w:r>
        <w:rPr>
          <w:rFonts w:eastAsia="楷体_GB2312" w:hint="eastAsia"/>
          <w:sz w:val="24"/>
        </w:rPr>
        <w:t>兴全安泰平衡养老三年持有混合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、兴全优选进取三个月持有混合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、兴全安泰积极养老五年持有混合发起式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、兴全优选平衡三个月持有混合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、兴全优选积极三个月持有混合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、兴全盈鑫多元配置三个月持有混合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、兴全盈丰多元配置三个月持有混合（</w:t>
      </w:r>
      <w:r>
        <w:rPr>
          <w:rFonts w:eastAsia="楷体_GB2312" w:hint="eastAsia"/>
          <w:sz w:val="24"/>
        </w:rPr>
        <w:t>ETF-FOF</w:t>
      </w:r>
      <w:r>
        <w:rPr>
          <w:rFonts w:eastAsia="楷体_GB2312" w:hint="eastAsia"/>
          <w:sz w:val="24"/>
        </w:rPr>
        <w:t>）于每个开放日后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个工作日内披露份额净值，故本公告中“占基金资产净值比例”按</w:t>
      </w:r>
      <w:r>
        <w:rPr>
          <w:rFonts w:eastAsia="楷体_GB2312" w:hint="eastAsia"/>
          <w:sz w:val="24"/>
        </w:rPr>
        <w:t>2026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12</w:t>
      </w:r>
      <w:r>
        <w:rPr>
          <w:rFonts w:eastAsia="楷体_GB2312" w:hint="eastAsia"/>
          <w:sz w:val="24"/>
        </w:rPr>
        <w:t>日资产净值计算</w:t>
      </w:r>
      <w:r>
        <w:rPr>
          <w:rFonts w:eastAsia="楷体_GB2312" w:hint="eastAsia"/>
          <w:sz w:val="24"/>
        </w:rPr>
        <w:t>。</w:t>
      </w:r>
    </w:p>
    <w:p w:rsidR="005612EB" w:rsidRDefault="005612EB">
      <w:pPr>
        <w:spacing w:line="360" w:lineRule="auto"/>
        <w:rPr>
          <w:rFonts w:eastAsia="楷体_GB2312"/>
          <w:szCs w:val="21"/>
        </w:rPr>
      </w:pPr>
    </w:p>
    <w:p w:rsidR="005612EB" w:rsidRDefault="008316A6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</w:t>
      </w:r>
      <w:r>
        <w:rPr>
          <w:rFonts w:eastAsia="楷体_GB2312" w:hint="eastAsia"/>
          <w:sz w:val="24"/>
        </w:rPr>
        <w:lastRenderedPageBreak/>
        <w:t>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5612EB" w:rsidRDefault="008316A6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5612EB" w:rsidRDefault="005612EB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5612EB" w:rsidRDefault="008316A6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5612EB" w:rsidRDefault="008316A6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1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16</w:t>
      </w:r>
      <w:r>
        <w:rPr>
          <w:rFonts w:eastAsia="楷体_GB2312"/>
          <w:i/>
          <w:sz w:val="24"/>
        </w:rPr>
        <w:t>日</w:t>
      </w:r>
    </w:p>
    <w:sectPr w:rsidR="005612EB" w:rsidSect="005612EB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EB" w:rsidRDefault="005612EB" w:rsidP="005612EB">
      <w:r>
        <w:separator/>
      </w:r>
    </w:p>
  </w:endnote>
  <w:endnote w:type="continuationSeparator" w:id="0">
    <w:p w:rsidR="005612EB" w:rsidRDefault="005612EB" w:rsidP="0056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EB" w:rsidRDefault="005612EB" w:rsidP="005612EB">
      <w:r>
        <w:separator/>
      </w:r>
    </w:p>
  </w:footnote>
  <w:footnote w:type="continuationSeparator" w:id="0">
    <w:p w:rsidR="005612EB" w:rsidRDefault="005612EB" w:rsidP="00561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2EB" w:rsidRDefault="005612E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2EB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16A6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E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5612E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612EB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5612E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61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6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612EB"/>
    <w:rPr>
      <w:b/>
      <w:bCs/>
    </w:rPr>
  </w:style>
  <w:style w:type="character" w:styleId="a8">
    <w:name w:val="Hyperlink"/>
    <w:basedOn w:val="a0"/>
    <w:uiPriority w:val="99"/>
    <w:unhideWhenUsed/>
    <w:qFormat/>
    <w:rsid w:val="005612E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612E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5612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612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612EB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5612EB"/>
    <w:rPr>
      <w:kern w:val="2"/>
      <w:sz w:val="21"/>
      <w:szCs w:val="24"/>
    </w:rPr>
  </w:style>
  <w:style w:type="paragraph" w:customStyle="1" w:styleId="Default">
    <w:name w:val="Default"/>
    <w:qFormat/>
    <w:rsid w:val="005612E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5612EB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612EB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5612EB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F56CB3B-E78C-4D5F-972B-60B4C791B597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1819</Characters>
  <Application>Microsoft Office Word</Application>
  <DocSecurity>4</DocSecurity>
  <Lines>15</Lines>
  <Paragraphs>4</Paragraphs>
  <ScaleCrop>false</ScaleCrop>
  <Company>xyjj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2026-01-15T16:01:00Z</dcterms:created>
  <dcterms:modified xsi:type="dcterms:W3CDTF">2026-01-15T16:01:00Z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