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F5A" w:rsidRDefault="00EF0B74" w:rsidP="0064720C">
      <w:pPr>
        <w:widowControl/>
        <w:shd w:val="clear" w:color="auto" w:fill="FFFFFF"/>
        <w:adjustRightInd w:val="0"/>
        <w:snapToGrid w:val="0"/>
        <w:jc w:val="center"/>
        <w:outlineLvl w:val="1"/>
        <w:rPr>
          <w:rFonts w:ascii="黑体" w:eastAsia="黑体" w:hAnsi="黑体" w:cs="Arial"/>
          <w:b/>
          <w:kern w:val="0"/>
          <w:sz w:val="32"/>
          <w:szCs w:val="32"/>
        </w:rPr>
      </w:pPr>
      <w:r w:rsidRPr="00EF0B74">
        <w:rPr>
          <w:rFonts w:ascii="黑体" w:eastAsia="黑体" w:hAnsi="黑体" w:cs="Arial" w:hint="eastAsia"/>
          <w:b/>
          <w:kern w:val="0"/>
          <w:sz w:val="32"/>
          <w:szCs w:val="32"/>
        </w:rPr>
        <w:t>前海开源裕泽定期开放混合型基金中基金（FOF）</w:t>
      </w:r>
      <w:r w:rsidR="00FD53BC" w:rsidRPr="008B1F27">
        <w:rPr>
          <w:rFonts w:ascii="黑体" w:eastAsia="黑体" w:hAnsi="黑体" w:cs="Arial" w:hint="eastAsia"/>
          <w:b/>
          <w:kern w:val="0"/>
          <w:sz w:val="32"/>
          <w:szCs w:val="32"/>
        </w:rPr>
        <w:t>开放</w:t>
      </w:r>
    </w:p>
    <w:p w:rsidR="00E81CC6" w:rsidRPr="008B1F27" w:rsidRDefault="00FD53BC" w:rsidP="0064720C">
      <w:pPr>
        <w:widowControl/>
        <w:shd w:val="clear" w:color="auto" w:fill="FFFFFF"/>
        <w:adjustRightInd w:val="0"/>
        <w:snapToGrid w:val="0"/>
        <w:jc w:val="center"/>
        <w:outlineLvl w:val="1"/>
        <w:rPr>
          <w:rFonts w:ascii="黑体" w:eastAsia="黑体" w:hAnsi="黑体" w:cs="Arial"/>
          <w:b/>
          <w:kern w:val="0"/>
          <w:sz w:val="32"/>
          <w:szCs w:val="32"/>
        </w:rPr>
      </w:pPr>
      <w:r w:rsidRPr="008B1F27">
        <w:rPr>
          <w:rFonts w:ascii="黑体" w:eastAsia="黑体" w:hAnsi="黑体" w:cs="Arial" w:hint="eastAsia"/>
          <w:b/>
          <w:kern w:val="0"/>
          <w:sz w:val="32"/>
          <w:szCs w:val="32"/>
        </w:rPr>
        <w:t>申购、赎回的公告</w:t>
      </w:r>
    </w:p>
    <w:p w:rsidR="00FA74BC" w:rsidRPr="00195FF3" w:rsidRDefault="00FA74BC" w:rsidP="00B97651">
      <w:pPr>
        <w:widowControl/>
        <w:shd w:val="clear" w:color="auto" w:fill="FFFFFF"/>
        <w:adjustRightInd w:val="0"/>
        <w:snapToGrid w:val="0"/>
        <w:spacing w:line="360" w:lineRule="auto"/>
        <w:ind w:firstLine="482"/>
        <w:rPr>
          <w:rFonts w:ascii="宋体" w:eastAsia="宋体" w:hAnsi="宋体" w:cs="Arial"/>
          <w:color w:val="1F497D" w:themeColor="text2"/>
          <w:kern w:val="0"/>
          <w:sz w:val="24"/>
          <w:szCs w:val="24"/>
        </w:rPr>
      </w:pPr>
    </w:p>
    <w:p w:rsidR="00FD53BC" w:rsidRPr="008B1F27" w:rsidRDefault="00842941" w:rsidP="00842941">
      <w:pPr>
        <w:pStyle w:val="ab"/>
        <w:widowControl/>
        <w:shd w:val="clear" w:color="auto" w:fill="FFFFFF"/>
        <w:adjustRightInd w:val="0"/>
        <w:snapToGrid w:val="0"/>
        <w:spacing w:line="360" w:lineRule="auto"/>
        <w:ind w:left="482" w:firstLineChars="0" w:firstLine="0"/>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 xml:space="preserve">1. </w:t>
      </w:r>
      <w:r w:rsidR="00FD53BC" w:rsidRPr="008B1F27">
        <w:rPr>
          <w:rFonts w:ascii="宋体" w:eastAsia="宋体" w:hAnsi="宋体" w:cs="Arial"/>
          <w:b/>
          <w:bCs/>
          <w:color w:val="000000" w:themeColor="text1"/>
          <w:kern w:val="0"/>
          <w:sz w:val="24"/>
          <w:szCs w:val="24"/>
        </w:rPr>
        <w:t>公告基本信息</w:t>
      </w:r>
    </w:p>
    <w:tbl>
      <w:tblPr>
        <w:tblW w:w="8926" w:type="dxa"/>
        <w:jc w:val="center"/>
        <w:tblLook w:val="04A0"/>
      </w:tblPr>
      <w:tblGrid>
        <w:gridCol w:w="2978"/>
        <w:gridCol w:w="5948"/>
      </w:tblGrid>
      <w:tr w:rsidR="00842941" w:rsidRPr="008B1F27" w:rsidTr="00D76FA8">
        <w:trPr>
          <w:trHeight w:val="510"/>
          <w:jc w:val="center"/>
        </w:trPr>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基金名称</w:t>
            </w:r>
          </w:p>
        </w:tc>
        <w:tc>
          <w:tcPr>
            <w:tcW w:w="5948" w:type="dxa"/>
            <w:tcBorders>
              <w:top w:val="single" w:sz="4" w:space="0" w:color="000000"/>
              <w:left w:val="nil"/>
              <w:bottom w:val="single" w:sz="4" w:space="0" w:color="000000"/>
              <w:right w:val="single" w:sz="4" w:space="0" w:color="000000"/>
            </w:tcBorders>
            <w:shd w:val="clear" w:color="auto" w:fill="auto"/>
            <w:vAlign w:val="center"/>
            <w:hideMark/>
          </w:tcPr>
          <w:p w:rsidR="00FA74BC" w:rsidRPr="008B1F27" w:rsidRDefault="00EF0B74" w:rsidP="00842941">
            <w:pPr>
              <w:widowControl/>
              <w:adjustRightInd w:val="0"/>
              <w:snapToGrid w:val="0"/>
              <w:rPr>
                <w:rFonts w:ascii="宋体" w:eastAsia="宋体" w:hAnsi="宋体" w:cs="宋体"/>
                <w:color w:val="000000" w:themeColor="text1"/>
                <w:kern w:val="0"/>
                <w:sz w:val="24"/>
                <w:szCs w:val="24"/>
              </w:rPr>
            </w:pPr>
            <w:r w:rsidRPr="00EF0B74">
              <w:rPr>
                <w:rFonts w:ascii="宋体" w:eastAsia="宋体" w:hAnsi="宋体" w:cs="宋体" w:hint="eastAsia"/>
                <w:color w:val="000000" w:themeColor="text1"/>
                <w:kern w:val="0"/>
                <w:sz w:val="24"/>
                <w:szCs w:val="24"/>
              </w:rPr>
              <w:t>前海</w:t>
            </w:r>
            <w:bookmarkStart w:id="0" w:name="_GoBack"/>
            <w:bookmarkEnd w:id="0"/>
            <w:r w:rsidRPr="00EF0B74">
              <w:rPr>
                <w:rFonts w:ascii="宋体" w:eastAsia="宋体" w:hAnsi="宋体" w:cs="宋体" w:hint="eastAsia"/>
                <w:color w:val="000000" w:themeColor="text1"/>
                <w:kern w:val="0"/>
                <w:sz w:val="24"/>
                <w:szCs w:val="24"/>
              </w:rPr>
              <w:t>开源裕泽定期开放混合型基金中基金（FOF）</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基金简称</w:t>
            </w:r>
          </w:p>
        </w:tc>
        <w:tc>
          <w:tcPr>
            <w:tcW w:w="5948" w:type="dxa"/>
            <w:tcBorders>
              <w:top w:val="nil"/>
              <w:left w:val="nil"/>
              <w:bottom w:val="single" w:sz="4" w:space="0" w:color="000000"/>
              <w:right w:val="single" w:sz="4" w:space="0" w:color="000000"/>
            </w:tcBorders>
            <w:shd w:val="clear" w:color="auto" w:fill="auto"/>
            <w:vAlign w:val="center"/>
            <w:hideMark/>
          </w:tcPr>
          <w:p w:rsidR="0064720C" w:rsidRPr="008B1F27" w:rsidRDefault="00EF0B74" w:rsidP="00A55E8D">
            <w:pPr>
              <w:widowControl/>
              <w:adjustRightInd w:val="0"/>
              <w:snapToGrid w:val="0"/>
              <w:rPr>
                <w:rFonts w:ascii="宋体" w:eastAsia="宋体" w:hAnsi="宋体" w:cs="宋体"/>
                <w:color w:val="000000" w:themeColor="text1"/>
                <w:kern w:val="0"/>
                <w:sz w:val="24"/>
                <w:szCs w:val="24"/>
              </w:rPr>
            </w:pPr>
            <w:r w:rsidRPr="00EF0B74">
              <w:rPr>
                <w:rFonts w:ascii="宋体" w:eastAsia="宋体" w:hAnsi="宋体" w:cs="宋体" w:hint="eastAsia"/>
                <w:color w:val="000000" w:themeColor="text1"/>
                <w:kern w:val="0"/>
                <w:sz w:val="24"/>
                <w:szCs w:val="24"/>
              </w:rPr>
              <w:t>前海开源裕泽</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基金主代码</w:t>
            </w:r>
          </w:p>
        </w:tc>
        <w:tc>
          <w:tcPr>
            <w:tcW w:w="5948" w:type="dxa"/>
            <w:tcBorders>
              <w:top w:val="nil"/>
              <w:left w:val="nil"/>
              <w:bottom w:val="single" w:sz="4" w:space="0" w:color="000000"/>
              <w:right w:val="single" w:sz="4" w:space="0" w:color="000000"/>
            </w:tcBorders>
            <w:shd w:val="clear" w:color="auto" w:fill="auto"/>
            <w:vAlign w:val="center"/>
            <w:hideMark/>
          </w:tcPr>
          <w:p w:rsidR="00FA74BC" w:rsidRPr="008B1F27" w:rsidRDefault="00EF0B74" w:rsidP="0064720C">
            <w:pPr>
              <w:widowControl/>
              <w:adjustRightInd w:val="0"/>
              <w:snapToGrid w:val="0"/>
              <w:rPr>
                <w:rFonts w:ascii="宋体" w:eastAsia="宋体" w:hAnsi="宋体" w:cs="Arial"/>
                <w:color w:val="000000" w:themeColor="text1"/>
                <w:kern w:val="0"/>
                <w:sz w:val="24"/>
                <w:szCs w:val="24"/>
              </w:rPr>
            </w:pPr>
            <w:r w:rsidRPr="00EF0B74">
              <w:rPr>
                <w:rFonts w:ascii="宋体" w:eastAsia="宋体" w:hAnsi="宋体" w:cs="Arial"/>
                <w:color w:val="000000" w:themeColor="text1"/>
                <w:kern w:val="0"/>
                <w:sz w:val="24"/>
                <w:szCs w:val="24"/>
              </w:rPr>
              <w:t>006507</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基金运作方式</w:t>
            </w:r>
          </w:p>
        </w:tc>
        <w:tc>
          <w:tcPr>
            <w:tcW w:w="5948" w:type="dxa"/>
            <w:tcBorders>
              <w:top w:val="nil"/>
              <w:left w:val="nil"/>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契约型</w:t>
            </w:r>
            <w:r w:rsidR="006D2CD4">
              <w:rPr>
                <w:rFonts w:ascii="宋体" w:eastAsia="宋体" w:hAnsi="宋体" w:cs="宋体" w:hint="eastAsia"/>
                <w:color w:val="000000" w:themeColor="text1"/>
                <w:kern w:val="0"/>
                <w:sz w:val="24"/>
                <w:szCs w:val="24"/>
              </w:rPr>
              <w:t>定期</w:t>
            </w:r>
            <w:r w:rsidRPr="008B1F27">
              <w:rPr>
                <w:rFonts w:ascii="宋体" w:eastAsia="宋体" w:hAnsi="宋体" w:cs="宋体" w:hint="eastAsia"/>
                <w:color w:val="000000" w:themeColor="text1"/>
                <w:kern w:val="0"/>
                <w:sz w:val="24"/>
                <w:szCs w:val="24"/>
              </w:rPr>
              <w:t>开放式</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基金合同生效日</w:t>
            </w:r>
          </w:p>
        </w:tc>
        <w:tc>
          <w:tcPr>
            <w:tcW w:w="5948" w:type="dxa"/>
            <w:tcBorders>
              <w:top w:val="nil"/>
              <w:left w:val="nil"/>
              <w:bottom w:val="single" w:sz="4" w:space="0" w:color="000000"/>
              <w:right w:val="single" w:sz="4" w:space="0" w:color="000000"/>
            </w:tcBorders>
            <w:shd w:val="clear" w:color="auto" w:fill="auto"/>
            <w:vAlign w:val="center"/>
            <w:hideMark/>
          </w:tcPr>
          <w:p w:rsidR="00FA74BC" w:rsidRPr="008B1F27" w:rsidRDefault="00EF0B74" w:rsidP="004B29FB">
            <w:pPr>
              <w:widowControl/>
              <w:adjustRightInd w:val="0"/>
              <w:snapToGrid w:val="0"/>
              <w:rPr>
                <w:rFonts w:ascii="宋体" w:eastAsia="宋体" w:hAnsi="宋体" w:cs="Arial"/>
                <w:color w:val="000000" w:themeColor="text1"/>
                <w:kern w:val="0"/>
                <w:sz w:val="24"/>
                <w:szCs w:val="24"/>
              </w:rPr>
            </w:pPr>
            <w:r w:rsidRPr="00EF0B74">
              <w:rPr>
                <w:rFonts w:ascii="宋体" w:eastAsia="宋体" w:hAnsi="宋体" w:cs="Arial" w:hint="eastAsia"/>
                <w:color w:val="000000" w:themeColor="text1"/>
                <w:kern w:val="0"/>
                <w:sz w:val="24"/>
                <w:szCs w:val="24"/>
              </w:rPr>
              <w:t>2018年11月22日</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基金管理人名称</w:t>
            </w:r>
          </w:p>
        </w:tc>
        <w:tc>
          <w:tcPr>
            <w:tcW w:w="5948" w:type="dxa"/>
            <w:tcBorders>
              <w:top w:val="nil"/>
              <w:left w:val="nil"/>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前海开源基金管理有限公司</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基金托管人名称</w:t>
            </w:r>
          </w:p>
        </w:tc>
        <w:tc>
          <w:tcPr>
            <w:tcW w:w="5948" w:type="dxa"/>
            <w:tcBorders>
              <w:top w:val="nil"/>
              <w:left w:val="nil"/>
              <w:bottom w:val="single" w:sz="4" w:space="0" w:color="000000"/>
              <w:right w:val="single" w:sz="4" w:space="0" w:color="000000"/>
            </w:tcBorders>
            <w:shd w:val="clear" w:color="auto" w:fill="auto"/>
            <w:vAlign w:val="center"/>
            <w:hideMark/>
          </w:tcPr>
          <w:p w:rsidR="00FA74BC" w:rsidRPr="008B1F27" w:rsidRDefault="00EF0B74" w:rsidP="001073D1">
            <w:pPr>
              <w:widowControl/>
              <w:adjustRightInd w:val="0"/>
              <w:snapToGrid w:val="0"/>
              <w:rPr>
                <w:rFonts w:ascii="宋体" w:eastAsia="宋体" w:hAnsi="宋体" w:cs="宋体"/>
                <w:color w:val="000000" w:themeColor="text1"/>
                <w:kern w:val="0"/>
                <w:sz w:val="24"/>
                <w:szCs w:val="24"/>
              </w:rPr>
            </w:pPr>
            <w:r w:rsidRPr="00EF0B74">
              <w:rPr>
                <w:rFonts w:ascii="宋体" w:eastAsia="宋体" w:hAnsi="宋体" w:cs="宋体" w:hint="eastAsia"/>
                <w:color w:val="000000" w:themeColor="text1"/>
                <w:kern w:val="0"/>
                <w:sz w:val="24"/>
                <w:szCs w:val="24"/>
              </w:rPr>
              <w:t>中国建设银行股份有限公司</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基金注册登记机构名称</w:t>
            </w:r>
          </w:p>
        </w:tc>
        <w:tc>
          <w:tcPr>
            <w:tcW w:w="5948" w:type="dxa"/>
            <w:tcBorders>
              <w:top w:val="nil"/>
              <w:left w:val="nil"/>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前海开源基金管理有限公司</w:t>
            </w:r>
          </w:p>
        </w:tc>
      </w:tr>
      <w:tr w:rsidR="00842941" w:rsidRPr="008B1F27" w:rsidTr="00D76FA8">
        <w:trPr>
          <w:trHeight w:val="90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公告依据</w:t>
            </w:r>
          </w:p>
        </w:tc>
        <w:tc>
          <w:tcPr>
            <w:tcW w:w="5948" w:type="dxa"/>
            <w:tcBorders>
              <w:top w:val="nil"/>
              <w:left w:val="nil"/>
              <w:bottom w:val="single" w:sz="4" w:space="0" w:color="000000"/>
              <w:right w:val="single" w:sz="4" w:space="0" w:color="000000"/>
            </w:tcBorders>
            <w:shd w:val="clear" w:color="auto" w:fill="auto"/>
            <w:vAlign w:val="center"/>
            <w:hideMark/>
          </w:tcPr>
          <w:p w:rsidR="00FA74BC" w:rsidRPr="008B1F27" w:rsidRDefault="00FA74BC" w:rsidP="00EF0B74">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《中华人民共和国证券投资基金法》及其配套法规、</w:t>
            </w:r>
            <w:r w:rsidR="00EB6AA2" w:rsidRPr="008B1F27">
              <w:rPr>
                <w:rFonts w:ascii="宋体" w:eastAsia="宋体" w:hAnsi="宋体" w:cs="宋体" w:hint="eastAsia"/>
                <w:color w:val="000000" w:themeColor="text1"/>
                <w:kern w:val="0"/>
                <w:sz w:val="24"/>
                <w:szCs w:val="24"/>
              </w:rPr>
              <w:t>《</w:t>
            </w:r>
            <w:r w:rsidR="00EF0B74" w:rsidRPr="00EF0B74">
              <w:rPr>
                <w:rFonts w:ascii="宋体" w:eastAsia="宋体" w:hAnsi="宋体" w:cs="宋体" w:hint="eastAsia"/>
                <w:color w:val="000000" w:themeColor="text1"/>
                <w:kern w:val="0"/>
                <w:sz w:val="24"/>
                <w:szCs w:val="24"/>
              </w:rPr>
              <w:t>前海开源裕泽定期开放混合型基金中基金（FOF）</w:t>
            </w:r>
            <w:r w:rsidRPr="008B1F27">
              <w:rPr>
                <w:rFonts w:ascii="宋体" w:eastAsia="宋体" w:hAnsi="宋体" w:cs="宋体" w:hint="eastAsia"/>
                <w:color w:val="000000" w:themeColor="text1"/>
                <w:kern w:val="0"/>
                <w:sz w:val="24"/>
                <w:szCs w:val="24"/>
              </w:rPr>
              <w:t>基金合同》、《</w:t>
            </w:r>
            <w:r w:rsidR="00EF0B74" w:rsidRPr="00EF0B74">
              <w:rPr>
                <w:rFonts w:ascii="宋体" w:eastAsia="宋体" w:hAnsi="宋体" w:cs="宋体" w:hint="eastAsia"/>
                <w:color w:val="000000" w:themeColor="text1"/>
                <w:kern w:val="0"/>
                <w:sz w:val="24"/>
                <w:szCs w:val="24"/>
              </w:rPr>
              <w:t>前海开源裕泽定期开放混合型基金中基金（FOF）</w:t>
            </w:r>
            <w:r w:rsidRPr="008B1F27">
              <w:rPr>
                <w:rFonts w:ascii="宋体" w:eastAsia="宋体" w:hAnsi="宋体" w:cs="宋体" w:hint="eastAsia"/>
                <w:color w:val="000000" w:themeColor="text1"/>
                <w:kern w:val="0"/>
                <w:sz w:val="24"/>
                <w:szCs w:val="24"/>
              </w:rPr>
              <w:t>招募说明书》</w:t>
            </w:r>
          </w:p>
        </w:tc>
      </w:tr>
      <w:tr w:rsidR="00842941" w:rsidRPr="008B1F27" w:rsidTr="00D579AE">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申购起始日</w:t>
            </w:r>
          </w:p>
        </w:tc>
        <w:tc>
          <w:tcPr>
            <w:tcW w:w="5948" w:type="dxa"/>
            <w:tcBorders>
              <w:top w:val="nil"/>
              <w:left w:val="nil"/>
              <w:bottom w:val="single" w:sz="4" w:space="0" w:color="000000"/>
              <w:right w:val="single" w:sz="4" w:space="0" w:color="000000"/>
            </w:tcBorders>
            <w:shd w:val="clear" w:color="auto" w:fill="auto"/>
            <w:vAlign w:val="center"/>
          </w:tcPr>
          <w:p w:rsidR="00FA74BC" w:rsidRPr="00D91F8C" w:rsidRDefault="007E4471" w:rsidP="003B1347">
            <w:pPr>
              <w:widowControl/>
              <w:adjustRightInd w:val="0"/>
              <w:snapToGrid w:val="0"/>
              <w:rPr>
                <w:rFonts w:ascii="宋体" w:eastAsia="宋体" w:hAnsi="宋体" w:cs="Arial"/>
                <w:color w:val="000000" w:themeColor="text1"/>
                <w:kern w:val="0"/>
                <w:sz w:val="24"/>
                <w:szCs w:val="24"/>
                <w:highlight w:val="yellow"/>
              </w:rPr>
            </w:pPr>
            <w:r>
              <w:rPr>
                <w:rFonts w:ascii="宋体" w:eastAsia="宋体" w:hAnsi="宋体" w:cs="Arial" w:hint="eastAsia"/>
                <w:color w:val="000000" w:themeColor="text1"/>
                <w:kern w:val="0"/>
                <w:sz w:val="24"/>
                <w:szCs w:val="24"/>
              </w:rPr>
              <w:t>2026年1月19日</w:t>
            </w:r>
          </w:p>
        </w:tc>
      </w:tr>
      <w:tr w:rsidR="00D579AE" w:rsidRPr="008B1F27" w:rsidTr="00AF1060">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D579AE" w:rsidRPr="008B1F27" w:rsidRDefault="00D579AE" w:rsidP="00D579AE">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赎回起始日</w:t>
            </w:r>
          </w:p>
        </w:tc>
        <w:tc>
          <w:tcPr>
            <w:tcW w:w="5948" w:type="dxa"/>
            <w:tcBorders>
              <w:top w:val="nil"/>
              <w:left w:val="nil"/>
              <w:bottom w:val="single" w:sz="4" w:space="0" w:color="000000"/>
              <w:right w:val="single" w:sz="4" w:space="0" w:color="000000"/>
            </w:tcBorders>
            <w:shd w:val="clear" w:color="auto" w:fill="auto"/>
            <w:vAlign w:val="center"/>
          </w:tcPr>
          <w:p w:rsidR="00D579AE" w:rsidRPr="00D579AE" w:rsidRDefault="007E4471" w:rsidP="003B1347">
            <w:pPr>
              <w:widowControl/>
              <w:adjustRightInd w:val="0"/>
              <w:snapToGrid w:val="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2026年1月19日</w:t>
            </w:r>
          </w:p>
        </w:tc>
      </w:tr>
    </w:tbl>
    <w:p w:rsidR="00EF0B74" w:rsidRPr="00EF0B74" w:rsidRDefault="00EF0B74" w:rsidP="00EF0B74">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EF0B74">
        <w:rPr>
          <w:rFonts w:ascii="宋体" w:eastAsia="宋体" w:hAnsi="宋体" w:cs="Arial" w:hint="eastAsia"/>
          <w:color w:val="000000" w:themeColor="text1"/>
          <w:kern w:val="0"/>
          <w:sz w:val="24"/>
          <w:szCs w:val="24"/>
        </w:rPr>
        <w:t>注：前海开源裕泽定期开放混合型基金中基金（FOF）</w:t>
      </w:r>
      <w:r>
        <w:rPr>
          <w:rFonts w:ascii="宋体" w:eastAsia="宋体" w:hAnsi="宋体" w:cs="Arial" w:hint="eastAsia"/>
          <w:color w:val="000000" w:themeColor="text1"/>
          <w:kern w:val="0"/>
          <w:sz w:val="24"/>
          <w:szCs w:val="24"/>
        </w:rPr>
        <w:t>（以下简称“本基金”）</w:t>
      </w:r>
      <w:r w:rsidRPr="00EF0B74">
        <w:rPr>
          <w:rFonts w:ascii="宋体" w:eastAsia="宋体" w:hAnsi="宋体" w:cs="Arial" w:hint="eastAsia"/>
          <w:color w:val="000000" w:themeColor="text1"/>
          <w:kern w:val="0"/>
          <w:sz w:val="24"/>
          <w:szCs w:val="24"/>
        </w:rPr>
        <w:t>以定期开放方式运作，即采用封闭运作和开放运作交替循环的方式。本基金自基金合同生效之日（含）起或自每一开放期结束之日次日（含）起3个月的期间封闭运作，不办理申购与赎回业务，也不上市交易。本基金的第一个封闭期为自基金合同生效之日（含）起至3个月后的对应日（遇非工作日顺延至下一个工作日）的前一日的期间。下一个封闭期为首个开放期结束之日次日（含）起至3个月后的对应日（遇非工作日顺延至下一个工作日）的前一日的期间，以此类推。如该对应日不存在对应日期的，则顺延至下一日。</w:t>
      </w:r>
    </w:p>
    <w:p w:rsidR="00D76FA8" w:rsidRPr="00EF0B74" w:rsidRDefault="00EF0B74" w:rsidP="00EF0B74">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EF0B74">
        <w:rPr>
          <w:rFonts w:ascii="宋体" w:eastAsia="宋体" w:hAnsi="宋体" w:cs="Arial" w:hint="eastAsia"/>
          <w:color w:val="000000" w:themeColor="text1"/>
          <w:kern w:val="0"/>
          <w:sz w:val="24"/>
          <w:szCs w:val="24"/>
        </w:rPr>
        <w:t>本基金自封闭期结束之后第一个工作日（含）起进入开放期，每个开放期原则上不少于两个工作日、不超过二十个工作日，开放期的具体时间以基金管理人届时公告为准。如发生不可抗力或其他情形致使基金无法按时开放或需依据基金</w:t>
      </w:r>
      <w:r w:rsidRPr="00EF0B74">
        <w:rPr>
          <w:rFonts w:ascii="宋体" w:eastAsia="宋体" w:hAnsi="宋体" w:cs="Arial" w:hint="eastAsia"/>
          <w:color w:val="000000" w:themeColor="text1"/>
          <w:kern w:val="0"/>
          <w:sz w:val="24"/>
          <w:szCs w:val="24"/>
        </w:rPr>
        <w:lastRenderedPageBreak/>
        <w:t>合同暂停申购与赎回业务的，基金管理人有权合理调整申购或赎回业务的办理期间并予以公告。</w:t>
      </w:r>
    </w:p>
    <w:p w:rsidR="00FD53BC" w:rsidRPr="008B1F27" w:rsidRDefault="00842941" w:rsidP="00820390">
      <w:pPr>
        <w:widowControl/>
        <w:shd w:val="clear" w:color="auto" w:fill="FFFFFF"/>
        <w:tabs>
          <w:tab w:val="center" w:pos="4393"/>
        </w:tabs>
        <w:adjustRightInd w:val="0"/>
        <w:snapToGrid w:val="0"/>
        <w:spacing w:line="360" w:lineRule="auto"/>
        <w:ind w:left="480"/>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 xml:space="preserve">2. </w:t>
      </w:r>
      <w:r w:rsidR="00FD53BC" w:rsidRPr="008B1F27">
        <w:rPr>
          <w:rFonts w:ascii="宋体" w:eastAsia="宋体" w:hAnsi="宋体" w:cs="Arial"/>
          <w:b/>
          <w:bCs/>
          <w:color w:val="000000" w:themeColor="text1"/>
          <w:kern w:val="0"/>
          <w:sz w:val="24"/>
          <w:szCs w:val="24"/>
        </w:rPr>
        <w:t>日常申购、赎回的办理时间</w:t>
      </w:r>
    </w:p>
    <w:p w:rsidR="00150F0D" w:rsidRDefault="00150F0D" w:rsidP="00953905">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bookmarkStart w:id="1" w:name="t_2_2_2819_a1_fm1"/>
      <w:bookmarkEnd w:id="1"/>
      <w:r w:rsidRPr="00150F0D">
        <w:rPr>
          <w:rFonts w:ascii="宋体" w:eastAsia="宋体" w:hAnsi="宋体" w:cs="Arial" w:hint="eastAsia"/>
          <w:color w:val="000000" w:themeColor="text1"/>
          <w:kern w:val="0"/>
          <w:sz w:val="24"/>
          <w:szCs w:val="24"/>
        </w:rPr>
        <w:t>本基金本次开放期为</w:t>
      </w:r>
      <w:r w:rsidR="007E4471">
        <w:rPr>
          <w:rFonts w:ascii="宋体" w:eastAsia="宋体" w:hAnsi="宋体" w:cs="Arial" w:hint="eastAsia"/>
          <w:color w:val="000000" w:themeColor="text1"/>
          <w:kern w:val="0"/>
          <w:sz w:val="24"/>
          <w:szCs w:val="24"/>
        </w:rPr>
        <w:t>2026年1月19日</w:t>
      </w:r>
      <w:r w:rsidRPr="00150F0D">
        <w:rPr>
          <w:rFonts w:ascii="宋体" w:eastAsia="宋体" w:hAnsi="宋体" w:cs="Arial" w:hint="eastAsia"/>
          <w:color w:val="000000" w:themeColor="text1"/>
          <w:kern w:val="0"/>
          <w:sz w:val="24"/>
          <w:szCs w:val="24"/>
        </w:rPr>
        <w:t>至</w:t>
      </w:r>
      <w:r w:rsidR="007E4471">
        <w:rPr>
          <w:rFonts w:ascii="宋体" w:eastAsia="宋体" w:hAnsi="宋体" w:cs="Arial" w:hint="eastAsia"/>
          <w:color w:val="000000" w:themeColor="text1"/>
          <w:kern w:val="0"/>
          <w:sz w:val="24"/>
          <w:szCs w:val="24"/>
        </w:rPr>
        <w:t>2026年1月30日</w:t>
      </w:r>
      <w:r w:rsidRPr="00150F0D">
        <w:rPr>
          <w:rFonts w:ascii="宋体" w:eastAsia="宋体" w:hAnsi="宋体" w:cs="Arial" w:hint="eastAsia"/>
          <w:color w:val="000000" w:themeColor="text1"/>
          <w:kern w:val="0"/>
          <w:sz w:val="24"/>
          <w:szCs w:val="24"/>
        </w:rPr>
        <w:t>（含当日）</w:t>
      </w:r>
      <w:r w:rsidR="007D51B7">
        <w:rPr>
          <w:rFonts w:ascii="宋体" w:eastAsia="宋体" w:hAnsi="宋体" w:cs="Arial" w:hint="eastAsia"/>
          <w:color w:val="000000" w:themeColor="text1"/>
          <w:kern w:val="0"/>
          <w:sz w:val="24"/>
          <w:szCs w:val="24"/>
        </w:rPr>
        <w:t>,</w:t>
      </w:r>
      <w:r w:rsidR="009916BE" w:rsidRPr="009916BE">
        <w:rPr>
          <w:rFonts w:ascii="宋体" w:eastAsia="宋体" w:hAnsi="宋体" w:cs="Arial" w:hint="eastAsia"/>
          <w:color w:val="000000" w:themeColor="text1"/>
          <w:kern w:val="0"/>
          <w:sz w:val="24"/>
          <w:szCs w:val="24"/>
        </w:rPr>
        <w:t>并自</w:t>
      </w:r>
      <w:r w:rsidR="007E4471">
        <w:rPr>
          <w:rFonts w:ascii="宋体" w:eastAsia="宋体" w:hAnsi="宋体" w:cs="Arial" w:hint="eastAsia"/>
          <w:color w:val="000000" w:themeColor="text1"/>
          <w:kern w:val="0"/>
          <w:sz w:val="24"/>
          <w:szCs w:val="24"/>
        </w:rPr>
        <w:t>2026年1月31日</w:t>
      </w:r>
      <w:r w:rsidR="009916BE" w:rsidRPr="009916BE">
        <w:rPr>
          <w:rFonts w:ascii="宋体" w:eastAsia="宋体" w:hAnsi="宋体" w:cs="Arial" w:hint="eastAsia"/>
          <w:color w:val="000000" w:themeColor="text1"/>
          <w:kern w:val="0"/>
          <w:sz w:val="24"/>
          <w:szCs w:val="24"/>
        </w:rPr>
        <w:t>起进入下一个封闭期，封闭期内本基金不接受申购、赎回申请。另外，本基金将会根据本次开放期的申购、赎回规模情况决定</w:t>
      </w:r>
      <w:r w:rsidR="007D51B7">
        <w:rPr>
          <w:rFonts w:ascii="宋体" w:eastAsia="宋体" w:hAnsi="宋体" w:cs="Arial" w:hint="eastAsia"/>
          <w:color w:val="000000" w:themeColor="text1"/>
          <w:kern w:val="0"/>
          <w:sz w:val="24"/>
          <w:szCs w:val="24"/>
        </w:rPr>
        <w:t>是否调整</w:t>
      </w:r>
      <w:r w:rsidR="009916BE" w:rsidRPr="009916BE">
        <w:rPr>
          <w:rFonts w:ascii="宋体" w:eastAsia="宋体" w:hAnsi="宋体" w:cs="Arial" w:hint="eastAsia"/>
          <w:color w:val="000000" w:themeColor="text1"/>
          <w:kern w:val="0"/>
          <w:sz w:val="24"/>
          <w:szCs w:val="24"/>
        </w:rPr>
        <w:t>本次开放期间，敬请留意</w:t>
      </w:r>
      <w:r w:rsidR="000D7F16" w:rsidRPr="000D7F16">
        <w:rPr>
          <w:rFonts w:ascii="宋体" w:eastAsia="宋体" w:hAnsi="宋体" w:cs="Arial" w:hint="eastAsia"/>
          <w:color w:val="000000" w:themeColor="text1"/>
          <w:kern w:val="0"/>
          <w:sz w:val="24"/>
          <w:szCs w:val="24"/>
        </w:rPr>
        <w:t>本公司</w:t>
      </w:r>
      <w:r w:rsidR="009916BE" w:rsidRPr="009916BE">
        <w:rPr>
          <w:rFonts w:ascii="宋体" w:eastAsia="宋体" w:hAnsi="宋体" w:cs="Arial" w:hint="eastAsia"/>
          <w:color w:val="000000" w:themeColor="text1"/>
          <w:kern w:val="0"/>
          <w:sz w:val="24"/>
          <w:szCs w:val="24"/>
        </w:rPr>
        <w:t>相关公告。</w:t>
      </w:r>
    </w:p>
    <w:p w:rsidR="00FD53BC" w:rsidRDefault="00A55E8D" w:rsidP="00A55E8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基金管理人在</w:t>
      </w:r>
      <w:r w:rsidR="0094537A">
        <w:rPr>
          <w:rFonts w:ascii="宋体" w:eastAsia="宋体" w:hAnsi="宋体" w:cs="Arial" w:hint="eastAsia"/>
          <w:color w:val="000000" w:themeColor="text1"/>
          <w:kern w:val="0"/>
          <w:sz w:val="24"/>
          <w:szCs w:val="24"/>
        </w:rPr>
        <w:t>开放期的每个</w:t>
      </w:r>
      <w:r w:rsidRPr="008B1F27">
        <w:rPr>
          <w:rFonts w:ascii="宋体" w:eastAsia="宋体" w:hAnsi="宋体" w:cs="Arial" w:hint="eastAsia"/>
          <w:color w:val="000000" w:themeColor="text1"/>
          <w:kern w:val="0"/>
          <w:sz w:val="24"/>
          <w:szCs w:val="24"/>
        </w:rPr>
        <w:t>开放日办理基金份额的申购、赎回，</w:t>
      </w:r>
      <w:r w:rsidR="00232EFD" w:rsidRPr="008B1F27">
        <w:rPr>
          <w:rFonts w:ascii="宋体" w:eastAsia="宋体" w:hAnsi="宋体" w:cs="Arial" w:hint="eastAsia"/>
          <w:color w:val="000000" w:themeColor="text1"/>
          <w:kern w:val="0"/>
          <w:sz w:val="24"/>
          <w:szCs w:val="24"/>
        </w:rPr>
        <w:t>具体办理时间为</w:t>
      </w:r>
      <w:r w:rsidR="001C4974" w:rsidRPr="008B1F27">
        <w:rPr>
          <w:rFonts w:ascii="宋体" w:eastAsia="宋体" w:hAnsi="宋体" w:cs="Arial" w:hint="eastAsia"/>
          <w:color w:val="000000" w:themeColor="text1"/>
          <w:kern w:val="0"/>
          <w:sz w:val="24"/>
          <w:szCs w:val="24"/>
        </w:rPr>
        <w:t>上海证券交易所、深圳证券交易所的</w:t>
      </w:r>
      <w:r w:rsidR="00232EFD" w:rsidRPr="008B1F27">
        <w:rPr>
          <w:rFonts w:ascii="宋体" w:eastAsia="宋体" w:hAnsi="宋体" w:cs="Arial" w:hint="eastAsia"/>
          <w:color w:val="000000" w:themeColor="text1"/>
          <w:kern w:val="0"/>
          <w:sz w:val="24"/>
          <w:szCs w:val="24"/>
        </w:rPr>
        <w:t>正常交易日的交易时间，但基金管理人根据法律法规、中国证监会的要求或基金合同的规定公告暂停申购、赎回时除外</w:t>
      </w:r>
      <w:r w:rsidR="00FD53BC" w:rsidRPr="008B1F27">
        <w:rPr>
          <w:rFonts w:ascii="宋体" w:eastAsia="宋体" w:hAnsi="宋体" w:cs="Arial"/>
          <w:color w:val="000000" w:themeColor="text1"/>
          <w:kern w:val="0"/>
          <w:sz w:val="24"/>
          <w:szCs w:val="24"/>
        </w:rPr>
        <w:t>。</w:t>
      </w:r>
    </w:p>
    <w:p w:rsidR="007606E3" w:rsidRPr="008B1F27" w:rsidRDefault="00362782" w:rsidP="0036278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362782">
        <w:rPr>
          <w:rFonts w:ascii="宋体" w:eastAsia="宋体" w:hAnsi="宋体" w:cs="Arial" w:hint="eastAsia"/>
          <w:color w:val="000000" w:themeColor="text1"/>
          <w:kern w:val="0"/>
          <w:sz w:val="24"/>
          <w:szCs w:val="24"/>
        </w:rPr>
        <w:t>基金合同生效后，若出现新的证券交易市场、证券交易所交易时间变更或其他特殊情况，基金管理人将视情况对前述开放日及开放时间进行相应的调整，但应在实施日前依照《</w:t>
      </w:r>
      <w:r w:rsidR="00F9355E" w:rsidRPr="00F9355E">
        <w:rPr>
          <w:rFonts w:ascii="宋体" w:eastAsia="宋体" w:hAnsi="宋体" w:cs="Arial" w:hint="eastAsia"/>
          <w:color w:val="000000" w:themeColor="text1"/>
          <w:kern w:val="0"/>
          <w:sz w:val="24"/>
          <w:szCs w:val="24"/>
        </w:rPr>
        <w:t>公开募集证券投资基金信息披露管理办法</w:t>
      </w:r>
      <w:r w:rsidRPr="00362782">
        <w:rPr>
          <w:rFonts w:ascii="宋体" w:eastAsia="宋体" w:hAnsi="宋体" w:cs="Arial" w:hint="eastAsia"/>
          <w:color w:val="000000" w:themeColor="text1"/>
          <w:kern w:val="0"/>
          <w:sz w:val="24"/>
          <w:szCs w:val="24"/>
        </w:rPr>
        <w:t>》的有关规定在</w:t>
      </w:r>
      <w:r w:rsidR="00ED3F5A">
        <w:rPr>
          <w:rFonts w:ascii="宋体" w:eastAsia="宋体" w:hAnsi="宋体" w:cs="Arial" w:hint="eastAsia"/>
          <w:color w:val="000000" w:themeColor="text1"/>
          <w:kern w:val="0"/>
          <w:sz w:val="24"/>
          <w:szCs w:val="24"/>
        </w:rPr>
        <w:t>规定媒介</w:t>
      </w:r>
      <w:r w:rsidRPr="00362782">
        <w:rPr>
          <w:rFonts w:ascii="宋体" w:eastAsia="宋体" w:hAnsi="宋体" w:cs="Arial" w:hint="eastAsia"/>
          <w:color w:val="000000" w:themeColor="text1"/>
          <w:kern w:val="0"/>
          <w:sz w:val="24"/>
          <w:szCs w:val="24"/>
        </w:rPr>
        <w:t>上公告</w:t>
      </w:r>
      <w:r w:rsidR="007606E3">
        <w:rPr>
          <w:rFonts w:ascii="宋体" w:eastAsia="宋体" w:hAnsi="宋体" w:cs="Arial" w:hint="eastAsia"/>
          <w:color w:val="000000" w:themeColor="text1"/>
          <w:kern w:val="0"/>
          <w:sz w:val="24"/>
          <w:szCs w:val="24"/>
        </w:rPr>
        <w:t>。</w:t>
      </w:r>
    </w:p>
    <w:p w:rsidR="00FD53BC" w:rsidRPr="008B1F27" w:rsidRDefault="00842941"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 xml:space="preserve">3. </w:t>
      </w:r>
      <w:r w:rsidR="00FD53BC" w:rsidRPr="008B1F27">
        <w:rPr>
          <w:rFonts w:ascii="宋体" w:eastAsia="宋体" w:hAnsi="宋体" w:cs="Arial"/>
          <w:b/>
          <w:bCs/>
          <w:color w:val="000000" w:themeColor="text1"/>
          <w:kern w:val="0"/>
          <w:sz w:val="24"/>
          <w:szCs w:val="24"/>
        </w:rPr>
        <w:t>日常申购业务</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3.1申购金额限制</w:t>
      </w:r>
    </w:p>
    <w:p w:rsidR="00EC1325" w:rsidRPr="008B1F27" w:rsidRDefault="00FD53BC" w:rsidP="00EC1325">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本基金对单个投资人不设累计持有的基金份额上限</w:t>
      </w:r>
      <w:r w:rsidR="00EC1325" w:rsidRPr="008B1F27">
        <w:rPr>
          <w:rFonts w:ascii="宋体" w:eastAsia="宋体" w:hAnsi="宋体" w:cs="Arial" w:hint="eastAsia"/>
          <w:color w:val="000000" w:themeColor="text1"/>
          <w:kern w:val="0"/>
          <w:sz w:val="24"/>
          <w:szCs w:val="24"/>
        </w:rPr>
        <w:t>，但如</w:t>
      </w:r>
      <w:r w:rsidR="005C5D11" w:rsidRPr="005C5D11">
        <w:rPr>
          <w:rFonts w:ascii="宋体" w:eastAsia="宋体" w:hAnsi="宋体" w:cs="Arial" w:hint="eastAsia"/>
          <w:color w:val="000000" w:themeColor="text1"/>
          <w:kern w:val="0"/>
          <w:sz w:val="24"/>
          <w:szCs w:val="24"/>
        </w:rPr>
        <w:t>基金管理人接受某笔或者某些申购申请有可能导致单一投资者持有基金份额的比例达到或者超过50%，或者变相规避50%集中度的情形时</w:t>
      </w:r>
      <w:r w:rsidR="00EC1325" w:rsidRPr="008B1F27">
        <w:rPr>
          <w:rFonts w:ascii="宋体" w:eastAsia="宋体" w:hAnsi="宋体" w:cs="Arial" w:hint="eastAsia"/>
          <w:color w:val="000000" w:themeColor="text1"/>
          <w:kern w:val="0"/>
          <w:sz w:val="24"/>
          <w:szCs w:val="24"/>
        </w:rPr>
        <w:t>，基金管理人有权对该单一投资者的全部或部分申请确认失败。</w:t>
      </w:r>
    </w:p>
    <w:p w:rsidR="00FD53BC" w:rsidRDefault="00B80BDD" w:rsidP="007606E3">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B80BDD">
        <w:rPr>
          <w:rFonts w:ascii="宋体" w:eastAsia="宋体" w:hAnsi="宋体" w:cs="Arial" w:hint="eastAsia"/>
          <w:color w:val="000000" w:themeColor="text1"/>
          <w:kern w:val="0"/>
          <w:sz w:val="24"/>
          <w:szCs w:val="24"/>
        </w:rPr>
        <w:t>本基金首次申购和追加申购的单笔最低限额均为人民币10元（含申购费）。各销售机构对最低申购限额及交易级差有其他规定的，以各销售机构的业务规定为准。</w:t>
      </w:r>
    </w:p>
    <w:p w:rsidR="00771006" w:rsidRPr="008B1F27" w:rsidRDefault="00C07E23" w:rsidP="00C07E23">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C07E23">
        <w:rPr>
          <w:rFonts w:ascii="宋体" w:eastAsia="宋体" w:hAnsi="宋体" w:cs="Arial" w:hint="eastAsia"/>
          <w:color w:val="000000" w:themeColor="text1"/>
          <w:kern w:val="0"/>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EB6AA2">
        <w:rPr>
          <w:rFonts w:ascii="宋体" w:eastAsia="宋体" w:hAnsi="宋体" w:cs="Arial" w:hint="eastAsia"/>
          <w:color w:val="000000" w:themeColor="text1"/>
          <w:kern w:val="0"/>
          <w:sz w:val="24"/>
          <w:szCs w:val="24"/>
        </w:rPr>
        <w:t>，</w:t>
      </w:r>
      <w:r w:rsidRPr="00C07E23">
        <w:rPr>
          <w:rFonts w:ascii="宋体" w:eastAsia="宋体" w:hAnsi="宋体" w:cs="Arial" w:hint="eastAsia"/>
          <w:color w:val="000000" w:themeColor="text1"/>
          <w:kern w:val="0"/>
          <w:sz w:val="24"/>
          <w:szCs w:val="24"/>
        </w:rPr>
        <w:t>具体请参见相关公告</w:t>
      </w:r>
      <w:r w:rsidR="00771006" w:rsidRPr="00771006">
        <w:rPr>
          <w:rFonts w:ascii="宋体" w:eastAsia="宋体" w:hAnsi="宋体" w:cs="Arial" w:hint="eastAsia"/>
          <w:color w:val="000000" w:themeColor="text1"/>
          <w:kern w:val="0"/>
          <w:sz w:val="24"/>
          <w:szCs w:val="24"/>
        </w:rPr>
        <w:t>。</w:t>
      </w:r>
    </w:p>
    <w:p w:rsidR="00FD53BC"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lastRenderedPageBreak/>
        <w:t>基金管理人可在法律法规允许的情况下，调整上述规定申购金额的数量限制。基金管理人必须在调整</w:t>
      </w:r>
      <w:r w:rsidR="00E776B9" w:rsidRPr="008B1F27">
        <w:rPr>
          <w:rFonts w:ascii="宋体" w:eastAsia="宋体" w:hAnsi="宋体" w:cs="Arial" w:hint="eastAsia"/>
          <w:color w:val="000000" w:themeColor="text1"/>
          <w:kern w:val="0"/>
          <w:sz w:val="24"/>
          <w:szCs w:val="24"/>
        </w:rPr>
        <w:t>实施</w:t>
      </w:r>
      <w:r w:rsidRPr="008B1F27">
        <w:rPr>
          <w:rFonts w:ascii="宋体" w:eastAsia="宋体" w:hAnsi="宋体" w:cs="Arial"/>
          <w:color w:val="000000" w:themeColor="text1"/>
          <w:kern w:val="0"/>
          <w:sz w:val="24"/>
          <w:szCs w:val="24"/>
        </w:rPr>
        <w:t>前依照《</w:t>
      </w:r>
      <w:r w:rsidR="002A6151" w:rsidRPr="002A6151">
        <w:rPr>
          <w:rFonts w:ascii="宋体" w:eastAsia="宋体" w:hAnsi="宋体" w:cs="Arial" w:hint="eastAsia"/>
          <w:color w:val="000000" w:themeColor="text1"/>
          <w:kern w:val="0"/>
          <w:sz w:val="24"/>
          <w:szCs w:val="24"/>
        </w:rPr>
        <w:t>公开募集</w:t>
      </w:r>
      <w:r w:rsidR="007848EB" w:rsidRPr="008B1F27">
        <w:rPr>
          <w:rFonts w:ascii="宋体" w:eastAsia="宋体" w:hAnsi="宋体" w:cs="Arial" w:hint="eastAsia"/>
          <w:color w:val="000000" w:themeColor="text1"/>
          <w:kern w:val="0"/>
          <w:sz w:val="24"/>
          <w:szCs w:val="24"/>
        </w:rPr>
        <w:t>证券投资基金</w:t>
      </w:r>
      <w:r w:rsidRPr="008B1F27">
        <w:rPr>
          <w:rFonts w:ascii="宋体" w:eastAsia="宋体" w:hAnsi="宋体" w:cs="Arial"/>
          <w:color w:val="000000" w:themeColor="text1"/>
          <w:kern w:val="0"/>
          <w:sz w:val="24"/>
          <w:szCs w:val="24"/>
        </w:rPr>
        <w:t>信息披露</w:t>
      </w:r>
      <w:r w:rsidR="00E70793" w:rsidRPr="008B1F27">
        <w:rPr>
          <w:rFonts w:ascii="宋体" w:eastAsia="宋体" w:hAnsi="宋体" w:cs="Arial" w:hint="eastAsia"/>
          <w:color w:val="000000" w:themeColor="text1"/>
          <w:kern w:val="0"/>
          <w:sz w:val="24"/>
          <w:szCs w:val="24"/>
        </w:rPr>
        <w:t>管理</w:t>
      </w:r>
      <w:r w:rsidRPr="008B1F27">
        <w:rPr>
          <w:rFonts w:ascii="宋体" w:eastAsia="宋体" w:hAnsi="宋体" w:cs="Arial"/>
          <w:color w:val="000000" w:themeColor="text1"/>
          <w:kern w:val="0"/>
          <w:sz w:val="24"/>
          <w:szCs w:val="24"/>
        </w:rPr>
        <w:t>办法》的有关规定在</w:t>
      </w:r>
      <w:r w:rsidR="00ED3F5A">
        <w:rPr>
          <w:rFonts w:ascii="宋体" w:eastAsia="宋体" w:hAnsi="宋体" w:cs="Arial"/>
          <w:color w:val="000000" w:themeColor="text1"/>
          <w:kern w:val="0"/>
          <w:sz w:val="24"/>
          <w:szCs w:val="24"/>
        </w:rPr>
        <w:t>规定媒介</w:t>
      </w:r>
      <w:r w:rsidRPr="008B1F27">
        <w:rPr>
          <w:rFonts w:ascii="宋体" w:eastAsia="宋体" w:hAnsi="宋体" w:cs="Arial"/>
          <w:color w:val="000000" w:themeColor="text1"/>
          <w:kern w:val="0"/>
          <w:sz w:val="24"/>
          <w:szCs w:val="24"/>
        </w:rPr>
        <w:t>上公告。</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3.2申购费率</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本基金的申购费用应在投资人申购基金份额时收取。投资人在一天之内如果有多笔申购，适用费率按单笔分别计算。</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申购费用由投资人承担，不列入基金财产，主要用于本基金的市场推广、销售、登记等各项费用。</w:t>
      </w:r>
    </w:p>
    <w:p w:rsidR="00FD67B0" w:rsidRPr="008B1F27" w:rsidRDefault="00FD53BC" w:rsidP="00850178">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基金管理人可以在基金合同约定的范围内调整费率或收费方式，并最迟应于新的费率或收费方式实施日前依照《</w:t>
      </w:r>
      <w:r w:rsidR="002A6151">
        <w:rPr>
          <w:rFonts w:ascii="宋体" w:eastAsia="宋体" w:hAnsi="宋体" w:cs="Arial" w:hint="eastAsia"/>
          <w:color w:val="000000" w:themeColor="text1"/>
          <w:kern w:val="0"/>
          <w:sz w:val="24"/>
          <w:szCs w:val="24"/>
        </w:rPr>
        <w:t>公开募集</w:t>
      </w:r>
      <w:r w:rsidR="007848EB" w:rsidRPr="008B1F27">
        <w:rPr>
          <w:rFonts w:ascii="宋体" w:eastAsia="宋体" w:hAnsi="宋体" w:cs="Arial" w:hint="eastAsia"/>
          <w:color w:val="000000" w:themeColor="text1"/>
          <w:kern w:val="0"/>
          <w:sz w:val="24"/>
          <w:szCs w:val="24"/>
        </w:rPr>
        <w:t>证券投资基金</w:t>
      </w:r>
      <w:r w:rsidRPr="008B1F27">
        <w:rPr>
          <w:rFonts w:ascii="宋体" w:eastAsia="宋体" w:hAnsi="宋体" w:cs="Arial"/>
          <w:color w:val="000000" w:themeColor="text1"/>
          <w:kern w:val="0"/>
          <w:sz w:val="24"/>
          <w:szCs w:val="24"/>
        </w:rPr>
        <w:t>信息披露</w:t>
      </w:r>
      <w:r w:rsidR="00E70793" w:rsidRPr="008B1F27">
        <w:rPr>
          <w:rFonts w:ascii="宋体" w:eastAsia="宋体" w:hAnsi="宋体" w:cs="Arial" w:hint="eastAsia"/>
          <w:color w:val="000000" w:themeColor="text1"/>
          <w:kern w:val="0"/>
          <w:sz w:val="24"/>
          <w:szCs w:val="24"/>
        </w:rPr>
        <w:t>管理</w:t>
      </w:r>
      <w:r w:rsidRPr="008B1F27">
        <w:rPr>
          <w:rFonts w:ascii="宋体" w:eastAsia="宋体" w:hAnsi="宋体" w:cs="Arial"/>
          <w:color w:val="000000" w:themeColor="text1"/>
          <w:kern w:val="0"/>
          <w:sz w:val="24"/>
          <w:szCs w:val="24"/>
        </w:rPr>
        <w:t>办法》的有关规定在</w:t>
      </w:r>
      <w:r w:rsidR="00ED3F5A">
        <w:rPr>
          <w:rFonts w:ascii="宋体" w:eastAsia="宋体" w:hAnsi="宋体" w:cs="Arial"/>
          <w:color w:val="000000" w:themeColor="text1"/>
          <w:kern w:val="0"/>
          <w:sz w:val="24"/>
          <w:szCs w:val="24"/>
        </w:rPr>
        <w:t>规定媒介</w:t>
      </w:r>
      <w:r w:rsidRPr="008B1F27">
        <w:rPr>
          <w:rFonts w:ascii="宋体" w:eastAsia="宋体" w:hAnsi="宋体" w:cs="Arial"/>
          <w:color w:val="000000" w:themeColor="text1"/>
          <w:kern w:val="0"/>
          <w:sz w:val="24"/>
          <w:szCs w:val="24"/>
        </w:rPr>
        <w:t>上公告。</w:t>
      </w:r>
    </w:p>
    <w:p w:rsidR="00850178" w:rsidRPr="008B1F27" w:rsidRDefault="00961CDF" w:rsidP="000C2A1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61CDF">
        <w:rPr>
          <w:rFonts w:ascii="宋体" w:eastAsia="宋体" w:hAnsi="宋体" w:cs="Arial" w:hint="eastAsia"/>
          <w:color w:val="000000" w:themeColor="text1"/>
          <w:kern w:val="0"/>
          <w:sz w:val="24"/>
          <w:szCs w:val="24"/>
        </w:rPr>
        <w:t>本基金申购费率如下表所示：</w:t>
      </w:r>
    </w:p>
    <w:tbl>
      <w:tblPr>
        <w:tblW w:w="7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0"/>
        <w:gridCol w:w="3610"/>
      </w:tblGrid>
      <w:tr w:rsidR="00C07E23" w:rsidRPr="008B1F27" w:rsidTr="001267A8">
        <w:trPr>
          <w:trHeight w:val="454"/>
          <w:jc w:val="center"/>
        </w:trPr>
        <w:tc>
          <w:tcPr>
            <w:tcW w:w="3810" w:type="dxa"/>
            <w:shd w:val="clear" w:color="auto" w:fill="auto"/>
            <w:vAlign w:val="center"/>
            <w:hideMark/>
          </w:tcPr>
          <w:p w:rsidR="00C07E23" w:rsidRPr="0081412D" w:rsidRDefault="00C07E23" w:rsidP="005C5D11">
            <w:pPr>
              <w:widowControl/>
              <w:jc w:val="center"/>
              <w:rPr>
                <w:rFonts w:asciiTheme="minorEastAsia" w:hAnsiTheme="minorEastAsia" w:cs="宋体"/>
                <w:b/>
                <w:bCs/>
                <w:kern w:val="0"/>
                <w:sz w:val="24"/>
                <w:szCs w:val="24"/>
              </w:rPr>
            </w:pPr>
            <w:r w:rsidRPr="0081412D">
              <w:rPr>
                <w:rFonts w:asciiTheme="minorEastAsia" w:hAnsiTheme="minorEastAsia" w:cs="宋体" w:hint="eastAsia"/>
                <w:b/>
                <w:bCs/>
                <w:kern w:val="0"/>
                <w:sz w:val="24"/>
                <w:szCs w:val="24"/>
              </w:rPr>
              <w:t>申购金额M（元）</w:t>
            </w:r>
          </w:p>
          <w:p w:rsidR="00C07E23" w:rsidRPr="0081412D" w:rsidRDefault="00C07E23" w:rsidP="006C4110">
            <w:pPr>
              <w:widowControl/>
              <w:adjustRightInd w:val="0"/>
              <w:snapToGrid w:val="0"/>
              <w:jc w:val="center"/>
              <w:textAlignment w:val="baseline"/>
              <w:rPr>
                <w:rFonts w:asciiTheme="minorEastAsia" w:hAnsiTheme="minorEastAsia" w:cs="宋体"/>
                <w:bCs/>
                <w:color w:val="000000" w:themeColor="text1"/>
                <w:kern w:val="0"/>
                <w:sz w:val="24"/>
                <w:szCs w:val="24"/>
              </w:rPr>
            </w:pPr>
            <w:r w:rsidRPr="0081412D">
              <w:rPr>
                <w:rFonts w:asciiTheme="minorEastAsia" w:hAnsiTheme="minorEastAsia" w:cs="宋体" w:hint="eastAsia"/>
                <w:b/>
                <w:bCs/>
                <w:kern w:val="0"/>
                <w:sz w:val="24"/>
                <w:szCs w:val="24"/>
              </w:rPr>
              <w:t>（含申购费）</w:t>
            </w:r>
          </w:p>
        </w:tc>
        <w:tc>
          <w:tcPr>
            <w:tcW w:w="3610" w:type="dxa"/>
            <w:shd w:val="clear" w:color="auto" w:fill="auto"/>
            <w:vAlign w:val="center"/>
            <w:hideMark/>
          </w:tcPr>
          <w:p w:rsidR="00C07E23" w:rsidRPr="0081412D" w:rsidRDefault="00C07E23" w:rsidP="00BE67EA">
            <w:pPr>
              <w:widowControl/>
              <w:adjustRightInd w:val="0"/>
              <w:snapToGrid w:val="0"/>
              <w:jc w:val="center"/>
              <w:textAlignment w:val="baseline"/>
              <w:rPr>
                <w:rFonts w:asciiTheme="minorEastAsia" w:hAnsiTheme="minorEastAsia" w:cs="宋体"/>
                <w:bCs/>
                <w:color w:val="000000" w:themeColor="text1"/>
                <w:kern w:val="0"/>
                <w:sz w:val="24"/>
                <w:szCs w:val="24"/>
              </w:rPr>
            </w:pPr>
            <w:r w:rsidRPr="0081412D">
              <w:rPr>
                <w:rFonts w:asciiTheme="minorEastAsia" w:hAnsiTheme="minorEastAsia" w:cs="宋体" w:hint="eastAsia"/>
                <w:b/>
                <w:bCs/>
                <w:kern w:val="0"/>
                <w:sz w:val="24"/>
                <w:szCs w:val="24"/>
              </w:rPr>
              <w:t>申购费率</w:t>
            </w:r>
          </w:p>
        </w:tc>
      </w:tr>
      <w:tr w:rsidR="00953905" w:rsidRPr="008B1F27" w:rsidTr="000C6A8D">
        <w:trPr>
          <w:trHeight w:val="454"/>
          <w:jc w:val="center"/>
        </w:trPr>
        <w:tc>
          <w:tcPr>
            <w:tcW w:w="3810" w:type="dxa"/>
            <w:shd w:val="clear" w:color="auto" w:fill="auto"/>
            <w:hideMark/>
          </w:tcPr>
          <w:p w:rsidR="00953905" w:rsidRPr="00953905" w:rsidRDefault="00953905" w:rsidP="006C4110">
            <w:pPr>
              <w:widowControl/>
              <w:adjustRightInd w:val="0"/>
              <w:snapToGrid w:val="0"/>
              <w:jc w:val="center"/>
              <w:textAlignment w:val="baseline"/>
              <w:rPr>
                <w:rFonts w:ascii="宋体" w:eastAsia="宋体" w:hAnsi="宋体" w:cs="宋体"/>
                <w:kern w:val="0"/>
                <w:sz w:val="24"/>
                <w:szCs w:val="24"/>
              </w:rPr>
            </w:pPr>
            <w:r w:rsidRPr="00953905">
              <w:rPr>
                <w:rFonts w:ascii="宋体" w:eastAsia="宋体" w:hAnsi="宋体" w:hint="eastAsia"/>
                <w:sz w:val="24"/>
                <w:szCs w:val="24"/>
              </w:rPr>
              <w:t>M＜</w:t>
            </w:r>
            <w:r w:rsidRPr="00953905">
              <w:rPr>
                <w:rFonts w:ascii="宋体" w:eastAsia="宋体" w:hAnsi="宋体"/>
                <w:sz w:val="24"/>
                <w:szCs w:val="24"/>
              </w:rPr>
              <w:t>50</w:t>
            </w:r>
            <w:r w:rsidRPr="00953905">
              <w:rPr>
                <w:rFonts w:ascii="宋体" w:eastAsia="宋体" w:hAnsi="宋体" w:hint="eastAsia"/>
                <w:sz w:val="24"/>
                <w:szCs w:val="24"/>
              </w:rPr>
              <w:t>万</w:t>
            </w:r>
          </w:p>
        </w:tc>
        <w:tc>
          <w:tcPr>
            <w:tcW w:w="3610" w:type="dxa"/>
            <w:shd w:val="clear" w:color="auto" w:fill="auto"/>
            <w:hideMark/>
          </w:tcPr>
          <w:p w:rsidR="00953905" w:rsidRPr="00953905" w:rsidRDefault="00953905" w:rsidP="00426834">
            <w:pPr>
              <w:widowControl/>
              <w:adjustRightInd w:val="0"/>
              <w:snapToGrid w:val="0"/>
              <w:jc w:val="center"/>
              <w:textAlignment w:val="baseline"/>
              <w:rPr>
                <w:rFonts w:ascii="宋体" w:eastAsia="宋体" w:hAnsi="宋体" w:cs="宋体"/>
                <w:kern w:val="0"/>
                <w:sz w:val="24"/>
                <w:szCs w:val="24"/>
              </w:rPr>
            </w:pPr>
            <w:r w:rsidRPr="00953905">
              <w:rPr>
                <w:rFonts w:ascii="宋体" w:eastAsia="宋体" w:hAnsi="宋体" w:hint="eastAsia"/>
                <w:sz w:val="24"/>
                <w:szCs w:val="24"/>
              </w:rPr>
              <w:t>1.</w:t>
            </w:r>
            <w:r w:rsidRPr="00953905">
              <w:rPr>
                <w:rFonts w:ascii="宋体" w:eastAsia="宋体" w:hAnsi="宋体"/>
                <w:sz w:val="24"/>
                <w:szCs w:val="24"/>
              </w:rPr>
              <w:t>2</w:t>
            </w:r>
            <w:r w:rsidRPr="00953905">
              <w:rPr>
                <w:rFonts w:ascii="宋体" w:eastAsia="宋体" w:hAnsi="宋体" w:hint="eastAsia"/>
                <w:sz w:val="24"/>
                <w:szCs w:val="24"/>
              </w:rPr>
              <w:t>0%</w:t>
            </w:r>
          </w:p>
        </w:tc>
      </w:tr>
      <w:tr w:rsidR="00953905" w:rsidRPr="008B1F27" w:rsidTr="000C6A8D">
        <w:trPr>
          <w:trHeight w:val="454"/>
          <w:jc w:val="center"/>
        </w:trPr>
        <w:tc>
          <w:tcPr>
            <w:tcW w:w="3810" w:type="dxa"/>
            <w:shd w:val="clear" w:color="auto" w:fill="auto"/>
            <w:hideMark/>
          </w:tcPr>
          <w:p w:rsidR="00953905" w:rsidRPr="00953905" w:rsidRDefault="00953905" w:rsidP="006C4110">
            <w:pPr>
              <w:widowControl/>
              <w:adjustRightInd w:val="0"/>
              <w:snapToGrid w:val="0"/>
              <w:jc w:val="center"/>
              <w:textAlignment w:val="baseline"/>
              <w:rPr>
                <w:rFonts w:ascii="宋体" w:eastAsia="宋体" w:hAnsi="宋体" w:cs="宋体"/>
                <w:kern w:val="0"/>
                <w:sz w:val="24"/>
                <w:szCs w:val="24"/>
              </w:rPr>
            </w:pPr>
            <w:r w:rsidRPr="00953905">
              <w:rPr>
                <w:rFonts w:ascii="宋体" w:eastAsia="宋体" w:hAnsi="宋体"/>
                <w:sz w:val="24"/>
                <w:szCs w:val="24"/>
              </w:rPr>
              <w:t>5</w:t>
            </w:r>
            <w:r w:rsidRPr="00953905">
              <w:rPr>
                <w:rFonts w:ascii="宋体" w:eastAsia="宋体" w:hAnsi="宋体" w:hint="eastAsia"/>
                <w:sz w:val="24"/>
                <w:szCs w:val="24"/>
              </w:rPr>
              <w:t>0万≤M＜</w:t>
            </w:r>
            <w:r w:rsidRPr="00953905">
              <w:rPr>
                <w:rFonts w:ascii="宋体" w:eastAsia="宋体" w:hAnsi="宋体"/>
                <w:sz w:val="24"/>
                <w:szCs w:val="24"/>
              </w:rPr>
              <w:t>25</w:t>
            </w:r>
            <w:r w:rsidRPr="00953905">
              <w:rPr>
                <w:rFonts w:ascii="宋体" w:eastAsia="宋体" w:hAnsi="宋体" w:hint="eastAsia"/>
                <w:sz w:val="24"/>
                <w:szCs w:val="24"/>
              </w:rPr>
              <w:t>0万</w:t>
            </w:r>
          </w:p>
        </w:tc>
        <w:tc>
          <w:tcPr>
            <w:tcW w:w="3610" w:type="dxa"/>
            <w:shd w:val="clear" w:color="auto" w:fill="auto"/>
            <w:hideMark/>
          </w:tcPr>
          <w:p w:rsidR="00953905" w:rsidRPr="00953905" w:rsidRDefault="00953905" w:rsidP="006C4110">
            <w:pPr>
              <w:widowControl/>
              <w:adjustRightInd w:val="0"/>
              <w:snapToGrid w:val="0"/>
              <w:jc w:val="center"/>
              <w:textAlignment w:val="baseline"/>
              <w:rPr>
                <w:rFonts w:ascii="宋体" w:eastAsia="宋体" w:hAnsi="宋体" w:cs="宋体"/>
                <w:kern w:val="0"/>
                <w:sz w:val="24"/>
                <w:szCs w:val="24"/>
              </w:rPr>
            </w:pPr>
            <w:r w:rsidRPr="00953905">
              <w:rPr>
                <w:rFonts w:ascii="宋体" w:eastAsia="宋体" w:hAnsi="宋体"/>
                <w:sz w:val="24"/>
                <w:szCs w:val="24"/>
              </w:rPr>
              <w:t>0.8</w:t>
            </w:r>
            <w:r w:rsidRPr="00953905">
              <w:rPr>
                <w:rFonts w:ascii="宋体" w:eastAsia="宋体" w:hAnsi="宋体" w:hint="eastAsia"/>
                <w:sz w:val="24"/>
                <w:szCs w:val="24"/>
              </w:rPr>
              <w:t>0%</w:t>
            </w:r>
          </w:p>
        </w:tc>
      </w:tr>
      <w:tr w:rsidR="00953905" w:rsidRPr="008B1F27" w:rsidTr="000C6A8D">
        <w:trPr>
          <w:trHeight w:val="454"/>
          <w:jc w:val="center"/>
        </w:trPr>
        <w:tc>
          <w:tcPr>
            <w:tcW w:w="3810" w:type="dxa"/>
            <w:shd w:val="clear" w:color="auto" w:fill="auto"/>
            <w:hideMark/>
          </w:tcPr>
          <w:p w:rsidR="00953905" w:rsidRPr="00953905" w:rsidRDefault="00953905" w:rsidP="006C4110">
            <w:pPr>
              <w:widowControl/>
              <w:adjustRightInd w:val="0"/>
              <w:snapToGrid w:val="0"/>
              <w:jc w:val="center"/>
              <w:textAlignment w:val="baseline"/>
              <w:rPr>
                <w:rFonts w:ascii="宋体" w:eastAsia="宋体" w:hAnsi="宋体" w:cs="宋体"/>
                <w:kern w:val="0"/>
                <w:sz w:val="24"/>
                <w:szCs w:val="24"/>
              </w:rPr>
            </w:pPr>
            <w:r w:rsidRPr="00953905">
              <w:rPr>
                <w:rFonts w:ascii="宋体" w:eastAsia="宋体" w:hAnsi="宋体"/>
                <w:sz w:val="24"/>
                <w:szCs w:val="24"/>
              </w:rPr>
              <w:t>25</w:t>
            </w:r>
            <w:r w:rsidRPr="00953905">
              <w:rPr>
                <w:rFonts w:ascii="宋体" w:eastAsia="宋体" w:hAnsi="宋体" w:hint="eastAsia"/>
                <w:sz w:val="24"/>
                <w:szCs w:val="24"/>
              </w:rPr>
              <w:t>0万≤M＜500万</w:t>
            </w:r>
          </w:p>
        </w:tc>
        <w:tc>
          <w:tcPr>
            <w:tcW w:w="3610" w:type="dxa"/>
            <w:shd w:val="clear" w:color="auto" w:fill="auto"/>
            <w:hideMark/>
          </w:tcPr>
          <w:p w:rsidR="00953905" w:rsidRPr="00953905" w:rsidRDefault="00953905" w:rsidP="006C4110">
            <w:pPr>
              <w:widowControl/>
              <w:adjustRightInd w:val="0"/>
              <w:snapToGrid w:val="0"/>
              <w:jc w:val="center"/>
              <w:textAlignment w:val="baseline"/>
              <w:rPr>
                <w:rFonts w:ascii="宋体" w:eastAsia="宋体" w:hAnsi="宋体" w:cs="宋体"/>
                <w:kern w:val="0"/>
                <w:sz w:val="24"/>
                <w:szCs w:val="24"/>
              </w:rPr>
            </w:pPr>
            <w:r w:rsidRPr="00953905">
              <w:rPr>
                <w:rFonts w:ascii="宋体" w:eastAsia="宋体" w:hAnsi="宋体" w:hint="eastAsia"/>
                <w:sz w:val="24"/>
                <w:szCs w:val="24"/>
              </w:rPr>
              <w:t>0.</w:t>
            </w:r>
            <w:r w:rsidRPr="00953905">
              <w:rPr>
                <w:rFonts w:ascii="宋体" w:eastAsia="宋体" w:hAnsi="宋体"/>
                <w:sz w:val="24"/>
                <w:szCs w:val="24"/>
              </w:rPr>
              <w:t>4</w:t>
            </w:r>
            <w:r w:rsidRPr="00953905">
              <w:rPr>
                <w:rFonts w:ascii="宋体" w:eastAsia="宋体" w:hAnsi="宋体" w:hint="eastAsia"/>
                <w:sz w:val="24"/>
                <w:szCs w:val="24"/>
              </w:rPr>
              <w:t>0%</w:t>
            </w:r>
          </w:p>
        </w:tc>
      </w:tr>
      <w:tr w:rsidR="00953905" w:rsidRPr="008B1F27" w:rsidTr="000C6A8D">
        <w:trPr>
          <w:trHeight w:val="454"/>
          <w:jc w:val="center"/>
        </w:trPr>
        <w:tc>
          <w:tcPr>
            <w:tcW w:w="3810" w:type="dxa"/>
            <w:shd w:val="clear" w:color="auto" w:fill="auto"/>
            <w:hideMark/>
          </w:tcPr>
          <w:p w:rsidR="00953905" w:rsidRPr="00953905" w:rsidRDefault="00953905" w:rsidP="006C4110">
            <w:pPr>
              <w:widowControl/>
              <w:adjustRightInd w:val="0"/>
              <w:snapToGrid w:val="0"/>
              <w:jc w:val="center"/>
              <w:textAlignment w:val="baseline"/>
              <w:rPr>
                <w:rFonts w:ascii="宋体" w:eastAsia="宋体" w:hAnsi="宋体" w:cs="宋体"/>
                <w:kern w:val="0"/>
                <w:sz w:val="24"/>
                <w:szCs w:val="24"/>
              </w:rPr>
            </w:pPr>
            <w:r w:rsidRPr="00953905">
              <w:rPr>
                <w:rFonts w:ascii="宋体" w:eastAsia="宋体" w:hAnsi="宋体" w:hint="eastAsia"/>
                <w:sz w:val="24"/>
                <w:szCs w:val="24"/>
              </w:rPr>
              <w:t>M≥500万</w:t>
            </w:r>
          </w:p>
        </w:tc>
        <w:tc>
          <w:tcPr>
            <w:tcW w:w="3610" w:type="dxa"/>
            <w:shd w:val="clear" w:color="auto" w:fill="auto"/>
            <w:hideMark/>
          </w:tcPr>
          <w:p w:rsidR="00953905" w:rsidRPr="00953905" w:rsidRDefault="00953905" w:rsidP="006C4110">
            <w:pPr>
              <w:widowControl/>
              <w:adjustRightInd w:val="0"/>
              <w:snapToGrid w:val="0"/>
              <w:jc w:val="center"/>
              <w:textAlignment w:val="baseline"/>
              <w:rPr>
                <w:rFonts w:ascii="宋体" w:eastAsia="宋体" w:hAnsi="宋体" w:cs="宋体"/>
                <w:kern w:val="0"/>
                <w:sz w:val="24"/>
                <w:szCs w:val="24"/>
              </w:rPr>
            </w:pPr>
            <w:r w:rsidRPr="00953905">
              <w:rPr>
                <w:rFonts w:ascii="宋体" w:eastAsia="宋体" w:hAnsi="宋体" w:hint="eastAsia"/>
                <w:sz w:val="24"/>
                <w:szCs w:val="24"/>
              </w:rPr>
              <w:t>每笔1,000元</w:t>
            </w:r>
          </w:p>
        </w:tc>
      </w:tr>
    </w:tbl>
    <w:p w:rsidR="006A770C" w:rsidRPr="008B1F27" w:rsidRDefault="00FD53BC" w:rsidP="006A770C">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注：</w:t>
      </w:r>
      <w:r w:rsidR="006A770C" w:rsidRPr="008B1F27">
        <w:rPr>
          <w:rFonts w:ascii="宋体" w:eastAsia="宋体" w:hAnsi="宋体" w:cs="Arial"/>
          <w:color w:val="000000" w:themeColor="text1"/>
          <w:kern w:val="0"/>
          <w:sz w:val="24"/>
          <w:szCs w:val="24"/>
        </w:rPr>
        <w:t>销售机构可参考上述标准对申购费用实施优惠。</w:t>
      </w:r>
    </w:p>
    <w:p w:rsidR="0081412D" w:rsidRPr="0081412D" w:rsidRDefault="0081412D"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1412D">
        <w:rPr>
          <w:rFonts w:ascii="宋体" w:eastAsia="宋体" w:hAnsi="宋体" w:cs="Arial" w:hint="eastAsia"/>
          <w:color w:val="000000" w:themeColor="text1"/>
          <w:kern w:val="0"/>
          <w:sz w:val="24"/>
          <w:szCs w:val="24"/>
        </w:rPr>
        <w:t>当投资人选择申购基金份额时，申购份额的计算方法如下：</w:t>
      </w:r>
    </w:p>
    <w:p w:rsidR="0081412D" w:rsidRPr="0081412D" w:rsidRDefault="0081412D"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1412D">
        <w:rPr>
          <w:rFonts w:ascii="宋体" w:eastAsia="宋体" w:hAnsi="宋体" w:cs="Arial" w:hint="eastAsia"/>
          <w:color w:val="000000" w:themeColor="text1"/>
          <w:kern w:val="0"/>
          <w:sz w:val="24"/>
          <w:szCs w:val="24"/>
        </w:rPr>
        <w:t>（1）基金份额的申购费率适用比例费率时：</w:t>
      </w:r>
    </w:p>
    <w:p w:rsidR="0081412D" w:rsidRPr="0081412D" w:rsidRDefault="0081412D"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1412D">
        <w:rPr>
          <w:rFonts w:ascii="宋体" w:eastAsia="宋体" w:hAnsi="宋体" w:cs="Arial" w:hint="eastAsia"/>
          <w:color w:val="000000" w:themeColor="text1"/>
          <w:kern w:val="0"/>
          <w:sz w:val="24"/>
          <w:szCs w:val="24"/>
        </w:rPr>
        <w:t>净申购金额=申购金额/（1＋申购费率）</w:t>
      </w:r>
    </w:p>
    <w:p w:rsidR="0081412D" w:rsidRPr="0081412D" w:rsidRDefault="0081412D"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1412D">
        <w:rPr>
          <w:rFonts w:ascii="宋体" w:eastAsia="宋体" w:hAnsi="宋体" w:cs="Arial" w:hint="eastAsia"/>
          <w:color w:val="000000" w:themeColor="text1"/>
          <w:kern w:val="0"/>
          <w:sz w:val="24"/>
          <w:szCs w:val="24"/>
        </w:rPr>
        <w:t>申购费用=申购金额-净申购金额</w:t>
      </w:r>
    </w:p>
    <w:p w:rsidR="0081412D" w:rsidRPr="0081412D" w:rsidRDefault="0081412D"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1412D">
        <w:rPr>
          <w:rFonts w:ascii="宋体" w:eastAsia="宋体" w:hAnsi="宋体" w:cs="Arial" w:hint="eastAsia"/>
          <w:color w:val="000000" w:themeColor="text1"/>
          <w:kern w:val="0"/>
          <w:sz w:val="24"/>
          <w:szCs w:val="24"/>
        </w:rPr>
        <w:t>申购份额=净申购金额/申购当日基金份额净值</w:t>
      </w:r>
    </w:p>
    <w:p w:rsidR="0081412D" w:rsidRPr="0081412D" w:rsidRDefault="0081412D"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1412D">
        <w:rPr>
          <w:rFonts w:ascii="宋体" w:eastAsia="宋体" w:hAnsi="宋体" w:cs="Arial" w:hint="eastAsia"/>
          <w:color w:val="000000" w:themeColor="text1"/>
          <w:kern w:val="0"/>
          <w:sz w:val="24"/>
          <w:szCs w:val="24"/>
        </w:rPr>
        <w:t>（2）基金份额的申购费率适用固定金额时：</w:t>
      </w:r>
    </w:p>
    <w:p w:rsidR="0081412D" w:rsidRPr="0081412D" w:rsidRDefault="0081412D"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1412D">
        <w:rPr>
          <w:rFonts w:ascii="宋体" w:eastAsia="宋体" w:hAnsi="宋体" w:cs="Arial" w:hint="eastAsia"/>
          <w:color w:val="000000" w:themeColor="text1"/>
          <w:kern w:val="0"/>
          <w:sz w:val="24"/>
          <w:szCs w:val="24"/>
        </w:rPr>
        <w:t>净申购金额=申购金额-申购费用</w:t>
      </w:r>
    </w:p>
    <w:p w:rsidR="0081412D" w:rsidRPr="0081412D" w:rsidRDefault="0081412D"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1412D">
        <w:rPr>
          <w:rFonts w:ascii="宋体" w:eastAsia="宋体" w:hAnsi="宋体" w:cs="Arial" w:hint="eastAsia"/>
          <w:color w:val="000000" w:themeColor="text1"/>
          <w:kern w:val="0"/>
          <w:sz w:val="24"/>
          <w:szCs w:val="24"/>
        </w:rPr>
        <w:t>申购费用=固定金额</w:t>
      </w:r>
    </w:p>
    <w:p w:rsidR="0081412D" w:rsidRPr="0081412D" w:rsidRDefault="0081412D"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1412D">
        <w:rPr>
          <w:rFonts w:ascii="宋体" w:eastAsia="宋体" w:hAnsi="宋体" w:cs="Arial" w:hint="eastAsia"/>
          <w:color w:val="000000" w:themeColor="text1"/>
          <w:kern w:val="0"/>
          <w:sz w:val="24"/>
          <w:szCs w:val="24"/>
        </w:rPr>
        <w:t>申购份额=净申购金额/申购当日基金份额净值</w:t>
      </w:r>
    </w:p>
    <w:p w:rsidR="0081412D" w:rsidRDefault="0081412D"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1412D">
        <w:rPr>
          <w:rFonts w:ascii="宋体" w:eastAsia="宋体" w:hAnsi="宋体" w:cs="Arial" w:hint="eastAsia"/>
          <w:color w:val="000000" w:themeColor="text1"/>
          <w:kern w:val="0"/>
          <w:sz w:val="24"/>
          <w:szCs w:val="24"/>
        </w:rPr>
        <w:t>申购的有效份额单位为份，上述计算结果均按四舍五入方法，保留到小数点后两位，由此产生的收益或损失由基金财产承担。</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lastRenderedPageBreak/>
        <w:t>3.3其他与申购相关的事项</w:t>
      </w:r>
    </w:p>
    <w:p w:rsidR="0081412D" w:rsidRPr="0081412D" w:rsidRDefault="0081412D"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1412D">
        <w:rPr>
          <w:rFonts w:ascii="宋体" w:eastAsia="宋体" w:hAnsi="宋体" w:cs="Arial" w:hint="eastAsia"/>
          <w:color w:val="000000" w:themeColor="text1"/>
          <w:kern w:val="0"/>
          <w:sz w:val="24"/>
          <w:szCs w:val="24"/>
        </w:rPr>
        <w:t>基金管理人应以交易时间结束前受理有效申购申请的当天作为申购申请日(T日)，在正常情况下，本基金登记机构在T+2日内对该交易的有效性进行确认。T日提交的有效申请，投资人应在T+3日后(包括该日)及时到销售网点柜台或以销售机构规定的其他方式查询申请的确认情况。若申购不成功或无效，则申购款项本金退还给投资人。</w:t>
      </w:r>
    </w:p>
    <w:p w:rsidR="00FD53BC" w:rsidRDefault="0081412D" w:rsidP="006C0AD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1412D">
        <w:rPr>
          <w:rFonts w:ascii="宋体" w:eastAsia="宋体" w:hAnsi="宋体" w:cs="Arial" w:hint="eastAsia"/>
          <w:color w:val="000000" w:themeColor="text1"/>
          <w:kern w:val="0"/>
          <w:sz w:val="24"/>
          <w:szCs w:val="24"/>
        </w:rPr>
        <w:t>销售机构对申购申请的受理并不代表申请一定成功，而仅代表销售机构确实接收到该申购申请。申购申请的确认以登记机构的确认结果为准。对于申请的确认情况，投资人应及时查询并妥善行使合法权利。</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申购以金额申请，遵循“未知价”原则，即申购价格</w:t>
      </w:r>
      <w:r w:rsidR="006C3B53">
        <w:rPr>
          <w:rFonts w:ascii="宋体" w:eastAsia="宋体" w:hAnsi="宋体" w:cs="Arial" w:hint="eastAsia"/>
          <w:color w:val="000000" w:themeColor="text1"/>
          <w:kern w:val="0"/>
          <w:sz w:val="24"/>
          <w:szCs w:val="24"/>
        </w:rPr>
        <w:t>以申请当日的基金份额净值为基准</w:t>
      </w:r>
      <w:r w:rsidRPr="008B1F27">
        <w:rPr>
          <w:rFonts w:ascii="宋体" w:eastAsia="宋体" w:hAnsi="宋体" w:cs="Arial"/>
          <w:color w:val="000000" w:themeColor="text1"/>
          <w:kern w:val="0"/>
          <w:sz w:val="24"/>
          <w:szCs w:val="24"/>
        </w:rPr>
        <w:t>进行计算。</w:t>
      </w:r>
    </w:p>
    <w:p w:rsidR="00FD53BC" w:rsidRPr="008B1F27" w:rsidRDefault="002157D9" w:rsidP="002157D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投资人在提交申购申请时须按销售机构规定的方式备足申购资金，否则所提交的申购申请不成立。</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当日的申购申请可以在基金管理人规定的时间以内撤销。</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4.日常赎回业务</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4.1赎回份额限制</w:t>
      </w:r>
    </w:p>
    <w:p w:rsidR="00FD53BC" w:rsidRDefault="0081412D"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1412D">
        <w:rPr>
          <w:rFonts w:ascii="宋体" w:eastAsia="宋体" w:hAnsi="宋体" w:cs="Arial" w:hint="eastAsia"/>
          <w:color w:val="000000" w:themeColor="text1"/>
          <w:kern w:val="0"/>
          <w:sz w:val="24"/>
          <w:szCs w:val="24"/>
        </w:rPr>
        <w:t>投资人赎回本基金基金份额时，可申请将其持有的部分或全部基金份额赎回</w:t>
      </w:r>
      <w:r w:rsidR="006C3B53" w:rsidRPr="006C3B53">
        <w:rPr>
          <w:rFonts w:ascii="宋体" w:eastAsia="宋体" w:hAnsi="宋体" w:cs="Arial" w:hint="eastAsia"/>
          <w:color w:val="000000" w:themeColor="text1"/>
          <w:kern w:val="0"/>
          <w:sz w:val="24"/>
          <w:szCs w:val="24"/>
        </w:rPr>
        <w:t>，但每笔最低赎回份额不得低于10份</w:t>
      </w:r>
      <w:r w:rsidRPr="0081412D">
        <w:rPr>
          <w:rFonts w:ascii="宋体" w:eastAsia="宋体" w:hAnsi="宋体" w:cs="Arial" w:hint="eastAsia"/>
          <w:color w:val="000000" w:themeColor="text1"/>
          <w:kern w:val="0"/>
          <w:sz w:val="24"/>
          <w:szCs w:val="24"/>
        </w:rPr>
        <w:t>；账户最低余额为10份基金份额，若某笔赎回将导致投资人在销售机构托管的单只基金份额余额不足10份时，该笔赎回业务应包括账户内全部基金份额，否则，基金管理人有权将剩余部分的基金份额强制赎回</w:t>
      </w:r>
      <w:r w:rsidR="00A21BEA" w:rsidRPr="008B1F27">
        <w:rPr>
          <w:rFonts w:ascii="宋体" w:eastAsia="宋体" w:hAnsi="宋体" w:cs="Arial" w:hint="eastAsia"/>
          <w:color w:val="000000" w:themeColor="text1"/>
          <w:kern w:val="0"/>
          <w:sz w:val="24"/>
          <w:szCs w:val="24"/>
        </w:rPr>
        <w:t>。</w:t>
      </w:r>
      <w:r w:rsidR="009125EE" w:rsidRPr="009125EE">
        <w:rPr>
          <w:rFonts w:ascii="宋体" w:eastAsia="宋体" w:hAnsi="宋体" w:cs="Arial" w:hint="eastAsia"/>
          <w:color w:val="000000" w:themeColor="text1"/>
          <w:kern w:val="0"/>
          <w:sz w:val="24"/>
          <w:szCs w:val="24"/>
        </w:rPr>
        <w:t>各销售机构对最低赎回份额及账户最低余额有其他规定的，以各销售机构的业务规定为准。</w:t>
      </w:r>
    </w:p>
    <w:p w:rsidR="00FD53BC"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基金管理人可在法律法规允许的情况下，调整上述规定赎回份额的数量限制。基金管理人必须在调整</w:t>
      </w:r>
      <w:r w:rsidR="00982EC9" w:rsidRPr="008B1F27">
        <w:rPr>
          <w:rFonts w:ascii="宋体" w:eastAsia="宋体" w:hAnsi="宋体" w:cs="Arial" w:hint="eastAsia"/>
          <w:color w:val="000000" w:themeColor="text1"/>
          <w:kern w:val="0"/>
          <w:sz w:val="24"/>
          <w:szCs w:val="24"/>
        </w:rPr>
        <w:t>实施</w:t>
      </w:r>
      <w:r w:rsidRPr="008B1F27">
        <w:rPr>
          <w:rFonts w:ascii="宋体" w:eastAsia="宋体" w:hAnsi="宋体" w:cs="Arial"/>
          <w:color w:val="000000" w:themeColor="text1"/>
          <w:kern w:val="0"/>
          <w:sz w:val="24"/>
          <w:szCs w:val="24"/>
        </w:rPr>
        <w:t>前依照《</w:t>
      </w:r>
      <w:r w:rsidR="00104E48">
        <w:rPr>
          <w:rFonts w:ascii="宋体" w:eastAsia="宋体" w:hAnsi="宋体" w:cs="Arial" w:hint="eastAsia"/>
          <w:color w:val="000000" w:themeColor="text1"/>
          <w:kern w:val="0"/>
          <w:sz w:val="24"/>
          <w:szCs w:val="24"/>
        </w:rPr>
        <w:t>公开募集</w:t>
      </w:r>
      <w:r w:rsidRPr="008B1F27">
        <w:rPr>
          <w:rFonts w:ascii="宋体" w:eastAsia="宋体" w:hAnsi="宋体" w:cs="Arial"/>
          <w:color w:val="000000" w:themeColor="text1"/>
          <w:kern w:val="0"/>
          <w:sz w:val="24"/>
          <w:szCs w:val="24"/>
        </w:rPr>
        <w:t>证券投资基金信息披露</w:t>
      </w:r>
      <w:r w:rsidR="00E70793" w:rsidRPr="008B1F27">
        <w:rPr>
          <w:rFonts w:ascii="宋体" w:eastAsia="宋体" w:hAnsi="宋体" w:cs="Arial" w:hint="eastAsia"/>
          <w:color w:val="000000" w:themeColor="text1"/>
          <w:kern w:val="0"/>
          <w:sz w:val="24"/>
          <w:szCs w:val="24"/>
        </w:rPr>
        <w:t>管理</w:t>
      </w:r>
      <w:r w:rsidRPr="008B1F27">
        <w:rPr>
          <w:rFonts w:ascii="宋体" w:eastAsia="宋体" w:hAnsi="宋体" w:cs="Arial"/>
          <w:color w:val="000000" w:themeColor="text1"/>
          <w:kern w:val="0"/>
          <w:sz w:val="24"/>
          <w:szCs w:val="24"/>
        </w:rPr>
        <w:t>办法》的有关规定在</w:t>
      </w:r>
      <w:r w:rsidR="00ED3F5A">
        <w:rPr>
          <w:rFonts w:ascii="宋体" w:eastAsia="宋体" w:hAnsi="宋体" w:cs="Arial"/>
          <w:color w:val="000000" w:themeColor="text1"/>
          <w:kern w:val="0"/>
          <w:sz w:val="24"/>
          <w:szCs w:val="24"/>
        </w:rPr>
        <w:t>规定媒介</w:t>
      </w:r>
      <w:r w:rsidRPr="008B1F27">
        <w:rPr>
          <w:rFonts w:ascii="宋体" w:eastAsia="宋体" w:hAnsi="宋体" w:cs="Arial"/>
          <w:color w:val="000000" w:themeColor="text1"/>
          <w:kern w:val="0"/>
          <w:sz w:val="24"/>
          <w:szCs w:val="24"/>
        </w:rPr>
        <w:t>上公告。</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4.2赎回费率</w:t>
      </w:r>
    </w:p>
    <w:p w:rsidR="00BE2093" w:rsidRDefault="00FD53BC"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本基金的赎回金额为赎回总额扣减赎回费用。基金管理人可以在基金合同约定的范围内调整费率或收费方式，并最迟应于新的费率或收费方式实施日前依照《</w:t>
      </w:r>
      <w:r w:rsidR="00104E48">
        <w:rPr>
          <w:rFonts w:ascii="宋体" w:eastAsia="宋体" w:hAnsi="宋体" w:cs="Arial" w:hint="eastAsia"/>
          <w:color w:val="000000" w:themeColor="text1"/>
          <w:kern w:val="0"/>
          <w:sz w:val="24"/>
          <w:szCs w:val="24"/>
        </w:rPr>
        <w:t>公开募集</w:t>
      </w:r>
      <w:r w:rsidRPr="008B1F27">
        <w:rPr>
          <w:rFonts w:ascii="宋体" w:eastAsia="宋体" w:hAnsi="宋体" w:cs="Arial"/>
          <w:color w:val="000000" w:themeColor="text1"/>
          <w:kern w:val="0"/>
          <w:sz w:val="24"/>
          <w:szCs w:val="24"/>
        </w:rPr>
        <w:t>证券投资基金信息披露管理办法》的有关规定在</w:t>
      </w:r>
      <w:r w:rsidR="00ED3F5A">
        <w:rPr>
          <w:rFonts w:ascii="宋体" w:eastAsia="宋体" w:hAnsi="宋体" w:cs="Arial"/>
          <w:color w:val="000000" w:themeColor="text1"/>
          <w:kern w:val="0"/>
          <w:sz w:val="24"/>
          <w:szCs w:val="24"/>
        </w:rPr>
        <w:t>规定媒介</w:t>
      </w:r>
      <w:r w:rsidRPr="008B1F27">
        <w:rPr>
          <w:rFonts w:ascii="宋体" w:eastAsia="宋体" w:hAnsi="宋体" w:cs="Arial"/>
          <w:color w:val="000000" w:themeColor="text1"/>
          <w:kern w:val="0"/>
          <w:sz w:val="24"/>
          <w:szCs w:val="24"/>
        </w:rPr>
        <w:t>上公告。</w:t>
      </w:r>
    </w:p>
    <w:p w:rsidR="0081412D" w:rsidRPr="004172CF" w:rsidRDefault="0081412D" w:rsidP="004172CF">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4172CF">
        <w:rPr>
          <w:rFonts w:ascii="宋体" w:eastAsia="宋体" w:hAnsi="宋体" w:cs="Arial" w:hint="eastAsia"/>
          <w:color w:val="000000" w:themeColor="text1"/>
          <w:kern w:val="0"/>
          <w:sz w:val="24"/>
          <w:szCs w:val="24"/>
        </w:rPr>
        <w:t>本基金的赎回费率如下表所示：</w:t>
      </w:r>
    </w:p>
    <w:tbl>
      <w:tblPr>
        <w:tblW w:w="6543" w:type="dxa"/>
        <w:jc w:val="center"/>
        <w:tblLook w:val="04A0"/>
      </w:tblPr>
      <w:tblGrid>
        <w:gridCol w:w="3088"/>
        <w:gridCol w:w="3455"/>
      </w:tblGrid>
      <w:tr w:rsidR="0081412D" w:rsidRPr="0081412D" w:rsidTr="00D657DD">
        <w:trPr>
          <w:trHeight w:val="515"/>
          <w:jc w:val="center"/>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412D" w:rsidRPr="0081412D" w:rsidRDefault="0081412D" w:rsidP="005C5D11">
            <w:pPr>
              <w:widowControl/>
              <w:jc w:val="center"/>
              <w:rPr>
                <w:rFonts w:asciiTheme="minorEastAsia" w:hAnsiTheme="minorEastAsia" w:cs="宋体"/>
                <w:b/>
                <w:bCs/>
                <w:kern w:val="0"/>
                <w:sz w:val="24"/>
                <w:szCs w:val="24"/>
              </w:rPr>
            </w:pPr>
            <w:r w:rsidRPr="0081412D">
              <w:rPr>
                <w:rFonts w:asciiTheme="minorEastAsia" w:hAnsiTheme="minorEastAsia" w:cs="宋体" w:hint="eastAsia"/>
                <w:b/>
                <w:bCs/>
                <w:kern w:val="0"/>
                <w:sz w:val="24"/>
                <w:szCs w:val="24"/>
              </w:rPr>
              <w:t>持有时间D（天）</w:t>
            </w:r>
          </w:p>
        </w:tc>
        <w:tc>
          <w:tcPr>
            <w:tcW w:w="3455" w:type="dxa"/>
            <w:tcBorders>
              <w:top w:val="single" w:sz="4" w:space="0" w:color="auto"/>
              <w:left w:val="nil"/>
              <w:bottom w:val="single" w:sz="4" w:space="0" w:color="auto"/>
              <w:right w:val="single" w:sz="4" w:space="0" w:color="auto"/>
            </w:tcBorders>
            <w:shd w:val="clear" w:color="auto" w:fill="auto"/>
            <w:noWrap/>
            <w:vAlign w:val="center"/>
            <w:hideMark/>
          </w:tcPr>
          <w:p w:rsidR="0081412D" w:rsidRPr="0081412D" w:rsidRDefault="0081412D" w:rsidP="005C5D11">
            <w:pPr>
              <w:widowControl/>
              <w:jc w:val="center"/>
              <w:rPr>
                <w:rFonts w:asciiTheme="minorEastAsia" w:hAnsiTheme="minorEastAsia" w:cs="宋体"/>
                <w:b/>
                <w:bCs/>
                <w:kern w:val="0"/>
                <w:sz w:val="24"/>
                <w:szCs w:val="24"/>
              </w:rPr>
            </w:pPr>
            <w:r w:rsidRPr="0081412D">
              <w:rPr>
                <w:rFonts w:asciiTheme="minorEastAsia" w:hAnsiTheme="minorEastAsia" w:cs="宋体" w:hint="eastAsia"/>
                <w:b/>
                <w:bCs/>
                <w:kern w:val="0"/>
                <w:sz w:val="24"/>
                <w:szCs w:val="24"/>
              </w:rPr>
              <w:t>赎回费率</w:t>
            </w:r>
          </w:p>
        </w:tc>
      </w:tr>
      <w:tr w:rsidR="00953905" w:rsidRPr="0081412D" w:rsidTr="00D657DD">
        <w:trPr>
          <w:trHeight w:val="265"/>
          <w:jc w:val="center"/>
        </w:trPr>
        <w:tc>
          <w:tcPr>
            <w:tcW w:w="3088" w:type="dxa"/>
            <w:tcBorders>
              <w:top w:val="single" w:sz="4" w:space="0" w:color="auto"/>
              <w:left w:val="single" w:sz="4" w:space="0" w:color="auto"/>
              <w:bottom w:val="single" w:sz="4" w:space="0" w:color="auto"/>
              <w:right w:val="single" w:sz="4" w:space="0" w:color="auto"/>
            </w:tcBorders>
            <w:shd w:val="clear" w:color="auto" w:fill="auto"/>
            <w:noWrap/>
            <w:hideMark/>
          </w:tcPr>
          <w:p w:rsidR="00953905" w:rsidRPr="00953905" w:rsidRDefault="00953905" w:rsidP="005C5D11">
            <w:pPr>
              <w:widowControl/>
              <w:jc w:val="center"/>
              <w:rPr>
                <w:rFonts w:asciiTheme="minorEastAsia" w:hAnsiTheme="minorEastAsia" w:cs="宋体"/>
                <w:kern w:val="0"/>
                <w:sz w:val="24"/>
                <w:szCs w:val="24"/>
              </w:rPr>
            </w:pPr>
            <w:r w:rsidRPr="00953905">
              <w:rPr>
                <w:rFonts w:asciiTheme="minorEastAsia" w:hAnsiTheme="minorEastAsia"/>
                <w:sz w:val="24"/>
                <w:szCs w:val="24"/>
              </w:rPr>
              <w:t>D&lt;7</w:t>
            </w:r>
          </w:p>
        </w:tc>
        <w:tc>
          <w:tcPr>
            <w:tcW w:w="3455" w:type="dxa"/>
            <w:tcBorders>
              <w:top w:val="single" w:sz="4" w:space="0" w:color="auto"/>
              <w:left w:val="nil"/>
              <w:bottom w:val="single" w:sz="4" w:space="0" w:color="auto"/>
              <w:right w:val="single" w:sz="4" w:space="0" w:color="auto"/>
            </w:tcBorders>
            <w:shd w:val="clear" w:color="auto" w:fill="auto"/>
            <w:noWrap/>
            <w:hideMark/>
          </w:tcPr>
          <w:p w:rsidR="00953905" w:rsidRPr="00953905" w:rsidRDefault="00953905" w:rsidP="005C5D11">
            <w:pPr>
              <w:widowControl/>
              <w:jc w:val="center"/>
              <w:rPr>
                <w:rFonts w:asciiTheme="minorEastAsia" w:hAnsiTheme="minorEastAsia" w:cs="宋体"/>
                <w:kern w:val="0"/>
                <w:sz w:val="24"/>
                <w:szCs w:val="24"/>
              </w:rPr>
            </w:pPr>
            <w:r w:rsidRPr="00953905">
              <w:rPr>
                <w:rFonts w:asciiTheme="minorEastAsia" w:hAnsiTheme="minorEastAsia"/>
                <w:sz w:val="24"/>
                <w:szCs w:val="24"/>
              </w:rPr>
              <w:t>1.50%</w:t>
            </w:r>
          </w:p>
        </w:tc>
      </w:tr>
      <w:tr w:rsidR="00953905" w:rsidRPr="0081412D" w:rsidTr="00D657DD">
        <w:trPr>
          <w:trHeight w:val="265"/>
          <w:jc w:val="center"/>
        </w:trPr>
        <w:tc>
          <w:tcPr>
            <w:tcW w:w="3088" w:type="dxa"/>
            <w:tcBorders>
              <w:top w:val="single" w:sz="4" w:space="0" w:color="auto"/>
              <w:left w:val="single" w:sz="4" w:space="0" w:color="auto"/>
              <w:bottom w:val="single" w:sz="4" w:space="0" w:color="auto"/>
              <w:right w:val="single" w:sz="4" w:space="0" w:color="auto"/>
            </w:tcBorders>
            <w:shd w:val="clear" w:color="auto" w:fill="auto"/>
            <w:noWrap/>
            <w:hideMark/>
          </w:tcPr>
          <w:p w:rsidR="00953905" w:rsidRPr="00953905" w:rsidRDefault="00953905" w:rsidP="005C5D11">
            <w:pPr>
              <w:widowControl/>
              <w:jc w:val="center"/>
              <w:rPr>
                <w:rFonts w:asciiTheme="minorEastAsia" w:hAnsiTheme="minorEastAsia" w:cs="宋体"/>
                <w:kern w:val="0"/>
                <w:sz w:val="24"/>
                <w:szCs w:val="24"/>
              </w:rPr>
            </w:pPr>
            <w:r w:rsidRPr="00953905">
              <w:rPr>
                <w:rFonts w:asciiTheme="minorEastAsia" w:hAnsiTheme="minorEastAsia" w:hint="eastAsia"/>
                <w:sz w:val="24"/>
                <w:szCs w:val="24"/>
              </w:rPr>
              <w:t>7≤D＜30</w:t>
            </w:r>
          </w:p>
        </w:tc>
        <w:tc>
          <w:tcPr>
            <w:tcW w:w="3455" w:type="dxa"/>
            <w:tcBorders>
              <w:top w:val="single" w:sz="4" w:space="0" w:color="auto"/>
              <w:left w:val="nil"/>
              <w:bottom w:val="single" w:sz="4" w:space="0" w:color="auto"/>
              <w:right w:val="single" w:sz="4" w:space="0" w:color="auto"/>
            </w:tcBorders>
            <w:shd w:val="clear" w:color="auto" w:fill="auto"/>
            <w:noWrap/>
            <w:hideMark/>
          </w:tcPr>
          <w:p w:rsidR="00953905" w:rsidRPr="00953905" w:rsidRDefault="00953905" w:rsidP="005C5D11">
            <w:pPr>
              <w:widowControl/>
              <w:jc w:val="center"/>
              <w:rPr>
                <w:rFonts w:asciiTheme="minorEastAsia" w:hAnsiTheme="minorEastAsia" w:cs="宋体"/>
                <w:kern w:val="0"/>
                <w:sz w:val="24"/>
                <w:szCs w:val="24"/>
              </w:rPr>
            </w:pPr>
            <w:r w:rsidRPr="00953905">
              <w:rPr>
                <w:rFonts w:asciiTheme="minorEastAsia" w:hAnsiTheme="minorEastAsia" w:hint="eastAsia"/>
                <w:sz w:val="24"/>
                <w:szCs w:val="24"/>
              </w:rPr>
              <w:t>0.75%</w:t>
            </w:r>
          </w:p>
        </w:tc>
      </w:tr>
      <w:tr w:rsidR="00953905" w:rsidRPr="0081412D" w:rsidTr="00D657DD">
        <w:trPr>
          <w:trHeight w:val="265"/>
          <w:jc w:val="center"/>
        </w:trPr>
        <w:tc>
          <w:tcPr>
            <w:tcW w:w="3088" w:type="dxa"/>
            <w:tcBorders>
              <w:top w:val="single" w:sz="4" w:space="0" w:color="auto"/>
              <w:left w:val="single" w:sz="4" w:space="0" w:color="auto"/>
              <w:bottom w:val="single" w:sz="4" w:space="0" w:color="auto"/>
              <w:right w:val="single" w:sz="4" w:space="0" w:color="auto"/>
            </w:tcBorders>
            <w:shd w:val="clear" w:color="auto" w:fill="auto"/>
            <w:noWrap/>
            <w:hideMark/>
          </w:tcPr>
          <w:p w:rsidR="00953905" w:rsidRPr="00953905" w:rsidRDefault="00953905" w:rsidP="005C5D11">
            <w:pPr>
              <w:widowControl/>
              <w:jc w:val="center"/>
              <w:rPr>
                <w:rFonts w:asciiTheme="minorEastAsia" w:hAnsiTheme="minorEastAsia" w:cs="宋体"/>
                <w:kern w:val="0"/>
                <w:sz w:val="24"/>
                <w:szCs w:val="24"/>
              </w:rPr>
            </w:pPr>
            <w:r w:rsidRPr="00953905">
              <w:rPr>
                <w:rFonts w:asciiTheme="minorEastAsia" w:hAnsiTheme="minorEastAsia" w:hint="eastAsia"/>
                <w:sz w:val="24"/>
                <w:szCs w:val="24"/>
              </w:rPr>
              <w:t>30≤D＜366</w:t>
            </w:r>
          </w:p>
        </w:tc>
        <w:tc>
          <w:tcPr>
            <w:tcW w:w="3455" w:type="dxa"/>
            <w:tcBorders>
              <w:top w:val="single" w:sz="4" w:space="0" w:color="auto"/>
              <w:left w:val="nil"/>
              <w:bottom w:val="single" w:sz="4" w:space="0" w:color="auto"/>
              <w:right w:val="single" w:sz="4" w:space="0" w:color="auto"/>
            </w:tcBorders>
            <w:shd w:val="clear" w:color="auto" w:fill="auto"/>
            <w:noWrap/>
            <w:hideMark/>
          </w:tcPr>
          <w:p w:rsidR="00953905" w:rsidRPr="00953905" w:rsidRDefault="00953905" w:rsidP="005C5D11">
            <w:pPr>
              <w:widowControl/>
              <w:jc w:val="center"/>
              <w:rPr>
                <w:rFonts w:asciiTheme="minorEastAsia" w:hAnsiTheme="minorEastAsia" w:cs="宋体"/>
                <w:kern w:val="0"/>
                <w:sz w:val="24"/>
                <w:szCs w:val="24"/>
              </w:rPr>
            </w:pPr>
            <w:r w:rsidRPr="00953905">
              <w:rPr>
                <w:rFonts w:asciiTheme="minorEastAsia" w:hAnsiTheme="minorEastAsia" w:hint="eastAsia"/>
                <w:sz w:val="24"/>
                <w:szCs w:val="24"/>
              </w:rPr>
              <w:t>0.50%</w:t>
            </w:r>
          </w:p>
        </w:tc>
      </w:tr>
      <w:tr w:rsidR="00953905" w:rsidRPr="0081412D" w:rsidTr="00D657DD">
        <w:trPr>
          <w:trHeight w:val="265"/>
          <w:jc w:val="center"/>
        </w:trPr>
        <w:tc>
          <w:tcPr>
            <w:tcW w:w="3088" w:type="dxa"/>
            <w:tcBorders>
              <w:top w:val="single" w:sz="4" w:space="0" w:color="auto"/>
              <w:left w:val="single" w:sz="4" w:space="0" w:color="auto"/>
              <w:bottom w:val="single" w:sz="4" w:space="0" w:color="auto"/>
              <w:right w:val="single" w:sz="4" w:space="0" w:color="auto"/>
            </w:tcBorders>
            <w:shd w:val="clear" w:color="auto" w:fill="auto"/>
            <w:noWrap/>
          </w:tcPr>
          <w:p w:rsidR="00953905" w:rsidRPr="00953905" w:rsidRDefault="00953905" w:rsidP="005C5D11">
            <w:pPr>
              <w:widowControl/>
              <w:jc w:val="center"/>
              <w:rPr>
                <w:rFonts w:asciiTheme="minorEastAsia" w:hAnsiTheme="minorEastAsia"/>
                <w:sz w:val="24"/>
                <w:szCs w:val="24"/>
              </w:rPr>
            </w:pPr>
            <w:r w:rsidRPr="00953905">
              <w:rPr>
                <w:rFonts w:asciiTheme="minorEastAsia" w:hAnsiTheme="minorEastAsia" w:hint="eastAsia"/>
                <w:sz w:val="24"/>
                <w:szCs w:val="24"/>
              </w:rPr>
              <w:t>366≤D＜731</w:t>
            </w:r>
          </w:p>
        </w:tc>
        <w:tc>
          <w:tcPr>
            <w:tcW w:w="3455" w:type="dxa"/>
            <w:tcBorders>
              <w:top w:val="single" w:sz="4" w:space="0" w:color="auto"/>
              <w:left w:val="nil"/>
              <w:bottom w:val="single" w:sz="4" w:space="0" w:color="auto"/>
              <w:right w:val="single" w:sz="4" w:space="0" w:color="auto"/>
            </w:tcBorders>
            <w:shd w:val="clear" w:color="auto" w:fill="auto"/>
            <w:noWrap/>
          </w:tcPr>
          <w:p w:rsidR="00953905" w:rsidRPr="00953905" w:rsidRDefault="00953905" w:rsidP="005C5D11">
            <w:pPr>
              <w:widowControl/>
              <w:jc w:val="center"/>
              <w:rPr>
                <w:rFonts w:asciiTheme="minorEastAsia" w:hAnsiTheme="minorEastAsia"/>
                <w:sz w:val="24"/>
                <w:szCs w:val="24"/>
              </w:rPr>
            </w:pPr>
            <w:r w:rsidRPr="00953905">
              <w:rPr>
                <w:rFonts w:asciiTheme="minorEastAsia" w:hAnsiTheme="minorEastAsia" w:hint="eastAsia"/>
                <w:sz w:val="24"/>
                <w:szCs w:val="24"/>
              </w:rPr>
              <w:t>0.25%</w:t>
            </w:r>
          </w:p>
        </w:tc>
      </w:tr>
      <w:tr w:rsidR="00953905" w:rsidRPr="0081412D" w:rsidTr="00D657DD">
        <w:trPr>
          <w:trHeight w:val="265"/>
          <w:jc w:val="center"/>
        </w:trPr>
        <w:tc>
          <w:tcPr>
            <w:tcW w:w="3088" w:type="dxa"/>
            <w:tcBorders>
              <w:top w:val="single" w:sz="4" w:space="0" w:color="auto"/>
              <w:left w:val="single" w:sz="4" w:space="0" w:color="auto"/>
              <w:bottom w:val="single" w:sz="4" w:space="0" w:color="auto"/>
              <w:right w:val="single" w:sz="4" w:space="0" w:color="auto"/>
            </w:tcBorders>
            <w:shd w:val="clear" w:color="auto" w:fill="auto"/>
            <w:noWrap/>
          </w:tcPr>
          <w:p w:rsidR="00953905" w:rsidRPr="00953905" w:rsidRDefault="00953905" w:rsidP="005C5D11">
            <w:pPr>
              <w:widowControl/>
              <w:jc w:val="center"/>
              <w:rPr>
                <w:rFonts w:asciiTheme="minorEastAsia" w:hAnsiTheme="minorEastAsia"/>
                <w:sz w:val="24"/>
                <w:szCs w:val="24"/>
              </w:rPr>
            </w:pPr>
            <w:r w:rsidRPr="00953905">
              <w:rPr>
                <w:rFonts w:asciiTheme="minorEastAsia" w:hAnsiTheme="minorEastAsia" w:hint="eastAsia"/>
                <w:sz w:val="24"/>
                <w:szCs w:val="24"/>
              </w:rPr>
              <w:t>D≥731</w:t>
            </w:r>
          </w:p>
        </w:tc>
        <w:tc>
          <w:tcPr>
            <w:tcW w:w="3455" w:type="dxa"/>
            <w:tcBorders>
              <w:top w:val="single" w:sz="4" w:space="0" w:color="auto"/>
              <w:left w:val="nil"/>
              <w:bottom w:val="single" w:sz="4" w:space="0" w:color="auto"/>
              <w:right w:val="single" w:sz="4" w:space="0" w:color="auto"/>
            </w:tcBorders>
            <w:shd w:val="clear" w:color="auto" w:fill="auto"/>
            <w:noWrap/>
          </w:tcPr>
          <w:p w:rsidR="00953905" w:rsidRPr="00953905" w:rsidRDefault="00953905" w:rsidP="005C5D11">
            <w:pPr>
              <w:widowControl/>
              <w:jc w:val="center"/>
              <w:rPr>
                <w:rFonts w:asciiTheme="minorEastAsia" w:hAnsiTheme="minorEastAsia"/>
                <w:sz w:val="24"/>
                <w:szCs w:val="24"/>
              </w:rPr>
            </w:pPr>
            <w:r w:rsidRPr="00953905">
              <w:rPr>
                <w:rFonts w:asciiTheme="minorEastAsia" w:hAnsiTheme="minorEastAsia" w:hint="eastAsia"/>
                <w:sz w:val="24"/>
                <w:szCs w:val="24"/>
              </w:rPr>
              <w:t>0</w:t>
            </w:r>
          </w:p>
        </w:tc>
      </w:tr>
    </w:tbl>
    <w:p w:rsidR="004172CF" w:rsidRPr="008D352B" w:rsidRDefault="00FD53BC" w:rsidP="004172CF">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注：</w:t>
      </w:r>
      <w:r w:rsidR="004172CF" w:rsidRPr="008D352B">
        <w:rPr>
          <w:rFonts w:ascii="宋体" w:eastAsia="宋体" w:hAnsi="宋体" w:cs="Arial"/>
          <w:color w:val="000000" w:themeColor="text1"/>
          <w:kern w:val="0"/>
          <w:sz w:val="24"/>
          <w:szCs w:val="24"/>
        </w:rPr>
        <w:t>赎回总金额=赎回份额</w:t>
      </w:r>
      <w:r w:rsidR="004172CF" w:rsidRPr="008D352B">
        <w:rPr>
          <w:rFonts w:ascii="宋体" w:eastAsia="宋体" w:hAnsi="宋体" w:cs="Arial"/>
          <w:color w:val="000000" w:themeColor="text1"/>
          <w:kern w:val="0"/>
          <w:sz w:val="24"/>
          <w:szCs w:val="24"/>
        </w:rPr>
        <w:sym w:font="Symbol" w:char="F0B4"/>
      </w:r>
      <w:r w:rsidR="004172CF" w:rsidRPr="008D352B">
        <w:rPr>
          <w:rFonts w:ascii="宋体" w:eastAsia="宋体" w:hAnsi="宋体" w:cs="Arial"/>
          <w:color w:val="000000" w:themeColor="text1"/>
          <w:kern w:val="0"/>
          <w:sz w:val="24"/>
          <w:szCs w:val="24"/>
        </w:rPr>
        <w:t>赎回当日基金份额净值</w:t>
      </w:r>
    </w:p>
    <w:p w:rsidR="004172CF" w:rsidRPr="008D352B" w:rsidRDefault="004172CF" w:rsidP="004172CF">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D352B">
        <w:rPr>
          <w:rFonts w:ascii="宋体" w:eastAsia="宋体" w:hAnsi="宋体" w:cs="Arial"/>
          <w:color w:val="000000" w:themeColor="text1"/>
          <w:kern w:val="0"/>
          <w:sz w:val="24"/>
          <w:szCs w:val="24"/>
        </w:rPr>
        <w:t>赎回费用=赎回总金额</w:t>
      </w:r>
      <w:r w:rsidRPr="008D352B">
        <w:rPr>
          <w:rFonts w:ascii="宋体" w:eastAsia="宋体" w:hAnsi="宋体" w:cs="Arial"/>
          <w:color w:val="000000" w:themeColor="text1"/>
          <w:kern w:val="0"/>
          <w:sz w:val="24"/>
          <w:szCs w:val="24"/>
        </w:rPr>
        <w:sym w:font="Symbol" w:char="F0B4"/>
      </w:r>
      <w:r w:rsidRPr="008D352B">
        <w:rPr>
          <w:rFonts w:ascii="宋体" w:eastAsia="宋体" w:hAnsi="宋体" w:cs="Arial"/>
          <w:color w:val="000000" w:themeColor="text1"/>
          <w:kern w:val="0"/>
          <w:sz w:val="24"/>
          <w:szCs w:val="24"/>
        </w:rPr>
        <w:t>赎回费率</w:t>
      </w:r>
    </w:p>
    <w:p w:rsidR="004172CF" w:rsidRPr="008D352B" w:rsidRDefault="004172CF" w:rsidP="004172CF">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D352B">
        <w:rPr>
          <w:rFonts w:ascii="宋体" w:eastAsia="宋体" w:hAnsi="宋体" w:cs="Arial"/>
          <w:color w:val="000000" w:themeColor="text1"/>
          <w:kern w:val="0"/>
          <w:sz w:val="24"/>
          <w:szCs w:val="24"/>
        </w:rPr>
        <w:t>赎回金额=赎回总金额</w:t>
      </w:r>
      <w:r w:rsidRPr="008D352B">
        <w:rPr>
          <w:rFonts w:ascii="宋体" w:eastAsia="宋体" w:hAnsi="宋体" w:cs="Arial"/>
          <w:color w:val="000000" w:themeColor="text1"/>
          <w:kern w:val="0"/>
          <w:sz w:val="24"/>
          <w:szCs w:val="24"/>
        </w:rPr>
        <w:sym w:font="Symbol" w:char="F02D"/>
      </w:r>
      <w:r w:rsidRPr="008D352B">
        <w:rPr>
          <w:rFonts w:ascii="宋体" w:eastAsia="宋体" w:hAnsi="宋体" w:cs="Arial"/>
          <w:color w:val="000000" w:themeColor="text1"/>
          <w:kern w:val="0"/>
          <w:sz w:val="24"/>
          <w:szCs w:val="24"/>
        </w:rPr>
        <w:t>赎回费用</w:t>
      </w:r>
    </w:p>
    <w:p w:rsidR="00FD53BC" w:rsidRPr="008B1F27" w:rsidRDefault="00FD53BC" w:rsidP="0081412D">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4.3其他与赎回相关的事项</w:t>
      </w:r>
    </w:p>
    <w:p w:rsidR="0081412D" w:rsidRPr="0081412D" w:rsidRDefault="0081412D"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1412D">
        <w:rPr>
          <w:rFonts w:ascii="宋体" w:eastAsia="宋体" w:hAnsi="宋体" w:cs="Arial" w:hint="eastAsia"/>
          <w:color w:val="000000" w:themeColor="text1"/>
          <w:kern w:val="0"/>
          <w:sz w:val="24"/>
          <w:szCs w:val="24"/>
        </w:rPr>
        <w:t>基金管理人应以交易时间结束前受理有效赎回申请的当天作为赎回申请日(T日)，在正常情况下，本基金登记机构在T+2日内对该交易的有效性进行确认。T日提交的有效申请，投资人应在T+3日后(包括该日)及时到销售网点柜台或以销售机构规定的其他方式查询申请的确认情况。</w:t>
      </w:r>
    </w:p>
    <w:p w:rsidR="0081412D" w:rsidRDefault="0081412D"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1412D">
        <w:rPr>
          <w:rFonts w:ascii="宋体" w:eastAsia="宋体" w:hAnsi="宋体" w:cs="Arial" w:hint="eastAsia"/>
          <w:color w:val="000000" w:themeColor="text1"/>
          <w:kern w:val="0"/>
          <w:sz w:val="24"/>
          <w:szCs w:val="24"/>
        </w:rPr>
        <w:t>销售机构对赎回申请的受理并不代表申请一定成功，而仅代表销售机构确实接收到该赎回申请。赎回申请的确认以登记机构的确认结果为准。对于申请的确认情况，投资人应及时查询并妥善行使合法权利。</w:t>
      </w:r>
    </w:p>
    <w:p w:rsidR="00FD53BC" w:rsidRPr="006C3B53"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赎回以份额申请，遵循“未知价”原则，即赎回价格</w:t>
      </w:r>
      <w:r w:rsidR="006C3B53">
        <w:rPr>
          <w:rFonts w:ascii="宋体" w:eastAsia="宋体" w:hAnsi="宋体" w:cs="Arial" w:hint="eastAsia"/>
          <w:color w:val="000000" w:themeColor="text1"/>
          <w:kern w:val="0"/>
          <w:sz w:val="24"/>
          <w:szCs w:val="24"/>
        </w:rPr>
        <w:t>以申请当日的基金份额净值为基准</w:t>
      </w:r>
      <w:r w:rsidRPr="008B1F27">
        <w:rPr>
          <w:rFonts w:ascii="宋体" w:eastAsia="宋体" w:hAnsi="宋体" w:cs="Arial"/>
          <w:color w:val="000000" w:themeColor="text1"/>
          <w:kern w:val="0"/>
          <w:sz w:val="24"/>
          <w:szCs w:val="24"/>
        </w:rPr>
        <w:t>进行计算。</w:t>
      </w:r>
    </w:p>
    <w:p w:rsidR="00FD53BC" w:rsidRPr="008B1F27" w:rsidRDefault="00707B63" w:rsidP="00707B63">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赎回遵循“先进先出”原则，即按照投资人认购、申购的先后次序进行顺序赎回</w:t>
      </w:r>
      <w:r w:rsidR="00FD53BC" w:rsidRPr="008B1F27">
        <w:rPr>
          <w:rFonts w:ascii="宋体" w:eastAsia="宋体" w:hAnsi="宋体" w:cs="Arial"/>
          <w:color w:val="000000" w:themeColor="text1"/>
          <w:kern w:val="0"/>
          <w:sz w:val="24"/>
          <w:szCs w:val="24"/>
        </w:rPr>
        <w:t>。</w:t>
      </w:r>
    </w:p>
    <w:p w:rsidR="002157D9" w:rsidRPr="008B1F27" w:rsidRDefault="002157D9" w:rsidP="002157D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投资人在提交赎回申请时须持有足够的基金份额余额，否则所提交的赎回申请不成立。</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当日的赎回申请可以在基金管理人规定的时间以内撤销。</w:t>
      </w:r>
    </w:p>
    <w:p w:rsidR="00EC0026" w:rsidRPr="008B1F27" w:rsidRDefault="0081412D"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1412D">
        <w:rPr>
          <w:rFonts w:ascii="宋体" w:eastAsia="宋体" w:hAnsi="宋体" w:cs="Arial" w:hint="eastAsia"/>
          <w:color w:val="000000" w:themeColor="text1"/>
          <w:kern w:val="0"/>
          <w:sz w:val="24"/>
          <w:szCs w:val="24"/>
        </w:rPr>
        <w:t>投资人</w:t>
      </w:r>
      <w:r>
        <w:rPr>
          <w:rFonts w:ascii="宋体" w:eastAsia="宋体" w:hAnsi="宋体" w:cs="Arial" w:hint="eastAsia"/>
          <w:color w:val="000000" w:themeColor="text1"/>
          <w:kern w:val="0"/>
          <w:sz w:val="24"/>
          <w:szCs w:val="24"/>
        </w:rPr>
        <w:t>T日</w:t>
      </w:r>
      <w:r w:rsidRPr="0081412D">
        <w:rPr>
          <w:rFonts w:ascii="宋体" w:eastAsia="宋体" w:hAnsi="宋体" w:cs="Arial" w:hint="eastAsia"/>
          <w:color w:val="000000" w:themeColor="text1"/>
          <w:kern w:val="0"/>
          <w:sz w:val="24"/>
          <w:szCs w:val="24"/>
        </w:rPr>
        <w:t>赎回申请成功后，基金管理人不迟于接受赎回申请后T</w:t>
      </w:r>
      <w:r w:rsidR="007C470C" w:rsidRPr="007C470C">
        <w:rPr>
          <w:rFonts w:ascii="宋体" w:eastAsia="宋体" w:hAnsi="宋体" w:cs="Arial"/>
          <w:color w:val="000000" w:themeColor="text1"/>
          <w:kern w:val="0"/>
          <w:sz w:val="24"/>
          <w:szCs w:val="24"/>
        </w:rPr>
        <w:t>+</w:t>
      </w:r>
      <w:r w:rsidRPr="0081412D">
        <w:rPr>
          <w:rFonts w:ascii="宋体" w:eastAsia="宋体" w:hAnsi="宋体" w:cs="Arial" w:hint="eastAsia"/>
          <w:color w:val="000000" w:themeColor="text1"/>
          <w:kern w:val="0"/>
          <w:sz w:val="24"/>
          <w:szCs w:val="24"/>
        </w:rPr>
        <w:t>7日(包括该日)支付赎回款项。在发生巨额赎回或基金合同载明的其他暂停赎回或者延缓支付赎回款项的情形时，款项的支付办法参照基金合同有关条款处理。</w:t>
      </w:r>
    </w:p>
    <w:p w:rsidR="00A9575C" w:rsidRPr="008B1F27" w:rsidRDefault="00A9575C" w:rsidP="00A9575C">
      <w:pPr>
        <w:widowControl/>
        <w:shd w:val="clear" w:color="auto" w:fill="FFFFFF"/>
        <w:adjustRightInd w:val="0"/>
        <w:snapToGrid w:val="0"/>
        <w:spacing w:line="360" w:lineRule="auto"/>
        <w:ind w:firstLineChars="200" w:firstLine="482"/>
        <w:rPr>
          <w:rFonts w:ascii="宋体" w:eastAsia="宋体" w:hAnsi="宋体" w:cs="Arial"/>
          <w:b/>
          <w:bCs/>
          <w:color w:val="000000" w:themeColor="text1"/>
          <w:kern w:val="0"/>
          <w:sz w:val="24"/>
          <w:szCs w:val="24"/>
        </w:rPr>
      </w:pPr>
      <w:r w:rsidRPr="008B1F27">
        <w:rPr>
          <w:rFonts w:ascii="宋体" w:eastAsia="宋体" w:hAnsi="宋体" w:cs="Arial" w:hint="eastAsia"/>
          <w:b/>
          <w:bCs/>
          <w:color w:val="000000" w:themeColor="text1"/>
          <w:kern w:val="0"/>
          <w:sz w:val="24"/>
          <w:szCs w:val="24"/>
        </w:rPr>
        <w:t>5.日常转换业务</w:t>
      </w:r>
    </w:p>
    <w:p w:rsidR="00261EE7" w:rsidRDefault="00261EE7" w:rsidP="00261EE7">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261EE7">
        <w:rPr>
          <w:rFonts w:ascii="宋体" w:eastAsia="宋体" w:hAnsi="宋体" w:cs="Arial" w:hint="eastAsia"/>
          <w:color w:val="000000" w:themeColor="text1"/>
          <w:kern w:val="0"/>
          <w:sz w:val="24"/>
          <w:szCs w:val="24"/>
        </w:rPr>
        <w:t>本基金暂不开通转换业务。</w:t>
      </w:r>
    </w:p>
    <w:p w:rsidR="00A9575C" w:rsidRPr="00261EE7" w:rsidRDefault="00261EE7" w:rsidP="00261EE7">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261EE7">
        <w:rPr>
          <w:rFonts w:ascii="宋体" w:eastAsia="宋体" w:hAnsi="宋体" w:cs="Arial" w:hint="eastAsia"/>
          <w:color w:val="000000" w:themeColor="text1"/>
          <w:kern w:val="0"/>
          <w:sz w:val="24"/>
          <w:szCs w:val="24"/>
        </w:rPr>
        <w:t>如本基金日后开通转换业务，本基金管理人届时将根据相关法律法规及本基</w:t>
      </w:r>
      <w:r>
        <w:rPr>
          <w:rFonts w:ascii="宋体" w:eastAsia="宋体" w:hAnsi="宋体" w:cs="Arial" w:hint="eastAsia"/>
          <w:color w:val="000000" w:themeColor="text1"/>
          <w:kern w:val="0"/>
          <w:sz w:val="24"/>
          <w:szCs w:val="24"/>
        </w:rPr>
        <w:t>金基金合同约定公告</w:t>
      </w:r>
      <w:r w:rsidR="00A9575C" w:rsidRPr="00261EE7">
        <w:rPr>
          <w:rFonts w:ascii="宋体" w:eastAsia="宋体" w:hAnsi="宋体" w:cs="Arial" w:hint="eastAsia"/>
          <w:color w:val="000000" w:themeColor="text1"/>
          <w:kern w:val="0"/>
          <w:sz w:val="24"/>
          <w:szCs w:val="24"/>
        </w:rPr>
        <w:t>。</w:t>
      </w:r>
    </w:p>
    <w:p w:rsidR="00FD53BC" w:rsidRPr="008B1F27" w:rsidRDefault="00A9575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6</w:t>
      </w:r>
      <w:r w:rsidR="00C077CA" w:rsidRPr="008B1F27">
        <w:rPr>
          <w:rFonts w:ascii="宋体" w:eastAsia="宋体" w:hAnsi="宋体" w:cs="Arial"/>
          <w:b/>
          <w:bCs/>
          <w:color w:val="000000" w:themeColor="text1"/>
          <w:kern w:val="0"/>
          <w:sz w:val="24"/>
          <w:szCs w:val="24"/>
        </w:rPr>
        <w:t>.</w:t>
      </w:r>
      <w:r w:rsidR="00FD53BC" w:rsidRPr="008B1F27">
        <w:rPr>
          <w:rFonts w:ascii="宋体" w:eastAsia="宋体" w:hAnsi="宋体" w:cs="Arial"/>
          <w:b/>
          <w:bCs/>
          <w:color w:val="000000" w:themeColor="text1"/>
          <w:kern w:val="0"/>
          <w:sz w:val="24"/>
          <w:szCs w:val="24"/>
        </w:rPr>
        <w:t>定期定额投资业务</w:t>
      </w:r>
    </w:p>
    <w:p w:rsidR="00FD53BC" w:rsidRDefault="003A40EB"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261EE7">
        <w:rPr>
          <w:rFonts w:ascii="宋体" w:eastAsia="宋体" w:hAnsi="宋体" w:cs="Arial" w:hint="eastAsia"/>
          <w:color w:val="000000" w:themeColor="text1"/>
          <w:kern w:val="0"/>
          <w:sz w:val="24"/>
          <w:szCs w:val="24"/>
        </w:rPr>
        <w:t>本基金暂不开通</w:t>
      </w:r>
      <w:r w:rsidRPr="003A40EB">
        <w:rPr>
          <w:rFonts w:ascii="宋体" w:eastAsia="宋体" w:hAnsi="宋体" w:cs="Arial" w:hint="eastAsia"/>
          <w:color w:val="000000" w:themeColor="text1"/>
          <w:kern w:val="0"/>
          <w:sz w:val="24"/>
          <w:szCs w:val="24"/>
        </w:rPr>
        <w:t>定期定额投资业务</w:t>
      </w:r>
      <w:r w:rsidR="00FD53BC" w:rsidRPr="008B1F27">
        <w:rPr>
          <w:rFonts w:ascii="宋体" w:eastAsia="宋体" w:hAnsi="宋体" w:cs="Arial"/>
          <w:color w:val="000000" w:themeColor="text1"/>
          <w:kern w:val="0"/>
          <w:sz w:val="24"/>
          <w:szCs w:val="24"/>
        </w:rPr>
        <w:t>。</w:t>
      </w:r>
    </w:p>
    <w:p w:rsidR="003A40EB" w:rsidRPr="008B1F27" w:rsidRDefault="003A40EB" w:rsidP="003A40E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3A40EB">
        <w:rPr>
          <w:rFonts w:ascii="宋体" w:eastAsia="宋体" w:hAnsi="宋体" w:cs="Arial" w:hint="eastAsia"/>
          <w:color w:val="000000" w:themeColor="text1"/>
          <w:kern w:val="0"/>
          <w:sz w:val="24"/>
          <w:szCs w:val="24"/>
        </w:rPr>
        <w:t>如本基金日后开通定期定额投资业务，本基金管理人届时将根据相关法律法规及本基金基金合同约定公告。</w:t>
      </w: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7</w:t>
      </w:r>
      <w:r w:rsidR="00FD53BC" w:rsidRPr="008B1F27">
        <w:rPr>
          <w:rFonts w:ascii="宋体" w:eastAsia="宋体" w:hAnsi="宋体" w:cs="Arial"/>
          <w:b/>
          <w:bCs/>
          <w:color w:val="000000" w:themeColor="text1"/>
          <w:kern w:val="0"/>
          <w:sz w:val="24"/>
          <w:szCs w:val="24"/>
        </w:rPr>
        <w:t>.基金销售机构</w:t>
      </w: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7</w:t>
      </w:r>
      <w:r w:rsidR="00B31DD9" w:rsidRPr="008B1F27">
        <w:rPr>
          <w:rFonts w:ascii="宋体" w:eastAsia="宋体" w:hAnsi="宋体" w:cs="Arial"/>
          <w:b/>
          <w:bCs/>
          <w:color w:val="000000" w:themeColor="text1"/>
          <w:kern w:val="0"/>
          <w:sz w:val="24"/>
          <w:szCs w:val="24"/>
        </w:rPr>
        <w:t>.1</w:t>
      </w:r>
      <w:r w:rsidR="00FD53BC" w:rsidRPr="008B1F27">
        <w:rPr>
          <w:rFonts w:ascii="宋体" w:eastAsia="宋体" w:hAnsi="宋体" w:cs="Arial"/>
          <w:b/>
          <w:bCs/>
          <w:color w:val="000000" w:themeColor="text1"/>
          <w:kern w:val="0"/>
          <w:sz w:val="24"/>
          <w:szCs w:val="24"/>
        </w:rPr>
        <w:t>直销机构</w:t>
      </w:r>
    </w:p>
    <w:p w:rsidR="000A365E" w:rsidRPr="008B1F27" w:rsidRDefault="000A365E" w:rsidP="000A365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（1）前海开源基金管理有限公司直销柜台</w:t>
      </w:r>
    </w:p>
    <w:p w:rsidR="000A365E" w:rsidRPr="008B1F27" w:rsidRDefault="000A365E" w:rsidP="000A365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办公地址：</w:t>
      </w:r>
      <w:r w:rsidR="0049683E" w:rsidRPr="008B1F27">
        <w:rPr>
          <w:rFonts w:ascii="宋体" w:eastAsia="宋体" w:hAnsi="宋体" w:cs="Arial" w:hint="eastAsia"/>
          <w:color w:val="000000" w:themeColor="text1"/>
          <w:kern w:val="0"/>
          <w:sz w:val="24"/>
          <w:szCs w:val="24"/>
        </w:rPr>
        <w:t>深圳市福田区深南大道7006号万科富春东方大厦10楼</w:t>
      </w:r>
    </w:p>
    <w:p w:rsidR="000A365E" w:rsidRPr="008B1F27" w:rsidRDefault="000A365E" w:rsidP="000A365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联系人：</w:t>
      </w:r>
      <w:r w:rsidR="00ED3F5A">
        <w:rPr>
          <w:rFonts w:ascii="宋体" w:eastAsia="宋体" w:hAnsi="宋体" w:cs="Arial" w:hint="eastAsia"/>
          <w:color w:val="000000" w:themeColor="text1"/>
          <w:kern w:val="0"/>
          <w:sz w:val="24"/>
          <w:szCs w:val="24"/>
        </w:rPr>
        <w:t>何凌</w:t>
      </w:r>
    </w:p>
    <w:p w:rsidR="000A365E" w:rsidRPr="008B1F27" w:rsidRDefault="000A365E" w:rsidP="000A365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电话：（0755）83181190</w:t>
      </w:r>
    </w:p>
    <w:p w:rsidR="000A365E" w:rsidRPr="008B1F27" w:rsidRDefault="000A365E" w:rsidP="000A365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传真：（0755）83180622</w:t>
      </w:r>
    </w:p>
    <w:p w:rsidR="000A365E" w:rsidRPr="008B1F27" w:rsidRDefault="000A365E" w:rsidP="000A365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（2）前海开源基金管理有限公司电子直销交易</w:t>
      </w:r>
    </w:p>
    <w:p w:rsidR="002F5D75" w:rsidRPr="002F5D75" w:rsidRDefault="002F5D75" w:rsidP="002F5D75">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2F5D75">
        <w:rPr>
          <w:rFonts w:ascii="宋体" w:eastAsia="宋体" w:hAnsi="宋体" w:cs="Arial" w:hint="eastAsia"/>
          <w:color w:val="000000" w:themeColor="text1"/>
          <w:kern w:val="0"/>
          <w:sz w:val="24"/>
          <w:szCs w:val="24"/>
        </w:rPr>
        <w:t>前海开源基金网上交易系统（http:// www.qhkyfund.com）</w:t>
      </w:r>
    </w:p>
    <w:p w:rsidR="00B7342A" w:rsidRPr="00B7342A" w:rsidRDefault="002F5D75" w:rsidP="00B7342A">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2F5D75">
        <w:rPr>
          <w:rFonts w:ascii="宋体" w:eastAsia="宋体" w:hAnsi="宋体" w:cs="Arial" w:hint="eastAsia"/>
          <w:color w:val="000000" w:themeColor="text1"/>
          <w:kern w:val="0"/>
          <w:sz w:val="24"/>
          <w:szCs w:val="24"/>
        </w:rPr>
        <w:t>前海开源基金微信小程序</w:t>
      </w:r>
    </w:p>
    <w:p w:rsidR="00A24075" w:rsidRDefault="00A9575C" w:rsidP="00021BEE">
      <w:pPr>
        <w:widowControl/>
        <w:shd w:val="clear" w:color="auto" w:fill="FFFFFF"/>
        <w:adjustRightInd w:val="0"/>
        <w:snapToGrid w:val="0"/>
        <w:spacing w:line="360" w:lineRule="auto"/>
        <w:ind w:firstLineChars="200" w:firstLine="482"/>
        <w:rPr>
          <w:rFonts w:ascii="宋体" w:eastAsia="宋体" w:hAnsi="宋体" w:cs="Arial"/>
          <w:b/>
          <w:bCs/>
          <w:color w:val="000000" w:themeColor="text1"/>
          <w:kern w:val="0"/>
          <w:sz w:val="24"/>
          <w:szCs w:val="24"/>
        </w:rPr>
      </w:pPr>
      <w:r w:rsidRPr="008B1F27">
        <w:rPr>
          <w:rFonts w:ascii="宋体" w:eastAsia="宋体" w:hAnsi="宋体" w:cs="Arial" w:hint="eastAsia"/>
          <w:b/>
          <w:bCs/>
          <w:color w:val="000000" w:themeColor="text1"/>
          <w:kern w:val="0"/>
          <w:sz w:val="24"/>
          <w:szCs w:val="24"/>
        </w:rPr>
        <w:t>7</w:t>
      </w:r>
      <w:r w:rsidR="00FD53BC" w:rsidRPr="008B1F27">
        <w:rPr>
          <w:rFonts w:ascii="宋体" w:eastAsia="宋体" w:hAnsi="宋体" w:cs="Arial"/>
          <w:b/>
          <w:bCs/>
          <w:color w:val="000000" w:themeColor="text1"/>
          <w:kern w:val="0"/>
          <w:sz w:val="24"/>
          <w:szCs w:val="24"/>
        </w:rPr>
        <w:t>.2代销机构</w:t>
      </w:r>
    </w:p>
    <w:p w:rsidR="001B2C59" w:rsidRDefault="001B2C59" w:rsidP="001B2C59">
      <w:pPr>
        <w:widowControl/>
        <w:shd w:val="clear" w:color="auto" w:fill="FFFFFF"/>
        <w:adjustRightInd w:val="0"/>
        <w:snapToGrid w:val="0"/>
        <w:spacing w:line="360" w:lineRule="auto"/>
        <w:ind w:firstLineChars="200" w:firstLine="480"/>
        <w:contextualSpacing/>
        <w:mirrorIndents/>
        <w:rPr>
          <w:rFonts w:ascii="宋体" w:eastAsia="宋体" w:hAnsi="宋体" w:cs="Arial"/>
          <w:color w:val="000000" w:themeColor="text1"/>
          <w:kern w:val="0"/>
          <w:sz w:val="24"/>
          <w:szCs w:val="24"/>
        </w:rPr>
      </w:pPr>
      <w:r>
        <w:rPr>
          <w:rFonts w:ascii="宋体" w:eastAsia="宋体" w:hAnsi="宋体" w:cs="Arial"/>
          <w:color w:val="000000" w:themeColor="text1"/>
          <w:kern w:val="0"/>
          <w:sz w:val="24"/>
          <w:szCs w:val="24"/>
        </w:rPr>
        <w:t>本基金代销机构信息详见基金管理人网站</w:t>
      </w:r>
      <w:r>
        <w:rPr>
          <w:rFonts w:ascii="宋体" w:eastAsia="宋体" w:hAnsi="宋体" w:cs="Arial" w:hint="eastAsia"/>
          <w:color w:val="000000" w:themeColor="text1"/>
          <w:kern w:val="0"/>
          <w:sz w:val="24"/>
          <w:szCs w:val="24"/>
        </w:rPr>
        <w:t>公示</w:t>
      </w:r>
      <w:r>
        <w:rPr>
          <w:rFonts w:ascii="宋体" w:eastAsia="宋体" w:hAnsi="宋体" w:cs="Arial"/>
          <w:color w:val="000000" w:themeColor="text1"/>
          <w:kern w:val="0"/>
          <w:sz w:val="24"/>
          <w:szCs w:val="24"/>
        </w:rPr>
        <w:t>，敬请投资者留意。</w:t>
      </w:r>
    </w:p>
    <w:p w:rsidR="0016018E" w:rsidRDefault="0016018E" w:rsidP="0016018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投资人可以通过本基金销售机构办理本基金申购、赎回</w:t>
      </w:r>
      <w:r>
        <w:rPr>
          <w:rFonts w:ascii="宋体" w:eastAsia="宋体" w:hAnsi="宋体" w:cs="Arial" w:hint="eastAsia"/>
          <w:color w:val="000000" w:themeColor="text1"/>
          <w:kern w:val="0"/>
          <w:sz w:val="24"/>
          <w:szCs w:val="24"/>
        </w:rPr>
        <w:t>业务</w:t>
      </w:r>
      <w:r w:rsidRPr="008B1F27">
        <w:rPr>
          <w:rFonts w:ascii="宋体" w:eastAsia="宋体" w:hAnsi="宋体" w:cs="Arial" w:hint="eastAsia"/>
          <w:color w:val="000000" w:themeColor="text1"/>
          <w:kern w:val="0"/>
          <w:sz w:val="24"/>
          <w:szCs w:val="24"/>
        </w:rPr>
        <w:t>。若增加新的直销网点或者新的代销机构，本基金管理人将及时</w:t>
      </w:r>
      <w:r w:rsidRPr="003B1CA4">
        <w:rPr>
          <w:rFonts w:ascii="宋体" w:eastAsia="宋体" w:hAnsi="宋体" w:cs="Arial" w:hint="eastAsia"/>
          <w:color w:val="000000" w:themeColor="text1"/>
          <w:kern w:val="0"/>
          <w:sz w:val="24"/>
          <w:szCs w:val="24"/>
        </w:rPr>
        <w:t>在网站公示</w:t>
      </w:r>
      <w:r w:rsidRPr="008B1F27">
        <w:rPr>
          <w:rFonts w:ascii="宋体" w:eastAsia="宋体" w:hAnsi="宋体" w:cs="Arial" w:hint="eastAsia"/>
          <w:color w:val="000000" w:themeColor="text1"/>
          <w:kern w:val="0"/>
          <w:sz w:val="24"/>
          <w:szCs w:val="24"/>
        </w:rPr>
        <w:t>。</w:t>
      </w: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8</w:t>
      </w:r>
      <w:r w:rsidR="00FD53BC" w:rsidRPr="008B1F27">
        <w:rPr>
          <w:rFonts w:ascii="宋体" w:eastAsia="宋体" w:hAnsi="宋体" w:cs="Arial"/>
          <w:b/>
          <w:bCs/>
          <w:color w:val="000000" w:themeColor="text1"/>
          <w:kern w:val="0"/>
          <w:sz w:val="24"/>
          <w:szCs w:val="24"/>
        </w:rPr>
        <w:t>.基金份额净值公告/基金收益公告的披露安排</w:t>
      </w:r>
    </w:p>
    <w:p w:rsidR="009F0C95" w:rsidRDefault="009F0C95" w:rsidP="00953905">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bookmarkStart w:id="2" w:name="t_2_8_2756_a1_fm1"/>
      <w:bookmarkEnd w:id="2"/>
      <w:r>
        <w:rPr>
          <w:bCs/>
          <w:sz w:val="24"/>
        </w:rPr>
        <w:t>在</w:t>
      </w:r>
      <w:r>
        <w:rPr>
          <w:rFonts w:hint="eastAsia"/>
          <w:bCs/>
          <w:sz w:val="24"/>
        </w:rPr>
        <w:t>本基金的封闭期内</w:t>
      </w:r>
      <w:r>
        <w:rPr>
          <w:bCs/>
          <w:sz w:val="24"/>
        </w:rPr>
        <w:t>，基金管理人应当至少每周</w:t>
      </w:r>
      <w:r>
        <w:rPr>
          <w:rFonts w:hint="eastAsia"/>
          <w:bCs/>
          <w:sz w:val="24"/>
        </w:rPr>
        <w:t>在</w:t>
      </w:r>
      <w:r w:rsidRPr="004E6013">
        <w:rPr>
          <w:rFonts w:ascii="宋体" w:eastAsia="宋体" w:hAnsi="宋体" w:cs="Arial" w:hint="eastAsia"/>
          <w:color w:val="000000" w:themeColor="text1"/>
          <w:kern w:val="0"/>
          <w:sz w:val="24"/>
          <w:szCs w:val="24"/>
        </w:rPr>
        <w:t>规定</w:t>
      </w:r>
      <w:r w:rsidRPr="003777BF">
        <w:rPr>
          <w:bCs/>
          <w:sz w:val="24"/>
        </w:rPr>
        <w:t>网站披露</w:t>
      </w:r>
      <w:r>
        <w:rPr>
          <w:bCs/>
          <w:sz w:val="24"/>
        </w:rPr>
        <w:t>一次基金份额净值</w:t>
      </w:r>
      <w:r w:rsidRPr="003777BF">
        <w:rPr>
          <w:bCs/>
          <w:sz w:val="24"/>
        </w:rPr>
        <w:t>和基金份额累计净值</w:t>
      </w:r>
      <w:r>
        <w:rPr>
          <w:bCs/>
          <w:sz w:val="24"/>
        </w:rPr>
        <w:t>。</w:t>
      </w:r>
    </w:p>
    <w:p w:rsidR="00953905" w:rsidRPr="00953905" w:rsidRDefault="00953905" w:rsidP="00953905">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53905">
        <w:rPr>
          <w:rFonts w:ascii="宋体" w:eastAsia="宋体" w:hAnsi="宋体" w:cs="Arial" w:hint="eastAsia"/>
          <w:color w:val="000000" w:themeColor="text1"/>
          <w:kern w:val="0"/>
          <w:sz w:val="24"/>
          <w:szCs w:val="24"/>
        </w:rPr>
        <w:t>在开放期内，基金管理人在</w:t>
      </w:r>
      <w:r w:rsidR="0012416B" w:rsidRPr="0012416B">
        <w:rPr>
          <w:rFonts w:ascii="宋体" w:eastAsia="宋体" w:hAnsi="宋体" w:cs="Arial" w:hint="eastAsia"/>
          <w:color w:val="000000" w:themeColor="text1"/>
          <w:kern w:val="0"/>
          <w:sz w:val="24"/>
          <w:szCs w:val="24"/>
        </w:rPr>
        <w:t>不晚于</w:t>
      </w:r>
      <w:r w:rsidRPr="00953905">
        <w:rPr>
          <w:rFonts w:ascii="宋体" w:eastAsia="宋体" w:hAnsi="宋体" w:cs="Arial" w:hint="eastAsia"/>
          <w:color w:val="000000" w:themeColor="text1"/>
          <w:kern w:val="0"/>
          <w:sz w:val="24"/>
          <w:szCs w:val="24"/>
        </w:rPr>
        <w:t>每个开放日后的2个工作日内，通过</w:t>
      </w:r>
      <w:r w:rsidR="00ED3F5A">
        <w:rPr>
          <w:rFonts w:ascii="宋体" w:eastAsia="宋体" w:hAnsi="宋体" w:cs="Arial" w:hint="eastAsia"/>
          <w:color w:val="000000" w:themeColor="text1"/>
          <w:kern w:val="0"/>
          <w:sz w:val="24"/>
          <w:szCs w:val="24"/>
        </w:rPr>
        <w:t>规定网站</w:t>
      </w:r>
      <w:r w:rsidR="0012416B" w:rsidRPr="0012416B">
        <w:rPr>
          <w:rFonts w:ascii="宋体" w:eastAsia="宋体" w:hAnsi="宋体" w:cs="Arial" w:hint="eastAsia"/>
          <w:color w:val="000000" w:themeColor="text1"/>
          <w:kern w:val="0"/>
          <w:sz w:val="24"/>
          <w:szCs w:val="24"/>
        </w:rPr>
        <w:t>、基金销售机构网站或者营业网点</w:t>
      </w:r>
      <w:r w:rsidRPr="00953905">
        <w:rPr>
          <w:rFonts w:ascii="宋体" w:eastAsia="宋体" w:hAnsi="宋体" w:cs="Arial" w:hint="eastAsia"/>
          <w:color w:val="000000" w:themeColor="text1"/>
          <w:kern w:val="0"/>
          <w:sz w:val="24"/>
          <w:szCs w:val="24"/>
        </w:rPr>
        <w:t>披露开放日的基金份额净值和基金份额累计净值。</w:t>
      </w:r>
    </w:p>
    <w:p w:rsidR="00FD53BC" w:rsidRPr="008B1F27" w:rsidRDefault="00953905"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53905">
        <w:rPr>
          <w:rFonts w:ascii="宋体" w:eastAsia="宋体" w:hAnsi="宋体" w:cs="Arial" w:hint="eastAsia"/>
          <w:color w:val="000000" w:themeColor="text1"/>
          <w:kern w:val="0"/>
          <w:sz w:val="24"/>
          <w:szCs w:val="24"/>
        </w:rPr>
        <w:t>基金管理人</w:t>
      </w:r>
      <w:r w:rsidR="00A81A3D" w:rsidRPr="00A81A3D">
        <w:rPr>
          <w:rFonts w:ascii="宋体" w:eastAsia="宋体" w:hAnsi="宋体" w:cs="Arial" w:hint="eastAsia"/>
          <w:color w:val="000000" w:themeColor="text1"/>
          <w:kern w:val="0"/>
          <w:sz w:val="24"/>
          <w:szCs w:val="24"/>
        </w:rPr>
        <w:t>将在不晚于半年度和年度</w:t>
      </w:r>
      <w:r w:rsidRPr="00953905">
        <w:rPr>
          <w:rFonts w:ascii="宋体" w:eastAsia="宋体" w:hAnsi="宋体" w:cs="Arial" w:hint="eastAsia"/>
          <w:color w:val="000000" w:themeColor="text1"/>
          <w:kern w:val="0"/>
          <w:sz w:val="24"/>
          <w:szCs w:val="24"/>
        </w:rPr>
        <w:t>最后一个市场交易日后的2个工作日内，</w:t>
      </w:r>
      <w:r w:rsidR="00A81A3D" w:rsidRPr="00A81A3D">
        <w:rPr>
          <w:rFonts w:ascii="宋体" w:eastAsia="宋体" w:hAnsi="宋体" w:cs="Arial" w:hint="eastAsia"/>
          <w:color w:val="000000" w:themeColor="text1"/>
          <w:kern w:val="0"/>
          <w:sz w:val="24"/>
          <w:szCs w:val="24"/>
        </w:rPr>
        <w:t>在</w:t>
      </w:r>
      <w:r w:rsidR="00ED3F5A">
        <w:rPr>
          <w:rFonts w:ascii="宋体" w:eastAsia="宋体" w:hAnsi="宋体" w:cs="Arial" w:hint="eastAsia"/>
          <w:color w:val="000000" w:themeColor="text1"/>
          <w:kern w:val="0"/>
          <w:sz w:val="24"/>
          <w:szCs w:val="24"/>
        </w:rPr>
        <w:t>规定网站</w:t>
      </w:r>
      <w:r w:rsidR="00A81A3D" w:rsidRPr="00A81A3D">
        <w:rPr>
          <w:rFonts w:ascii="宋体" w:eastAsia="宋体" w:hAnsi="宋体" w:cs="Arial" w:hint="eastAsia"/>
          <w:color w:val="000000" w:themeColor="text1"/>
          <w:kern w:val="0"/>
          <w:sz w:val="24"/>
          <w:szCs w:val="24"/>
        </w:rPr>
        <w:t>披露半年度和年度最后</w:t>
      </w:r>
      <w:r w:rsidR="00A81A3D" w:rsidRPr="00953905">
        <w:rPr>
          <w:rFonts w:ascii="宋体" w:eastAsia="宋体" w:hAnsi="宋体" w:cs="Arial" w:hint="eastAsia"/>
          <w:color w:val="000000" w:themeColor="text1"/>
          <w:kern w:val="0"/>
          <w:sz w:val="24"/>
          <w:szCs w:val="24"/>
        </w:rPr>
        <w:t>一个市场交易日</w:t>
      </w:r>
      <w:r w:rsidR="00A81A3D" w:rsidRPr="00A81A3D">
        <w:rPr>
          <w:rFonts w:ascii="宋体" w:eastAsia="宋体" w:hAnsi="宋体" w:cs="Arial" w:hint="eastAsia"/>
          <w:color w:val="000000" w:themeColor="text1"/>
          <w:kern w:val="0"/>
          <w:sz w:val="24"/>
          <w:szCs w:val="24"/>
        </w:rPr>
        <w:t>的基金份额净值和基金份额累计净值</w:t>
      </w:r>
      <w:r w:rsidR="00FD53BC" w:rsidRPr="008B1F27">
        <w:rPr>
          <w:rFonts w:ascii="宋体" w:eastAsia="宋体" w:hAnsi="宋体" w:cs="Arial"/>
          <w:color w:val="000000" w:themeColor="text1"/>
          <w:kern w:val="0"/>
          <w:sz w:val="24"/>
          <w:szCs w:val="24"/>
        </w:rPr>
        <w:t>。</w:t>
      </w: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9</w:t>
      </w:r>
      <w:r w:rsidR="00FD53BC" w:rsidRPr="008B1F27">
        <w:rPr>
          <w:rFonts w:ascii="宋体" w:eastAsia="宋体" w:hAnsi="宋体" w:cs="Arial"/>
          <w:b/>
          <w:bCs/>
          <w:color w:val="000000" w:themeColor="text1"/>
          <w:kern w:val="0"/>
          <w:sz w:val="24"/>
          <w:szCs w:val="24"/>
        </w:rPr>
        <w:t>.其他需要提示的事项</w:t>
      </w:r>
    </w:p>
    <w:p w:rsidR="00844D70" w:rsidRPr="00EF0B74" w:rsidRDefault="00844D70" w:rsidP="00844D70">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FA5866">
        <w:rPr>
          <w:rFonts w:ascii="宋体" w:eastAsia="宋体" w:hAnsi="宋体" w:cs="Arial" w:hint="eastAsia"/>
          <w:color w:val="000000" w:themeColor="text1"/>
          <w:kern w:val="0"/>
          <w:sz w:val="24"/>
          <w:szCs w:val="24"/>
        </w:rPr>
        <w:t>本基金</w:t>
      </w:r>
      <w:r w:rsidRPr="00EF0B74">
        <w:rPr>
          <w:rFonts w:ascii="宋体" w:eastAsia="宋体" w:hAnsi="宋体" w:cs="Arial" w:hint="eastAsia"/>
          <w:color w:val="000000" w:themeColor="text1"/>
          <w:kern w:val="0"/>
          <w:sz w:val="24"/>
          <w:szCs w:val="24"/>
        </w:rPr>
        <w:t>以定期开放方式运作，即采用封闭运作和开放运作交替循环的方式。本基金自基金合同生效之日（含）起或自每一开放期结束之日次日（含）起3个月的期间封闭运作，不办理申购与赎回业务，也不上市交易。本基金的第一个封闭期为自基金合同生效之日（含）起至3个月后的对应日（遇非工作日顺延至下一个工作日）的前一日的期间。下一个封闭期为首个开放期结束之日次日（含）起至3个月后的对应日（遇非工作日顺延至下一个工作日）的前一日的期间，以此类推。如该对应日不存在对应日期的，则顺延至下一日。</w:t>
      </w:r>
    </w:p>
    <w:p w:rsidR="00844D70" w:rsidRDefault="00844D70" w:rsidP="00844D70">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EF0B74">
        <w:rPr>
          <w:rFonts w:ascii="宋体" w:eastAsia="宋体" w:hAnsi="宋体" w:cs="Arial" w:hint="eastAsia"/>
          <w:color w:val="000000" w:themeColor="text1"/>
          <w:kern w:val="0"/>
          <w:sz w:val="24"/>
          <w:szCs w:val="24"/>
        </w:rPr>
        <w:t>本基金自封闭期结束之后第一个工作日（含）起进入开放期，每个开放期原则上不少于两个工作日、不超过二十个工作日，开放期的具体时间以基金管理人届时公告为准。如发生不可抗力或其他情形致使基金无法按时开放或需依据基金合同暂停申购与赎回业务的，基金管理人有权合理调整申购或赎回业务的办理期间并予以公告。</w:t>
      </w:r>
    </w:p>
    <w:p w:rsidR="00FD53BC" w:rsidRPr="008B1F27" w:rsidRDefault="00FD53BC" w:rsidP="00844D70">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本公告仅对本基金上述业务的有关事项予以说明。投资人欲了解本基金的详细情况，请仔细阅读</w:t>
      </w:r>
      <w:r w:rsidR="00A9575C" w:rsidRPr="008B1F27">
        <w:rPr>
          <w:rFonts w:ascii="宋体" w:eastAsia="宋体" w:hAnsi="宋体" w:cs="Arial" w:hint="eastAsia"/>
          <w:color w:val="000000" w:themeColor="text1"/>
          <w:kern w:val="0"/>
          <w:sz w:val="24"/>
          <w:szCs w:val="24"/>
        </w:rPr>
        <w:t>刊登</w:t>
      </w:r>
      <w:r w:rsidRPr="008B1F27">
        <w:rPr>
          <w:rFonts w:ascii="宋体" w:eastAsia="宋体" w:hAnsi="宋体" w:cs="Arial"/>
          <w:color w:val="000000" w:themeColor="text1"/>
          <w:kern w:val="0"/>
          <w:sz w:val="24"/>
          <w:szCs w:val="24"/>
        </w:rPr>
        <w:t>在</w:t>
      </w:r>
      <w:r w:rsidR="00821C10" w:rsidRPr="008B1F27">
        <w:rPr>
          <w:rFonts w:ascii="宋体" w:eastAsia="宋体" w:hAnsi="宋体" w:cs="Arial" w:hint="eastAsia"/>
          <w:color w:val="000000" w:themeColor="text1"/>
          <w:kern w:val="0"/>
          <w:sz w:val="24"/>
          <w:szCs w:val="24"/>
        </w:rPr>
        <w:t>中国证监会</w:t>
      </w:r>
      <w:r w:rsidR="00ED3F5A">
        <w:rPr>
          <w:rFonts w:ascii="宋体" w:eastAsia="宋体" w:hAnsi="宋体" w:cs="Arial" w:hint="eastAsia"/>
          <w:color w:val="000000" w:themeColor="text1"/>
          <w:kern w:val="0"/>
          <w:sz w:val="24"/>
          <w:szCs w:val="24"/>
        </w:rPr>
        <w:t>规定媒介</w:t>
      </w:r>
      <w:r w:rsidRPr="008B1F27">
        <w:rPr>
          <w:rFonts w:ascii="宋体" w:eastAsia="宋体" w:hAnsi="宋体" w:cs="Arial"/>
          <w:color w:val="000000" w:themeColor="text1"/>
          <w:kern w:val="0"/>
          <w:sz w:val="24"/>
          <w:szCs w:val="24"/>
        </w:rPr>
        <w:t>上的《</w:t>
      </w:r>
      <w:r w:rsidR="000F7980" w:rsidRPr="000F7980">
        <w:rPr>
          <w:rFonts w:ascii="宋体" w:eastAsia="宋体" w:hAnsi="宋体" w:cs="Arial" w:hint="eastAsia"/>
          <w:color w:val="000000" w:themeColor="text1"/>
          <w:kern w:val="0"/>
          <w:sz w:val="24"/>
          <w:szCs w:val="24"/>
        </w:rPr>
        <w:t>前海开源裕泽定期开放混合型基金中基金（FOF）</w:t>
      </w:r>
      <w:r w:rsidRPr="008B1F27">
        <w:rPr>
          <w:rFonts w:ascii="宋体" w:eastAsia="宋体" w:hAnsi="宋体" w:cs="Arial"/>
          <w:color w:val="000000" w:themeColor="text1"/>
          <w:kern w:val="0"/>
          <w:sz w:val="24"/>
          <w:szCs w:val="24"/>
        </w:rPr>
        <w:t>招募说明书》</w:t>
      </w:r>
      <w:r w:rsidR="00D77196" w:rsidRPr="008B1F27">
        <w:rPr>
          <w:rFonts w:ascii="宋体" w:eastAsia="宋体" w:hAnsi="宋体" w:cs="Arial" w:hint="eastAsia"/>
          <w:color w:val="000000" w:themeColor="text1"/>
          <w:kern w:val="0"/>
          <w:sz w:val="24"/>
          <w:szCs w:val="24"/>
        </w:rPr>
        <w:t>，</w:t>
      </w:r>
      <w:r w:rsidRPr="008B1F27">
        <w:rPr>
          <w:rFonts w:ascii="宋体" w:eastAsia="宋体" w:hAnsi="宋体" w:cs="Arial"/>
          <w:color w:val="000000" w:themeColor="text1"/>
          <w:kern w:val="0"/>
          <w:sz w:val="24"/>
          <w:szCs w:val="24"/>
        </w:rPr>
        <w:t>亦可到基金管理人网站（www.qhkyfund.com）查询。</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对未开设销售网点地区的投资人及希望了解本基金其它有关信息的投资人，可拨打基金管理人的客户服务热线（4001-666-998）咨询相关事宜。</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由于各代销机构系统及业务安排等原因，可能开展上述业务的时间有所不同，投资</w:t>
      </w:r>
      <w:r w:rsidR="001C6802" w:rsidRPr="008B1F27">
        <w:rPr>
          <w:rFonts w:ascii="宋体" w:eastAsia="宋体" w:hAnsi="宋体" w:cs="Arial" w:hint="eastAsia"/>
          <w:color w:val="000000" w:themeColor="text1"/>
          <w:kern w:val="0"/>
          <w:sz w:val="24"/>
          <w:szCs w:val="24"/>
        </w:rPr>
        <w:t>人</w:t>
      </w:r>
      <w:r w:rsidRPr="008B1F27">
        <w:rPr>
          <w:rFonts w:ascii="宋体" w:eastAsia="宋体" w:hAnsi="宋体" w:cs="Arial"/>
          <w:color w:val="000000" w:themeColor="text1"/>
          <w:kern w:val="0"/>
          <w:sz w:val="24"/>
          <w:szCs w:val="24"/>
        </w:rPr>
        <w:t>应以各代销机构具体规定的时间为准。</w:t>
      </w:r>
    </w:p>
    <w:p w:rsidR="00846980" w:rsidRDefault="00FD53BC" w:rsidP="00DD1346">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上述业务的解释权归本基金管理人。</w:t>
      </w:r>
    </w:p>
    <w:p w:rsidR="00BB4083" w:rsidRDefault="00BB4083"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844D70"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风险提示：</w:t>
      </w:r>
      <w:r w:rsidR="00844D70" w:rsidRPr="00150F0D">
        <w:rPr>
          <w:rFonts w:ascii="宋体" w:eastAsia="宋体" w:hAnsi="宋体" w:cs="Arial" w:hint="eastAsia"/>
          <w:color w:val="000000" w:themeColor="text1"/>
          <w:kern w:val="0"/>
          <w:sz w:val="24"/>
          <w:szCs w:val="24"/>
        </w:rPr>
        <w:t>本基金本次开放期为</w:t>
      </w:r>
      <w:r w:rsidR="007E4471">
        <w:rPr>
          <w:rFonts w:ascii="宋体" w:eastAsia="宋体" w:hAnsi="宋体" w:cs="Arial" w:hint="eastAsia"/>
          <w:color w:val="000000" w:themeColor="text1"/>
          <w:kern w:val="0"/>
          <w:sz w:val="24"/>
          <w:szCs w:val="24"/>
        </w:rPr>
        <w:t>2026年1月19日</w:t>
      </w:r>
      <w:r w:rsidR="00844D70" w:rsidRPr="00150F0D">
        <w:rPr>
          <w:rFonts w:ascii="宋体" w:eastAsia="宋体" w:hAnsi="宋体" w:cs="Arial" w:hint="eastAsia"/>
          <w:color w:val="000000" w:themeColor="text1"/>
          <w:kern w:val="0"/>
          <w:sz w:val="24"/>
          <w:szCs w:val="24"/>
        </w:rPr>
        <w:t>至</w:t>
      </w:r>
      <w:r w:rsidR="007E4471">
        <w:rPr>
          <w:rFonts w:ascii="宋体" w:eastAsia="宋体" w:hAnsi="宋体" w:cs="Arial" w:hint="eastAsia"/>
          <w:color w:val="000000" w:themeColor="text1"/>
          <w:kern w:val="0"/>
          <w:sz w:val="24"/>
          <w:szCs w:val="24"/>
        </w:rPr>
        <w:t>2026年1月30日</w:t>
      </w:r>
      <w:r w:rsidR="00844D70" w:rsidRPr="00150F0D">
        <w:rPr>
          <w:rFonts w:ascii="宋体" w:eastAsia="宋体" w:hAnsi="宋体" w:cs="Arial" w:hint="eastAsia"/>
          <w:color w:val="000000" w:themeColor="text1"/>
          <w:kern w:val="0"/>
          <w:sz w:val="24"/>
          <w:szCs w:val="24"/>
        </w:rPr>
        <w:t>（含当日）</w:t>
      </w:r>
      <w:r w:rsidR="00844D70">
        <w:rPr>
          <w:rFonts w:ascii="宋体" w:eastAsia="宋体" w:hAnsi="宋体" w:cs="Arial" w:hint="eastAsia"/>
          <w:color w:val="000000" w:themeColor="text1"/>
          <w:kern w:val="0"/>
          <w:sz w:val="24"/>
          <w:szCs w:val="24"/>
        </w:rPr>
        <w:t>,</w:t>
      </w:r>
      <w:r w:rsidR="00844D70" w:rsidRPr="009916BE">
        <w:rPr>
          <w:rFonts w:ascii="宋体" w:eastAsia="宋体" w:hAnsi="宋体" w:cs="Arial" w:hint="eastAsia"/>
          <w:color w:val="000000" w:themeColor="text1"/>
          <w:kern w:val="0"/>
          <w:sz w:val="24"/>
          <w:szCs w:val="24"/>
        </w:rPr>
        <w:t>并自</w:t>
      </w:r>
      <w:r w:rsidR="007E4471">
        <w:rPr>
          <w:rFonts w:ascii="宋体" w:eastAsia="宋体" w:hAnsi="宋体" w:cs="Arial" w:hint="eastAsia"/>
          <w:color w:val="000000" w:themeColor="text1"/>
          <w:kern w:val="0"/>
          <w:sz w:val="24"/>
          <w:szCs w:val="24"/>
        </w:rPr>
        <w:t>2026年1月31日</w:t>
      </w:r>
      <w:r w:rsidR="00844D70" w:rsidRPr="009916BE">
        <w:rPr>
          <w:rFonts w:ascii="宋体" w:eastAsia="宋体" w:hAnsi="宋体" w:cs="Arial" w:hint="eastAsia"/>
          <w:color w:val="000000" w:themeColor="text1"/>
          <w:kern w:val="0"/>
          <w:sz w:val="24"/>
          <w:szCs w:val="24"/>
        </w:rPr>
        <w:t>起进入下一个封闭期，封闭期内本基金不接受申购、赎回申请。另外，本基金将会根据本次开放期的申购、赎回规模情况决定</w:t>
      </w:r>
      <w:r w:rsidR="00844D70">
        <w:rPr>
          <w:rFonts w:ascii="宋体" w:eastAsia="宋体" w:hAnsi="宋体" w:cs="Arial" w:hint="eastAsia"/>
          <w:color w:val="000000" w:themeColor="text1"/>
          <w:kern w:val="0"/>
          <w:sz w:val="24"/>
          <w:szCs w:val="24"/>
        </w:rPr>
        <w:t>是否调整</w:t>
      </w:r>
      <w:r w:rsidR="00844D70" w:rsidRPr="009916BE">
        <w:rPr>
          <w:rFonts w:ascii="宋体" w:eastAsia="宋体" w:hAnsi="宋体" w:cs="Arial" w:hint="eastAsia"/>
          <w:color w:val="000000" w:themeColor="text1"/>
          <w:kern w:val="0"/>
          <w:sz w:val="24"/>
          <w:szCs w:val="24"/>
        </w:rPr>
        <w:t>本次开放期间，敬请留意</w:t>
      </w:r>
      <w:r w:rsidR="009F0C95" w:rsidRPr="009F0C95">
        <w:rPr>
          <w:rFonts w:ascii="宋体" w:eastAsia="宋体" w:hAnsi="宋体" w:cs="Arial" w:hint="eastAsia"/>
          <w:color w:val="000000" w:themeColor="text1"/>
          <w:kern w:val="0"/>
          <w:sz w:val="24"/>
          <w:szCs w:val="24"/>
        </w:rPr>
        <w:t>本公司</w:t>
      </w:r>
      <w:r w:rsidR="00844D70" w:rsidRPr="009916BE">
        <w:rPr>
          <w:rFonts w:ascii="宋体" w:eastAsia="宋体" w:hAnsi="宋体" w:cs="Arial" w:hint="eastAsia"/>
          <w:color w:val="000000" w:themeColor="text1"/>
          <w:kern w:val="0"/>
          <w:sz w:val="24"/>
          <w:szCs w:val="24"/>
        </w:rPr>
        <w:t>相关公告。</w:t>
      </w:r>
    </w:p>
    <w:p w:rsidR="00F631CA"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基金管理人承诺本着诚实信用、勤勉尽责的原则管理和运用基金资产，但不保证基金一定盈利，也不保证最低收益。投资人投资本基金前应认真阅读本基金的基金合同、招募说明书</w:t>
      </w:r>
      <w:r w:rsidR="00975484">
        <w:rPr>
          <w:rFonts w:ascii="宋体" w:eastAsia="宋体" w:hAnsi="宋体" w:cs="Arial" w:hint="eastAsia"/>
          <w:color w:val="000000" w:themeColor="text1"/>
          <w:kern w:val="0"/>
          <w:sz w:val="24"/>
          <w:szCs w:val="24"/>
        </w:rPr>
        <w:t>、产品资料概要及其更新文件</w:t>
      </w:r>
      <w:r w:rsidRPr="008B1F27">
        <w:rPr>
          <w:rFonts w:ascii="宋体" w:eastAsia="宋体" w:hAnsi="宋体" w:cs="Arial"/>
          <w:color w:val="000000" w:themeColor="text1"/>
          <w:kern w:val="0"/>
          <w:sz w:val="24"/>
          <w:szCs w:val="24"/>
        </w:rPr>
        <w:t>。敬请投资人注意投资风险。</w:t>
      </w:r>
    </w:p>
    <w:p w:rsidR="00B31DD9"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特此公告</w:t>
      </w:r>
    </w:p>
    <w:p w:rsidR="0016761C" w:rsidRDefault="0016761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16761C" w:rsidRDefault="0016761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16761C" w:rsidRDefault="0016761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FD53BC" w:rsidRPr="008B1F27" w:rsidRDefault="00FD53BC" w:rsidP="00B31DD9">
      <w:pPr>
        <w:widowControl/>
        <w:shd w:val="clear" w:color="auto" w:fill="FFFFFF"/>
        <w:adjustRightInd w:val="0"/>
        <w:snapToGrid w:val="0"/>
        <w:spacing w:line="360" w:lineRule="auto"/>
        <w:ind w:firstLineChars="200" w:firstLine="480"/>
        <w:jc w:val="right"/>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前海开源基金管理有限公司</w:t>
      </w:r>
    </w:p>
    <w:p w:rsidR="00053E97" w:rsidRPr="00842941" w:rsidRDefault="007E4471" w:rsidP="0025087C">
      <w:pPr>
        <w:widowControl/>
        <w:shd w:val="clear" w:color="auto" w:fill="FFFFFF"/>
        <w:adjustRightInd w:val="0"/>
        <w:snapToGrid w:val="0"/>
        <w:spacing w:line="360" w:lineRule="auto"/>
        <w:ind w:firstLineChars="200" w:firstLine="480"/>
        <w:jc w:val="right"/>
        <w:rPr>
          <w:rFonts w:ascii="宋体" w:eastAsia="宋体" w:hAnsi="宋体"/>
          <w:color w:val="000000" w:themeColor="text1"/>
          <w:sz w:val="24"/>
          <w:szCs w:val="24"/>
        </w:rPr>
      </w:pPr>
      <w:r>
        <w:rPr>
          <w:rFonts w:ascii="宋体" w:eastAsia="宋体" w:hAnsi="宋体" w:cs="Arial" w:hint="eastAsia"/>
          <w:color w:val="000000" w:themeColor="text1"/>
          <w:kern w:val="0"/>
          <w:sz w:val="24"/>
          <w:szCs w:val="24"/>
        </w:rPr>
        <w:t>2</w:t>
      </w:r>
      <w:r>
        <w:rPr>
          <w:rFonts w:ascii="宋体" w:eastAsia="宋体" w:hAnsi="宋体" w:cs="Arial"/>
          <w:color w:val="000000" w:themeColor="text1"/>
          <w:kern w:val="0"/>
          <w:sz w:val="24"/>
          <w:szCs w:val="24"/>
        </w:rPr>
        <w:t>026</w:t>
      </w:r>
      <w:r w:rsidR="008F67B8" w:rsidRPr="008B1F27">
        <w:rPr>
          <w:rFonts w:ascii="宋体" w:eastAsia="宋体" w:hAnsi="宋体" w:cs="Arial"/>
          <w:color w:val="000000" w:themeColor="text1"/>
          <w:kern w:val="0"/>
          <w:sz w:val="24"/>
          <w:szCs w:val="24"/>
        </w:rPr>
        <w:t>年</w:t>
      </w:r>
      <w:r w:rsidR="008F67B8">
        <w:rPr>
          <w:rFonts w:ascii="宋体" w:eastAsia="宋体" w:hAnsi="宋体" w:cs="Arial"/>
          <w:color w:val="000000" w:themeColor="text1"/>
          <w:kern w:val="0"/>
          <w:sz w:val="24"/>
          <w:szCs w:val="24"/>
        </w:rPr>
        <w:t>1</w:t>
      </w:r>
      <w:r w:rsidR="0016761C" w:rsidRPr="008B1F27">
        <w:rPr>
          <w:rFonts w:ascii="宋体" w:eastAsia="宋体" w:hAnsi="宋体" w:cs="Arial" w:hint="eastAsia"/>
          <w:color w:val="000000" w:themeColor="text1"/>
          <w:kern w:val="0"/>
          <w:sz w:val="24"/>
          <w:szCs w:val="24"/>
        </w:rPr>
        <w:t>月</w:t>
      </w:r>
      <w:r>
        <w:rPr>
          <w:rFonts w:ascii="宋体" w:eastAsia="宋体" w:hAnsi="宋体" w:cs="Arial" w:hint="eastAsia"/>
          <w:color w:val="000000" w:themeColor="text1"/>
          <w:kern w:val="0"/>
          <w:sz w:val="24"/>
          <w:szCs w:val="24"/>
        </w:rPr>
        <w:t>1</w:t>
      </w:r>
      <w:r>
        <w:rPr>
          <w:rFonts w:ascii="宋体" w:eastAsia="宋体" w:hAnsi="宋体" w:cs="Arial"/>
          <w:color w:val="000000" w:themeColor="text1"/>
          <w:kern w:val="0"/>
          <w:sz w:val="24"/>
          <w:szCs w:val="24"/>
        </w:rPr>
        <w:t>6</w:t>
      </w:r>
      <w:r w:rsidR="0016761C" w:rsidRPr="008B1F27">
        <w:rPr>
          <w:rFonts w:ascii="宋体" w:eastAsia="宋体" w:hAnsi="宋体" w:cs="Arial" w:hint="eastAsia"/>
          <w:color w:val="000000" w:themeColor="text1"/>
          <w:kern w:val="0"/>
          <w:sz w:val="24"/>
          <w:szCs w:val="24"/>
        </w:rPr>
        <w:t>日</w:t>
      </w:r>
    </w:p>
    <w:sectPr w:rsidR="00053E97" w:rsidRPr="00842941" w:rsidSect="008A5B07">
      <w:headerReference w:type="default" r:id="rId8"/>
      <w:footerReference w:type="default" r:id="rId9"/>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BF24D" w16cex:dateUtc="2023-01-13T07:07:00Z"/>
  <w16cex:commentExtensible w16cex:durableId="276BABB3" w16cex:dateUtc="2023-01-13T0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5567D6" w16cid:durableId="276BF24D"/>
  <w16cid:commentId w16cid:paraId="143773AA" w16cid:durableId="276BABB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AB8" w:rsidRDefault="00B91AB8" w:rsidP="00564377">
      <w:r>
        <w:separator/>
      </w:r>
    </w:p>
  </w:endnote>
  <w:endnote w:type="continuationSeparator" w:id="0">
    <w:p w:rsidR="00B91AB8" w:rsidRDefault="00B91AB8" w:rsidP="005643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4323029"/>
      <w:docPartObj>
        <w:docPartGallery w:val="Page Numbers (Bottom of Page)"/>
        <w:docPartUnique/>
      </w:docPartObj>
    </w:sdtPr>
    <w:sdtContent>
      <w:p w:rsidR="006C665C" w:rsidRDefault="00982220">
        <w:pPr>
          <w:pStyle w:val="a8"/>
          <w:jc w:val="center"/>
        </w:pPr>
        <w:r>
          <w:fldChar w:fldCharType="begin"/>
        </w:r>
        <w:r w:rsidR="006C665C">
          <w:instrText>PAGE   \* MERGEFORMAT</w:instrText>
        </w:r>
        <w:r>
          <w:fldChar w:fldCharType="separate"/>
        </w:r>
        <w:r w:rsidR="007537BF" w:rsidRPr="007537BF">
          <w:rPr>
            <w:noProof/>
            <w:lang w:val="zh-CN"/>
          </w:rPr>
          <w:t>1</w:t>
        </w:r>
        <w:r>
          <w:fldChar w:fldCharType="end"/>
        </w:r>
      </w:p>
    </w:sdtContent>
  </w:sdt>
  <w:p w:rsidR="006C665C" w:rsidRDefault="006C665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AB8" w:rsidRDefault="00B91AB8" w:rsidP="00564377">
      <w:r>
        <w:separator/>
      </w:r>
    </w:p>
  </w:footnote>
  <w:footnote w:type="continuationSeparator" w:id="0">
    <w:p w:rsidR="00B91AB8" w:rsidRDefault="00B91AB8" w:rsidP="005643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5C" w:rsidRPr="00564377" w:rsidRDefault="006C665C" w:rsidP="00417BDA">
    <w:pPr>
      <w:pStyle w:val="a7"/>
      <w:tabs>
        <w:tab w:val="clear" w:pos="4153"/>
        <w:tab w:val="clear" w:pos="8306"/>
        <w:tab w:val="left" w:pos="3180"/>
      </w:tabs>
      <w:jc w:val="both"/>
    </w:pPr>
    <w:r>
      <w:rPr>
        <w:noProof/>
      </w:rPr>
      <w:drawing>
        <wp:inline distT="0" distB="0" distL="0" distR="0">
          <wp:extent cx="1276350" cy="31885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主logo2.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75736" cy="318704"/>
                  </a:xfrm>
                  <a:prstGeom prst="rect">
                    <a:avLst/>
                  </a:prstGeom>
                </pic:spPr>
              </pic:pic>
            </a:graphicData>
          </a:graphic>
        </wp:inline>
      </w:drawing>
    </w:r>
    <w: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临时公告</w:t>
    </w:r>
  </w:p>
  <w:p w:rsidR="006C665C" w:rsidRPr="00417BDA" w:rsidRDefault="006C665C" w:rsidP="00B9765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63B9"/>
    <w:multiLevelType w:val="multilevel"/>
    <w:tmpl w:val="08DC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442E8"/>
    <w:multiLevelType w:val="multilevel"/>
    <w:tmpl w:val="0BC0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12378"/>
    <w:multiLevelType w:val="multilevel"/>
    <w:tmpl w:val="CDFA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9531E"/>
    <w:multiLevelType w:val="multilevel"/>
    <w:tmpl w:val="DCB6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61C94"/>
    <w:multiLevelType w:val="multilevel"/>
    <w:tmpl w:val="37A8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932A22"/>
    <w:multiLevelType w:val="multilevel"/>
    <w:tmpl w:val="1B38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3F092D"/>
    <w:multiLevelType w:val="multilevel"/>
    <w:tmpl w:val="882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B704DF"/>
    <w:multiLevelType w:val="multilevel"/>
    <w:tmpl w:val="2C6A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6D07BD"/>
    <w:multiLevelType w:val="multilevel"/>
    <w:tmpl w:val="35D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C9315D"/>
    <w:multiLevelType w:val="multilevel"/>
    <w:tmpl w:val="FA92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F74CA6"/>
    <w:multiLevelType w:val="multilevel"/>
    <w:tmpl w:val="780E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1F4572"/>
    <w:multiLevelType w:val="hybridMultilevel"/>
    <w:tmpl w:val="FCDC1F02"/>
    <w:lvl w:ilvl="0" w:tplc="E2C4116E">
      <w:start w:val="1"/>
      <w:numFmt w:val="decimal"/>
      <w:lvlText w:val="%1."/>
      <w:lvlJc w:val="left"/>
      <w:pPr>
        <w:ind w:left="840" w:hanging="360"/>
      </w:pPr>
      <w:rPr>
        <w:rFonts w:hint="default"/>
        <w:b/>
        <w:sz w:val="21"/>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B3F64B1"/>
    <w:multiLevelType w:val="multilevel"/>
    <w:tmpl w:val="3486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3F67CE"/>
    <w:multiLevelType w:val="multilevel"/>
    <w:tmpl w:val="3D5A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323E9D"/>
    <w:multiLevelType w:val="multilevel"/>
    <w:tmpl w:val="769A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334444"/>
    <w:multiLevelType w:val="multilevel"/>
    <w:tmpl w:val="6C74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30380D"/>
    <w:multiLevelType w:val="multilevel"/>
    <w:tmpl w:val="0E4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0747A7"/>
    <w:multiLevelType w:val="hybridMultilevel"/>
    <w:tmpl w:val="F9EC7F1E"/>
    <w:lvl w:ilvl="0" w:tplc="4E9E883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6BC70C94"/>
    <w:multiLevelType w:val="multilevel"/>
    <w:tmpl w:val="902C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4657A2"/>
    <w:multiLevelType w:val="multilevel"/>
    <w:tmpl w:val="474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DB489B"/>
    <w:multiLevelType w:val="multilevel"/>
    <w:tmpl w:val="3F54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8B4C77"/>
    <w:multiLevelType w:val="multilevel"/>
    <w:tmpl w:val="87DC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0"/>
  </w:num>
  <w:num w:numId="4">
    <w:abstractNumId w:val="9"/>
  </w:num>
  <w:num w:numId="5">
    <w:abstractNumId w:val="18"/>
  </w:num>
  <w:num w:numId="6">
    <w:abstractNumId w:val="14"/>
  </w:num>
  <w:num w:numId="7">
    <w:abstractNumId w:val="4"/>
  </w:num>
  <w:num w:numId="8">
    <w:abstractNumId w:val="13"/>
  </w:num>
  <w:num w:numId="9">
    <w:abstractNumId w:val="6"/>
  </w:num>
  <w:num w:numId="10">
    <w:abstractNumId w:val="15"/>
  </w:num>
  <w:num w:numId="11">
    <w:abstractNumId w:val="19"/>
  </w:num>
  <w:num w:numId="12">
    <w:abstractNumId w:val="12"/>
  </w:num>
  <w:num w:numId="13">
    <w:abstractNumId w:val="8"/>
  </w:num>
  <w:num w:numId="14">
    <w:abstractNumId w:val="16"/>
  </w:num>
  <w:num w:numId="15">
    <w:abstractNumId w:val="7"/>
  </w:num>
  <w:num w:numId="16">
    <w:abstractNumId w:val="3"/>
  </w:num>
  <w:num w:numId="17">
    <w:abstractNumId w:val="1"/>
  </w:num>
  <w:num w:numId="18">
    <w:abstractNumId w:val="20"/>
  </w:num>
  <w:num w:numId="19">
    <w:abstractNumId w:val="2"/>
  </w:num>
  <w:num w:numId="20">
    <w:abstractNumId w:val="5"/>
  </w:num>
  <w:num w:numId="21">
    <w:abstractNumId w:val="11"/>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oNotTrackFormatting/>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316D"/>
    <w:rsid w:val="00000D23"/>
    <w:rsid w:val="00005DB1"/>
    <w:rsid w:val="00006F30"/>
    <w:rsid w:val="0000734F"/>
    <w:rsid w:val="00007D32"/>
    <w:rsid w:val="0001164A"/>
    <w:rsid w:val="00021BEE"/>
    <w:rsid w:val="00022481"/>
    <w:rsid w:val="00026EA6"/>
    <w:rsid w:val="000302D4"/>
    <w:rsid w:val="00035434"/>
    <w:rsid w:val="00035F3F"/>
    <w:rsid w:val="000378AB"/>
    <w:rsid w:val="00040BEB"/>
    <w:rsid w:val="00041569"/>
    <w:rsid w:val="000439AB"/>
    <w:rsid w:val="00043FFA"/>
    <w:rsid w:val="00044C44"/>
    <w:rsid w:val="00046817"/>
    <w:rsid w:val="00047935"/>
    <w:rsid w:val="0005101F"/>
    <w:rsid w:val="0005232F"/>
    <w:rsid w:val="00053499"/>
    <w:rsid w:val="00053E97"/>
    <w:rsid w:val="00057467"/>
    <w:rsid w:val="0006072B"/>
    <w:rsid w:val="00061096"/>
    <w:rsid w:val="00071664"/>
    <w:rsid w:val="00074477"/>
    <w:rsid w:val="000825DD"/>
    <w:rsid w:val="000845EE"/>
    <w:rsid w:val="00085D6B"/>
    <w:rsid w:val="00086C1C"/>
    <w:rsid w:val="00087DC9"/>
    <w:rsid w:val="0009025E"/>
    <w:rsid w:val="000903BD"/>
    <w:rsid w:val="000906D2"/>
    <w:rsid w:val="00090C8E"/>
    <w:rsid w:val="00092B0D"/>
    <w:rsid w:val="00095364"/>
    <w:rsid w:val="0009634F"/>
    <w:rsid w:val="00097FE5"/>
    <w:rsid w:val="000A051B"/>
    <w:rsid w:val="000A0C7E"/>
    <w:rsid w:val="000A12A4"/>
    <w:rsid w:val="000A365E"/>
    <w:rsid w:val="000B5021"/>
    <w:rsid w:val="000B5CD3"/>
    <w:rsid w:val="000C1BC3"/>
    <w:rsid w:val="000C1EA2"/>
    <w:rsid w:val="000C2719"/>
    <w:rsid w:val="000C2A1E"/>
    <w:rsid w:val="000C2E50"/>
    <w:rsid w:val="000C33F7"/>
    <w:rsid w:val="000C36C0"/>
    <w:rsid w:val="000C6A8D"/>
    <w:rsid w:val="000D05FD"/>
    <w:rsid w:val="000D1E5B"/>
    <w:rsid w:val="000D5B84"/>
    <w:rsid w:val="000D7F16"/>
    <w:rsid w:val="000E01B7"/>
    <w:rsid w:val="000E4935"/>
    <w:rsid w:val="000F11B8"/>
    <w:rsid w:val="000F3561"/>
    <w:rsid w:val="000F4DAD"/>
    <w:rsid w:val="000F5D27"/>
    <w:rsid w:val="000F7235"/>
    <w:rsid w:val="000F7505"/>
    <w:rsid w:val="000F7980"/>
    <w:rsid w:val="00100BC3"/>
    <w:rsid w:val="0010432E"/>
    <w:rsid w:val="00104E48"/>
    <w:rsid w:val="001073D1"/>
    <w:rsid w:val="00112F85"/>
    <w:rsid w:val="001138A8"/>
    <w:rsid w:val="00114BB9"/>
    <w:rsid w:val="00115B41"/>
    <w:rsid w:val="00115C55"/>
    <w:rsid w:val="00123CE6"/>
    <w:rsid w:val="0012416B"/>
    <w:rsid w:val="001267A8"/>
    <w:rsid w:val="001270E5"/>
    <w:rsid w:val="001310A7"/>
    <w:rsid w:val="00150F0D"/>
    <w:rsid w:val="00151AEA"/>
    <w:rsid w:val="0015203A"/>
    <w:rsid w:val="001533AD"/>
    <w:rsid w:val="0016018E"/>
    <w:rsid w:val="0016375E"/>
    <w:rsid w:val="0016761C"/>
    <w:rsid w:val="00167C91"/>
    <w:rsid w:val="00175C8A"/>
    <w:rsid w:val="00175DE5"/>
    <w:rsid w:val="00177517"/>
    <w:rsid w:val="00186045"/>
    <w:rsid w:val="00190FFB"/>
    <w:rsid w:val="00193034"/>
    <w:rsid w:val="00193445"/>
    <w:rsid w:val="0019567F"/>
    <w:rsid w:val="00195FF3"/>
    <w:rsid w:val="001A03F7"/>
    <w:rsid w:val="001B2C59"/>
    <w:rsid w:val="001B3C8A"/>
    <w:rsid w:val="001B48CE"/>
    <w:rsid w:val="001B4C6E"/>
    <w:rsid w:val="001B6CA3"/>
    <w:rsid w:val="001C2757"/>
    <w:rsid w:val="001C4974"/>
    <w:rsid w:val="001C5C35"/>
    <w:rsid w:val="001C6802"/>
    <w:rsid w:val="001D511D"/>
    <w:rsid w:val="001D598E"/>
    <w:rsid w:val="001D5F8A"/>
    <w:rsid w:val="001D6197"/>
    <w:rsid w:val="001D742C"/>
    <w:rsid w:val="001E6D2F"/>
    <w:rsid w:val="001E742A"/>
    <w:rsid w:val="001E7B3F"/>
    <w:rsid w:val="001F0961"/>
    <w:rsid w:val="001F11CD"/>
    <w:rsid w:val="001F455F"/>
    <w:rsid w:val="001F5133"/>
    <w:rsid w:val="00202A8A"/>
    <w:rsid w:val="00213559"/>
    <w:rsid w:val="002157D9"/>
    <w:rsid w:val="00215EA1"/>
    <w:rsid w:val="00216460"/>
    <w:rsid w:val="00220FB5"/>
    <w:rsid w:val="00222B4B"/>
    <w:rsid w:val="002250F1"/>
    <w:rsid w:val="00230610"/>
    <w:rsid w:val="00232331"/>
    <w:rsid w:val="00232EFD"/>
    <w:rsid w:val="00233548"/>
    <w:rsid w:val="00233BC6"/>
    <w:rsid w:val="00233CC9"/>
    <w:rsid w:val="002357DB"/>
    <w:rsid w:val="00237508"/>
    <w:rsid w:val="00246602"/>
    <w:rsid w:val="00246FC8"/>
    <w:rsid w:val="002505C1"/>
    <w:rsid w:val="0025087C"/>
    <w:rsid w:val="0025416F"/>
    <w:rsid w:val="0025520F"/>
    <w:rsid w:val="002614AC"/>
    <w:rsid w:val="00261EE7"/>
    <w:rsid w:val="00262CB2"/>
    <w:rsid w:val="00263DA5"/>
    <w:rsid w:val="0026424F"/>
    <w:rsid w:val="00267F31"/>
    <w:rsid w:val="002701B3"/>
    <w:rsid w:val="0027383B"/>
    <w:rsid w:val="00275BDD"/>
    <w:rsid w:val="00277D27"/>
    <w:rsid w:val="002818BD"/>
    <w:rsid w:val="00281A74"/>
    <w:rsid w:val="0028205E"/>
    <w:rsid w:val="002833E8"/>
    <w:rsid w:val="00283843"/>
    <w:rsid w:val="00284CA8"/>
    <w:rsid w:val="00285908"/>
    <w:rsid w:val="00285F4B"/>
    <w:rsid w:val="00286A4C"/>
    <w:rsid w:val="00291B35"/>
    <w:rsid w:val="00291D2D"/>
    <w:rsid w:val="002922B1"/>
    <w:rsid w:val="00292620"/>
    <w:rsid w:val="00295ADA"/>
    <w:rsid w:val="00296C14"/>
    <w:rsid w:val="00297A0D"/>
    <w:rsid w:val="00297C5F"/>
    <w:rsid w:val="002A1E52"/>
    <w:rsid w:val="002A277A"/>
    <w:rsid w:val="002A6148"/>
    <w:rsid w:val="002A6151"/>
    <w:rsid w:val="002B0CE9"/>
    <w:rsid w:val="002B1F46"/>
    <w:rsid w:val="002B3EB3"/>
    <w:rsid w:val="002B4282"/>
    <w:rsid w:val="002C1023"/>
    <w:rsid w:val="002C123A"/>
    <w:rsid w:val="002C1E04"/>
    <w:rsid w:val="002C4ECF"/>
    <w:rsid w:val="002C77ED"/>
    <w:rsid w:val="002D3D54"/>
    <w:rsid w:val="002D4F19"/>
    <w:rsid w:val="002E0301"/>
    <w:rsid w:val="002E1CAD"/>
    <w:rsid w:val="002E6824"/>
    <w:rsid w:val="002F24D6"/>
    <w:rsid w:val="002F3132"/>
    <w:rsid w:val="002F316D"/>
    <w:rsid w:val="002F3C43"/>
    <w:rsid w:val="002F3DD8"/>
    <w:rsid w:val="002F5D75"/>
    <w:rsid w:val="002F669C"/>
    <w:rsid w:val="002F6BDC"/>
    <w:rsid w:val="0030104C"/>
    <w:rsid w:val="0030531D"/>
    <w:rsid w:val="0030576E"/>
    <w:rsid w:val="003060AA"/>
    <w:rsid w:val="00306621"/>
    <w:rsid w:val="0031375D"/>
    <w:rsid w:val="00315F61"/>
    <w:rsid w:val="00316F88"/>
    <w:rsid w:val="00323FAF"/>
    <w:rsid w:val="00326E56"/>
    <w:rsid w:val="00326F88"/>
    <w:rsid w:val="00343F75"/>
    <w:rsid w:val="0035261C"/>
    <w:rsid w:val="00356FDF"/>
    <w:rsid w:val="003570E7"/>
    <w:rsid w:val="00357ADB"/>
    <w:rsid w:val="0036217B"/>
    <w:rsid w:val="00362782"/>
    <w:rsid w:val="003664A1"/>
    <w:rsid w:val="003705C9"/>
    <w:rsid w:val="00385FCE"/>
    <w:rsid w:val="00386F33"/>
    <w:rsid w:val="0038780B"/>
    <w:rsid w:val="0039345E"/>
    <w:rsid w:val="00396C68"/>
    <w:rsid w:val="00396E68"/>
    <w:rsid w:val="0039748C"/>
    <w:rsid w:val="00397EC3"/>
    <w:rsid w:val="003A092F"/>
    <w:rsid w:val="003A40EB"/>
    <w:rsid w:val="003A4A69"/>
    <w:rsid w:val="003B1347"/>
    <w:rsid w:val="003B1872"/>
    <w:rsid w:val="003B1CA4"/>
    <w:rsid w:val="003B7164"/>
    <w:rsid w:val="003C0265"/>
    <w:rsid w:val="003C2848"/>
    <w:rsid w:val="003C3756"/>
    <w:rsid w:val="003C6351"/>
    <w:rsid w:val="003C7A6D"/>
    <w:rsid w:val="003D1BA2"/>
    <w:rsid w:val="003D3273"/>
    <w:rsid w:val="003D4D10"/>
    <w:rsid w:val="003D5215"/>
    <w:rsid w:val="003D7A1D"/>
    <w:rsid w:val="003E3223"/>
    <w:rsid w:val="003E4281"/>
    <w:rsid w:val="003E50A4"/>
    <w:rsid w:val="003E5FE9"/>
    <w:rsid w:val="003E7069"/>
    <w:rsid w:val="003F0C33"/>
    <w:rsid w:val="003F2787"/>
    <w:rsid w:val="003F641A"/>
    <w:rsid w:val="00400CBD"/>
    <w:rsid w:val="004014D5"/>
    <w:rsid w:val="0041420C"/>
    <w:rsid w:val="004170E4"/>
    <w:rsid w:val="004172CF"/>
    <w:rsid w:val="00417BDA"/>
    <w:rsid w:val="00422DF1"/>
    <w:rsid w:val="00426834"/>
    <w:rsid w:val="0043059B"/>
    <w:rsid w:val="004330B3"/>
    <w:rsid w:val="0043407A"/>
    <w:rsid w:val="00435FAF"/>
    <w:rsid w:val="00436D44"/>
    <w:rsid w:val="00437F5B"/>
    <w:rsid w:val="00440E7E"/>
    <w:rsid w:val="00441C2B"/>
    <w:rsid w:val="00444EE2"/>
    <w:rsid w:val="00446935"/>
    <w:rsid w:val="004514AD"/>
    <w:rsid w:val="004517B9"/>
    <w:rsid w:val="004529AD"/>
    <w:rsid w:val="0047051A"/>
    <w:rsid w:val="00471425"/>
    <w:rsid w:val="0047343D"/>
    <w:rsid w:val="00477011"/>
    <w:rsid w:val="004774D2"/>
    <w:rsid w:val="00480C5E"/>
    <w:rsid w:val="0048431D"/>
    <w:rsid w:val="00495286"/>
    <w:rsid w:val="0049683E"/>
    <w:rsid w:val="004A1A71"/>
    <w:rsid w:val="004A643A"/>
    <w:rsid w:val="004A6A05"/>
    <w:rsid w:val="004B2891"/>
    <w:rsid w:val="004B29FB"/>
    <w:rsid w:val="004B5882"/>
    <w:rsid w:val="004B63C2"/>
    <w:rsid w:val="004C7C13"/>
    <w:rsid w:val="004D058A"/>
    <w:rsid w:val="004D4180"/>
    <w:rsid w:val="004E23AC"/>
    <w:rsid w:val="004E53F3"/>
    <w:rsid w:val="004F1A62"/>
    <w:rsid w:val="004F4D6C"/>
    <w:rsid w:val="004F602D"/>
    <w:rsid w:val="00500934"/>
    <w:rsid w:val="00500BF1"/>
    <w:rsid w:val="00506DEF"/>
    <w:rsid w:val="00506E92"/>
    <w:rsid w:val="0050794C"/>
    <w:rsid w:val="00512E06"/>
    <w:rsid w:val="005131A7"/>
    <w:rsid w:val="0051324F"/>
    <w:rsid w:val="00513E48"/>
    <w:rsid w:val="00514046"/>
    <w:rsid w:val="005164C0"/>
    <w:rsid w:val="005164F5"/>
    <w:rsid w:val="00517616"/>
    <w:rsid w:val="00532B0C"/>
    <w:rsid w:val="00532F9E"/>
    <w:rsid w:val="0053406B"/>
    <w:rsid w:val="00540274"/>
    <w:rsid w:val="00547E52"/>
    <w:rsid w:val="00553DCE"/>
    <w:rsid w:val="005542B8"/>
    <w:rsid w:val="00556975"/>
    <w:rsid w:val="00557428"/>
    <w:rsid w:val="00561B67"/>
    <w:rsid w:val="00563C3E"/>
    <w:rsid w:val="00564377"/>
    <w:rsid w:val="00564460"/>
    <w:rsid w:val="00571EB8"/>
    <w:rsid w:val="00576894"/>
    <w:rsid w:val="00576C11"/>
    <w:rsid w:val="005860B9"/>
    <w:rsid w:val="005863FF"/>
    <w:rsid w:val="005866C5"/>
    <w:rsid w:val="005874FB"/>
    <w:rsid w:val="005876A1"/>
    <w:rsid w:val="00592CF6"/>
    <w:rsid w:val="005A01CE"/>
    <w:rsid w:val="005A07FB"/>
    <w:rsid w:val="005A1041"/>
    <w:rsid w:val="005A2EB4"/>
    <w:rsid w:val="005B22F1"/>
    <w:rsid w:val="005B23C8"/>
    <w:rsid w:val="005B6CF0"/>
    <w:rsid w:val="005B7651"/>
    <w:rsid w:val="005B7915"/>
    <w:rsid w:val="005C1097"/>
    <w:rsid w:val="005C132B"/>
    <w:rsid w:val="005C56AB"/>
    <w:rsid w:val="005C5D11"/>
    <w:rsid w:val="005C5D25"/>
    <w:rsid w:val="005C64D1"/>
    <w:rsid w:val="005C7C38"/>
    <w:rsid w:val="005C7ED7"/>
    <w:rsid w:val="005D0F5E"/>
    <w:rsid w:val="005D3420"/>
    <w:rsid w:val="005D365D"/>
    <w:rsid w:val="005D3AF7"/>
    <w:rsid w:val="005D74B0"/>
    <w:rsid w:val="005E3BE3"/>
    <w:rsid w:val="005E4CA8"/>
    <w:rsid w:val="005E4F3B"/>
    <w:rsid w:val="005E6DE4"/>
    <w:rsid w:val="005E7390"/>
    <w:rsid w:val="005F69DF"/>
    <w:rsid w:val="00600BEE"/>
    <w:rsid w:val="00610FF7"/>
    <w:rsid w:val="00611D72"/>
    <w:rsid w:val="006146D6"/>
    <w:rsid w:val="00616840"/>
    <w:rsid w:val="00620CD2"/>
    <w:rsid w:val="00621BD5"/>
    <w:rsid w:val="00624242"/>
    <w:rsid w:val="0064387F"/>
    <w:rsid w:val="00644B15"/>
    <w:rsid w:val="00644CC3"/>
    <w:rsid w:val="00646155"/>
    <w:rsid w:val="00646EF7"/>
    <w:rsid w:val="0064720C"/>
    <w:rsid w:val="006478D4"/>
    <w:rsid w:val="00652516"/>
    <w:rsid w:val="006545C0"/>
    <w:rsid w:val="00654785"/>
    <w:rsid w:val="00661C87"/>
    <w:rsid w:val="00662059"/>
    <w:rsid w:val="006626F2"/>
    <w:rsid w:val="00666457"/>
    <w:rsid w:val="00670F43"/>
    <w:rsid w:val="006730CF"/>
    <w:rsid w:val="006755BF"/>
    <w:rsid w:val="00677421"/>
    <w:rsid w:val="006819D1"/>
    <w:rsid w:val="00685782"/>
    <w:rsid w:val="00686790"/>
    <w:rsid w:val="00692625"/>
    <w:rsid w:val="00693048"/>
    <w:rsid w:val="00695EC2"/>
    <w:rsid w:val="006966D7"/>
    <w:rsid w:val="00696814"/>
    <w:rsid w:val="006A4BE8"/>
    <w:rsid w:val="006A5AFD"/>
    <w:rsid w:val="006A6F6C"/>
    <w:rsid w:val="006A770C"/>
    <w:rsid w:val="006B0683"/>
    <w:rsid w:val="006B0B60"/>
    <w:rsid w:val="006C0109"/>
    <w:rsid w:val="006C0740"/>
    <w:rsid w:val="006C08A3"/>
    <w:rsid w:val="006C0ADD"/>
    <w:rsid w:val="006C1F78"/>
    <w:rsid w:val="006C3B53"/>
    <w:rsid w:val="006C4110"/>
    <w:rsid w:val="006C665C"/>
    <w:rsid w:val="006D2CD4"/>
    <w:rsid w:val="006D3A4C"/>
    <w:rsid w:val="006D3B55"/>
    <w:rsid w:val="006D452B"/>
    <w:rsid w:val="006D55BB"/>
    <w:rsid w:val="006D5662"/>
    <w:rsid w:val="006D5DDB"/>
    <w:rsid w:val="006D64E5"/>
    <w:rsid w:val="006D705D"/>
    <w:rsid w:val="006E0EEB"/>
    <w:rsid w:val="006E1A63"/>
    <w:rsid w:val="006E1D9E"/>
    <w:rsid w:val="006E7677"/>
    <w:rsid w:val="006F01E7"/>
    <w:rsid w:val="006F15D1"/>
    <w:rsid w:val="006F29F9"/>
    <w:rsid w:val="006F422A"/>
    <w:rsid w:val="006F4381"/>
    <w:rsid w:val="006F5D81"/>
    <w:rsid w:val="006F7540"/>
    <w:rsid w:val="00700F9B"/>
    <w:rsid w:val="00707B63"/>
    <w:rsid w:val="00720347"/>
    <w:rsid w:val="007205B3"/>
    <w:rsid w:val="00724B07"/>
    <w:rsid w:val="007255CC"/>
    <w:rsid w:val="00727BBA"/>
    <w:rsid w:val="007302D2"/>
    <w:rsid w:val="007352CB"/>
    <w:rsid w:val="00735B08"/>
    <w:rsid w:val="007446DB"/>
    <w:rsid w:val="00745D06"/>
    <w:rsid w:val="00747126"/>
    <w:rsid w:val="007474A8"/>
    <w:rsid w:val="00747CE3"/>
    <w:rsid w:val="00751597"/>
    <w:rsid w:val="007537BF"/>
    <w:rsid w:val="007540BD"/>
    <w:rsid w:val="007562C2"/>
    <w:rsid w:val="007606E3"/>
    <w:rsid w:val="007618AC"/>
    <w:rsid w:val="00762C67"/>
    <w:rsid w:val="00763847"/>
    <w:rsid w:val="007664F5"/>
    <w:rsid w:val="00767853"/>
    <w:rsid w:val="00771006"/>
    <w:rsid w:val="00771F28"/>
    <w:rsid w:val="00774D18"/>
    <w:rsid w:val="007848EB"/>
    <w:rsid w:val="0078533D"/>
    <w:rsid w:val="007856D9"/>
    <w:rsid w:val="00786022"/>
    <w:rsid w:val="007903D8"/>
    <w:rsid w:val="00790CDE"/>
    <w:rsid w:val="00791F3E"/>
    <w:rsid w:val="007922AA"/>
    <w:rsid w:val="00794DF4"/>
    <w:rsid w:val="00797951"/>
    <w:rsid w:val="007A3E34"/>
    <w:rsid w:val="007A585D"/>
    <w:rsid w:val="007B0585"/>
    <w:rsid w:val="007B59E5"/>
    <w:rsid w:val="007B74E9"/>
    <w:rsid w:val="007C470C"/>
    <w:rsid w:val="007D51B7"/>
    <w:rsid w:val="007D625C"/>
    <w:rsid w:val="007D6520"/>
    <w:rsid w:val="007D656E"/>
    <w:rsid w:val="007E1539"/>
    <w:rsid w:val="007E1D1C"/>
    <w:rsid w:val="007E4471"/>
    <w:rsid w:val="007E4706"/>
    <w:rsid w:val="007E69FB"/>
    <w:rsid w:val="007F0784"/>
    <w:rsid w:val="007F3EB0"/>
    <w:rsid w:val="007F4426"/>
    <w:rsid w:val="008006B8"/>
    <w:rsid w:val="0080173B"/>
    <w:rsid w:val="0080587F"/>
    <w:rsid w:val="008058C2"/>
    <w:rsid w:val="00805A73"/>
    <w:rsid w:val="0081081F"/>
    <w:rsid w:val="0081412D"/>
    <w:rsid w:val="00815A75"/>
    <w:rsid w:val="00820380"/>
    <w:rsid w:val="00820390"/>
    <w:rsid w:val="00821C10"/>
    <w:rsid w:val="00822F4C"/>
    <w:rsid w:val="00825EA4"/>
    <w:rsid w:val="00831FE1"/>
    <w:rsid w:val="00834031"/>
    <w:rsid w:val="00837C6B"/>
    <w:rsid w:val="00840D73"/>
    <w:rsid w:val="008411E6"/>
    <w:rsid w:val="00842941"/>
    <w:rsid w:val="008431BB"/>
    <w:rsid w:val="00844D70"/>
    <w:rsid w:val="008455E5"/>
    <w:rsid w:val="00845991"/>
    <w:rsid w:val="00846980"/>
    <w:rsid w:val="00850178"/>
    <w:rsid w:val="00850B03"/>
    <w:rsid w:val="00851994"/>
    <w:rsid w:val="00853C11"/>
    <w:rsid w:val="008542F1"/>
    <w:rsid w:val="00854D7C"/>
    <w:rsid w:val="008550F7"/>
    <w:rsid w:val="00857384"/>
    <w:rsid w:val="00857D5D"/>
    <w:rsid w:val="00862FD8"/>
    <w:rsid w:val="008700CB"/>
    <w:rsid w:val="00873266"/>
    <w:rsid w:val="00873E07"/>
    <w:rsid w:val="00875002"/>
    <w:rsid w:val="00876F8F"/>
    <w:rsid w:val="00885CE4"/>
    <w:rsid w:val="00887A0B"/>
    <w:rsid w:val="00891818"/>
    <w:rsid w:val="00893EA7"/>
    <w:rsid w:val="00895110"/>
    <w:rsid w:val="008959A8"/>
    <w:rsid w:val="00896481"/>
    <w:rsid w:val="008A029B"/>
    <w:rsid w:val="008A0EF2"/>
    <w:rsid w:val="008A2E8D"/>
    <w:rsid w:val="008A41C1"/>
    <w:rsid w:val="008A5B07"/>
    <w:rsid w:val="008B02E8"/>
    <w:rsid w:val="008B1F27"/>
    <w:rsid w:val="008B5D5E"/>
    <w:rsid w:val="008B75B2"/>
    <w:rsid w:val="008C03EA"/>
    <w:rsid w:val="008C1476"/>
    <w:rsid w:val="008C29F8"/>
    <w:rsid w:val="008C715E"/>
    <w:rsid w:val="008D27C8"/>
    <w:rsid w:val="008D5C0B"/>
    <w:rsid w:val="008D7DD0"/>
    <w:rsid w:val="008E0AD6"/>
    <w:rsid w:val="008E4F58"/>
    <w:rsid w:val="008E5A68"/>
    <w:rsid w:val="008E7B95"/>
    <w:rsid w:val="008F42A8"/>
    <w:rsid w:val="008F524C"/>
    <w:rsid w:val="008F60D2"/>
    <w:rsid w:val="008F67B8"/>
    <w:rsid w:val="008F7FEE"/>
    <w:rsid w:val="00901B99"/>
    <w:rsid w:val="00901CDF"/>
    <w:rsid w:val="009070DB"/>
    <w:rsid w:val="00911B0B"/>
    <w:rsid w:val="009125EE"/>
    <w:rsid w:val="00912D72"/>
    <w:rsid w:val="0092419D"/>
    <w:rsid w:val="00930B7A"/>
    <w:rsid w:val="00931F62"/>
    <w:rsid w:val="0093572A"/>
    <w:rsid w:val="00937AFA"/>
    <w:rsid w:val="0094143B"/>
    <w:rsid w:val="00943328"/>
    <w:rsid w:val="0094537A"/>
    <w:rsid w:val="00945D8F"/>
    <w:rsid w:val="0094606C"/>
    <w:rsid w:val="00950888"/>
    <w:rsid w:val="009509E4"/>
    <w:rsid w:val="00953905"/>
    <w:rsid w:val="009561B8"/>
    <w:rsid w:val="00957458"/>
    <w:rsid w:val="00961CDF"/>
    <w:rsid w:val="00962891"/>
    <w:rsid w:val="00964B05"/>
    <w:rsid w:val="009668F4"/>
    <w:rsid w:val="00970D7D"/>
    <w:rsid w:val="009724A3"/>
    <w:rsid w:val="00972BB6"/>
    <w:rsid w:val="00975484"/>
    <w:rsid w:val="00975BFA"/>
    <w:rsid w:val="00976415"/>
    <w:rsid w:val="00977139"/>
    <w:rsid w:val="00982220"/>
    <w:rsid w:val="00982EC9"/>
    <w:rsid w:val="009839D9"/>
    <w:rsid w:val="00984786"/>
    <w:rsid w:val="00986641"/>
    <w:rsid w:val="009867CF"/>
    <w:rsid w:val="009916BE"/>
    <w:rsid w:val="00992F45"/>
    <w:rsid w:val="00993235"/>
    <w:rsid w:val="009958DF"/>
    <w:rsid w:val="00995F90"/>
    <w:rsid w:val="00997DC6"/>
    <w:rsid w:val="009A3B71"/>
    <w:rsid w:val="009A43E3"/>
    <w:rsid w:val="009A7E70"/>
    <w:rsid w:val="009B0CCE"/>
    <w:rsid w:val="009B6994"/>
    <w:rsid w:val="009B6D28"/>
    <w:rsid w:val="009C1561"/>
    <w:rsid w:val="009C1823"/>
    <w:rsid w:val="009C7218"/>
    <w:rsid w:val="009D17DD"/>
    <w:rsid w:val="009D56E9"/>
    <w:rsid w:val="009D6B09"/>
    <w:rsid w:val="009E19E2"/>
    <w:rsid w:val="009E3568"/>
    <w:rsid w:val="009F0C95"/>
    <w:rsid w:val="009F36F7"/>
    <w:rsid w:val="009F559B"/>
    <w:rsid w:val="009F6C2F"/>
    <w:rsid w:val="00A02369"/>
    <w:rsid w:val="00A02522"/>
    <w:rsid w:val="00A06AFA"/>
    <w:rsid w:val="00A076B3"/>
    <w:rsid w:val="00A17354"/>
    <w:rsid w:val="00A200CC"/>
    <w:rsid w:val="00A201A7"/>
    <w:rsid w:val="00A21BEA"/>
    <w:rsid w:val="00A230F2"/>
    <w:rsid w:val="00A24075"/>
    <w:rsid w:val="00A30B06"/>
    <w:rsid w:val="00A31B86"/>
    <w:rsid w:val="00A32D83"/>
    <w:rsid w:val="00A34B76"/>
    <w:rsid w:val="00A461C9"/>
    <w:rsid w:val="00A46763"/>
    <w:rsid w:val="00A475EC"/>
    <w:rsid w:val="00A508C0"/>
    <w:rsid w:val="00A51352"/>
    <w:rsid w:val="00A554A5"/>
    <w:rsid w:val="00A55E8D"/>
    <w:rsid w:val="00A55FAE"/>
    <w:rsid w:val="00A56563"/>
    <w:rsid w:val="00A61E03"/>
    <w:rsid w:val="00A63A98"/>
    <w:rsid w:val="00A66C60"/>
    <w:rsid w:val="00A67174"/>
    <w:rsid w:val="00A70B5E"/>
    <w:rsid w:val="00A81A3D"/>
    <w:rsid w:val="00A852C3"/>
    <w:rsid w:val="00A865FF"/>
    <w:rsid w:val="00A91057"/>
    <w:rsid w:val="00A92978"/>
    <w:rsid w:val="00A93967"/>
    <w:rsid w:val="00A9465F"/>
    <w:rsid w:val="00A9575C"/>
    <w:rsid w:val="00A97CC0"/>
    <w:rsid w:val="00AA29FA"/>
    <w:rsid w:val="00AA2B88"/>
    <w:rsid w:val="00AA45D0"/>
    <w:rsid w:val="00AA50DE"/>
    <w:rsid w:val="00AB026F"/>
    <w:rsid w:val="00AB1518"/>
    <w:rsid w:val="00AB24CD"/>
    <w:rsid w:val="00AB3344"/>
    <w:rsid w:val="00AB620B"/>
    <w:rsid w:val="00AC4D0F"/>
    <w:rsid w:val="00AD6ACA"/>
    <w:rsid w:val="00AE2DCD"/>
    <w:rsid w:val="00AE3495"/>
    <w:rsid w:val="00AE613E"/>
    <w:rsid w:val="00AE65AC"/>
    <w:rsid w:val="00AF1060"/>
    <w:rsid w:val="00AF2407"/>
    <w:rsid w:val="00AF3771"/>
    <w:rsid w:val="00AF508F"/>
    <w:rsid w:val="00B03923"/>
    <w:rsid w:val="00B04117"/>
    <w:rsid w:val="00B049D2"/>
    <w:rsid w:val="00B103B7"/>
    <w:rsid w:val="00B15AB1"/>
    <w:rsid w:val="00B204D2"/>
    <w:rsid w:val="00B2235E"/>
    <w:rsid w:val="00B230B7"/>
    <w:rsid w:val="00B23219"/>
    <w:rsid w:val="00B233CC"/>
    <w:rsid w:val="00B2458B"/>
    <w:rsid w:val="00B25108"/>
    <w:rsid w:val="00B31DD9"/>
    <w:rsid w:val="00B407F7"/>
    <w:rsid w:val="00B409DB"/>
    <w:rsid w:val="00B45671"/>
    <w:rsid w:val="00B51249"/>
    <w:rsid w:val="00B5253D"/>
    <w:rsid w:val="00B555CC"/>
    <w:rsid w:val="00B5641A"/>
    <w:rsid w:val="00B5740D"/>
    <w:rsid w:val="00B57DEB"/>
    <w:rsid w:val="00B61BCE"/>
    <w:rsid w:val="00B63171"/>
    <w:rsid w:val="00B63590"/>
    <w:rsid w:val="00B66DB1"/>
    <w:rsid w:val="00B73154"/>
    <w:rsid w:val="00B7342A"/>
    <w:rsid w:val="00B74B48"/>
    <w:rsid w:val="00B7762C"/>
    <w:rsid w:val="00B80BDD"/>
    <w:rsid w:val="00B82965"/>
    <w:rsid w:val="00B835EE"/>
    <w:rsid w:val="00B877F9"/>
    <w:rsid w:val="00B878F3"/>
    <w:rsid w:val="00B90CDF"/>
    <w:rsid w:val="00B91AB8"/>
    <w:rsid w:val="00B97651"/>
    <w:rsid w:val="00BA275F"/>
    <w:rsid w:val="00BA2797"/>
    <w:rsid w:val="00BA316D"/>
    <w:rsid w:val="00BA5ACE"/>
    <w:rsid w:val="00BB4083"/>
    <w:rsid w:val="00BB5665"/>
    <w:rsid w:val="00BC0DFC"/>
    <w:rsid w:val="00BC214C"/>
    <w:rsid w:val="00BD2524"/>
    <w:rsid w:val="00BD6BCC"/>
    <w:rsid w:val="00BE2093"/>
    <w:rsid w:val="00BE34BD"/>
    <w:rsid w:val="00BE4BD7"/>
    <w:rsid w:val="00BE67EA"/>
    <w:rsid w:val="00BF04E2"/>
    <w:rsid w:val="00BF091D"/>
    <w:rsid w:val="00BF0EBA"/>
    <w:rsid w:val="00BF60AC"/>
    <w:rsid w:val="00BF70AD"/>
    <w:rsid w:val="00C013A7"/>
    <w:rsid w:val="00C01D4F"/>
    <w:rsid w:val="00C021A6"/>
    <w:rsid w:val="00C02CBB"/>
    <w:rsid w:val="00C0434A"/>
    <w:rsid w:val="00C077CA"/>
    <w:rsid w:val="00C0783F"/>
    <w:rsid w:val="00C07E23"/>
    <w:rsid w:val="00C07F70"/>
    <w:rsid w:val="00C20478"/>
    <w:rsid w:val="00C2365B"/>
    <w:rsid w:val="00C27868"/>
    <w:rsid w:val="00C3290D"/>
    <w:rsid w:val="00C37EBD"/>
    <w:rsid w:val="00C4018F"/>
    <w:rsid w:val="00C41025"/>
    <w:rsid w:val="00C45586"/>
    <w:rsid w:val="00C50F9A"/>
    <w:rsid w:val="00C51EA6"/>
    <w:rsid w:val="00C55BC2"/>
    <w:rsid w:val="00C57966"/>
    <w:rsid w:val="00C7085F"/>
    <w:rsid w:val="00C72D60"/>
    <w:rsid w:val="00C7415F"/>
    <w:rsid w:val="00C741DC"/>
    <w:rsid w:val="00C751DB"/>
    <w:rsid w:val="00C75B76"/>
    <w:rsid w:val="00C76990"/>
    <w:rsid w:val="00C8117E"/>
    <w:rsid w:val="00C829B1"/>
    <w:rsid w:val="00C834C8"/>
    <w:rsid w:val="00C86984"/>
    <w:rsid w:val="00C9111A"/>
    <w:rsid w:val="00C93E6A"/>
    <w:rsid w:val="00C9461E"/>
    <w:rsid w:val="00CA01D9"/>
    <w:rsid w:val="00CA0300"/>
    <w:rsid w:val="00CA308C"/>
    <w:rsid w:val="00CA3849"/>
    <w:rsid w:val="00CA6822"/>
    <w:rsid w:val="00CB07AC"/>
    <w:rsid w:val="00CB0A6D"/>
    <w:rsid w:val="00CB361B"/>
    <w:rsid w:val="00CB3F9C"/>
    <w:rsid w:val="00CC257B"/>
    <w:rsid w:val="00CC44C4"/>
    <w:rsid w:val="00CC4EB2"/>
    <w:rsid w:val="00CC6FE8"/>
    <w:rsid w:val="00CD4773"/>
    <w:rsid w:val="00CD4A64"/>
    <w:rsid w:val="00CD63AF"/>
    <w:rsid w:val="00CE0840"/>
    <w:rsid w:val="00CE129C"/>
    <w:rsid w:val="00CE29F4"/>
    <w:rsid w:val="00CE2C8A"/>
    <w:rsid w:val="00CE4FE3"/>
    <w:rsid w:val="00CF0836"/>
    <w:rsid w:val="00CF2929"/>
    <w:rsid w:val="00CF38A8"/>
    <w:rsid w:val="00CF4025"/>
    <w:rsid w:val="00CF571F"/>
    <w:rsid w:val="00D02394"/>
    <w:rsid w:val="00D05DB2"/>
    <w:rsid w:val="00D067C1"/>
    <w:rsid w:val="00D07ACF"/>
    <w:rsid w:val="00D10988"/>
    <w:rsid w:val="00D13088"/>
    <w:rsid w:val="00D1324B"/>
    <w:rsid w:val="00D13E0A"/>
    <w:rsid w:val="00D15B24"/>
    <w:rsid w:val="00D21C9B"/>
    <w:rsid w:val="00D2248E"/>
    <w:rsid w:val="00D2361E"/>
    <w:rsid w:val="00D24E63"/>
    <w:rsid w:val="00D273DB"/>
    <w:rsid w:val="00D274D4"/>
    <w:rsid w:val="00D31BB8"/>
    <w:rsid w:val="00D33594"/>
    <w:rsid w:val="00D34591"/>
    <w:rsid w:val="00D3477B"/>
    <w:rsid w:val="00D407B0"/>
    <w:rsid w:val="00D428F4"/>
    <w:rsid w:val="00D436B2"/>
    <w:rsid w:val="00D44217"/>
    <w:rsid w:val="00D44B53"/>
    <w:rsid w:val="00D4749D"/>
    <w:rsid w:val="00D47E77"/>
    <w:rsid w:val="00D505FA"/>
    <w:rsid w:val="00D50B6A"/>
    <w:rsid w:val="00D5535B"/>
    <w:rsid w:val="00D579AE"/>
    <w:rsid w:val="00D6062B"/>
    <w:rsid w:val="00D616F0"/>
    <w:rsid w:val="00D617FB"/>
    <w:rsid w:val="00D64230"/>
    <w:rsid w:val="00D64F16"/>
    <w:rsid w:val="00D652D6"/>
    <w:rsid w:val="00D657DD"/>
    <w:rsid w:val="00D66B63"/>
    <w:rsid w:val="00D718C5"/>
    <w:rsid w:val="00D71E61"/>
    <w:rsid w:val="00D74DC9"/>
    <w:rsid w:val="00D76FA8"/>
    <w:rsid w:val="00D77196"/>
    <w:rsid w:val="00D851CA"/>
    <w:rsid w:val="00D91F8C"/>
    <w:rsid w:val="00D92F27"/>
    <w:rsid w:val="00D93D3D"/>
    <w:rsid w:val="00D95997"/>
    <w:rsid w:val="00D97A52"/>
    <w:rsid w:val="00DA0421"/>
    <w:rsid w:val="00DA52EB"/>
    <w:rsid w:val="00DA6C19"/>
    <w:rsid w:val="00DB6D11"/>
    <w:rsid w:val="00DC29EE"/>
    <w:rsid w:val="00DC2D83"/>
    <w:rsid w:val="00DC30FD"/>
    <w:rsid w:val="00DD0692"/>
    <w:rsid w:val="00DD1346"/>
    <w:rsid w:val="00DD1C5F"/>
    <w:rsid w:val="00DD298A"/>
    <w:rsid w:val="00DD2FEA"/>
    <w:rsid w:val="00DD343D"/>
    <w:rsid w:val="00DD66C3"/>
    <w:rsid w:val="00DD6A0F"/>
    <w:rsid w:val="00DE5F05"/>
    <w:rsid w:val="00DE6D6A"/>
    <w:rsid w:val="00DE6EF6"/>
    <w:rsid w:val="00DF2F22"/>
    <w:rsid w:val="00DF4C64"/>
    <w:rsid w:val="00DF5305"/>
    <w:rsid w:val="00DF6AE1"/>
    <w:rsid w:val="00DF6F30"/>
    <w:rsid w:val="00E00E50"/>
    <w:rsid w:val="00E035B7"/>
    <w:rsid w:val="00E039AE"/>
    <w:rsid w:val="00E128F3"/>
    <w:rsid w:val="00E15945"/>
    <w:rsid w:val="00E1734F"/>
    <w:rsid w:val="00E17413"/>
    <w:rsid w:val="00E23670"/>
    <w:rsid w:val="00E26366"/>
    <w:rsid w:val="00E32AFB"/>
    <w:rsid w:val="00E32D3F"/>
    <w:rsid w:val="00E435A4"/>
    <w:rsid w:val="00E44CAE"/>
    <w:rsid w:val="00E51BF7"/>
    <w:rsid w:val="00E51CDF"/>
    <w:rsid w:val="00E562E1"/>
    <w:rsid w:val="00E577FE"/>
    <w:rsid w:val="00E64F04"/>
    <w:rsid w:val="00E6563B"/>
    <w:rsid w:val="00E7001C"/>
    <w:rsid w:val="00E7046E"/>
    <w:rsid w:val="00E70793"/>
    <w:rsid w:val="00E70F4C"/>
    <w:rsid w:val="00E776B9"/>
    <w:rsid w:val="00E81CC6"/>
    <w:rsid w:val="00E837AB"/>
    <w:rsid w:val="00E85C3A"/>
    <w:rsid w:val="00E906B7"/>
    <w:rsid w:val="00EA0939"/>
    <w:rsid w:val="00EA39EF"/>
    <w:rsid w:val="00EA72DF"/>
    <w:rsid w:val="00EB0491"/>
    <w:rsid w:val="00EB1F79"/>
    <w:rsid w:val="00EB3420"/>
    <w:rsid w:val="00EB6AA2"/>
    <w:rsid w:val="00EC0026"/>
    <w:rsid w:val="00EC1325"/>
    <w:rsid w:val="00EC245D"/>
    <w:rsid w:val="00EC5D1F"/>
    <w:rsid w:val="00EC6A8D"/>
    <w:rsid w:val="00EC7135"/>
    <w:rsid w:val="00EC7411"/>
    <w:rsid w:val="00EC7CD9"/>
    <w:rsid w:val="00ED2F35"/>
    <w:rsid w:val="00ED3F5A"/>
    <w:rsid w:val="00ED71EB"/>
    <w:rsid w:val="00EE7218"/>
    <w:rsid w:val="00EF09BF"/>
    <w:rsid w:val="00EF0B74"/>
    <w:rsid w:val="00EF50D1"/>
    <w:rsid w:val="00EF637C"/>
    <w:rsid w:val="00EF741C"/>
    <w:rsid w:val="00F01B7D"/>
    <w:rsid w:val="00F05798"/>
    <w:rsid w:val="00F119E8"/>
    <w:rsid w:val="00F121F9"/>
    <w:rsid w:val="00F1326A"/>
    <w:rsid w:val="00F14275"/>
    <w:rsid w:val="00F24613"/>
    <w:rsid w:val="00F309A8"/>
    <w:rsid w:val="00F30A24"/>
    <w:rsid w:val="00F30B60"/>
    <w:rsid w:val="00F31794"/>
    <w:rsid w:val="00F32B7D"/>
    <w:rsid w:val="00F330C3"/>
    <w:rsid w:val="00F33879"/>
    <w:rsid w:val="00F3545F"/>
    <w:rsid w:val="00F364B6"/>
    <w:rsid w:val="00F36D82"/>
    <w:rsid w:val="00F426BF"/>
    <w:rsid w:val="00F42CF8"/>
    <w:rsid w:val="00F53C73"/>
    <w:rsid w:val="00F54259"/>
    <w:rsid w:val="00F5712E"/>
    <w:rsid w:val="00F57903"/>
    <w:rsid w:val="00F6192E"/>
    <w:rsid w:val="00F6287C"/>
    <w:rsid w:val="00F631CA"/>
    <w:rsid w:val="00F64B0C"/>
    <w:rsid w:val="00F67A14"/>
    <w:rsid w:val="00F705AA"/>
    <w:rsid w:val="00F70DF1"/>
    <w:rsid w:val="00F76B1C"/>
    <w:rsid w:val="00F82926"/>
    <w:rsid w:val="00F832E5"/>
    <w:rsid w:val="00F8380E"/>
    <w:rsid w:val="00F842BB"/>
    <w:rsid w:val="00F84F74"/>
    <w:rsid w:val="00F86985"/>
    <w:rsid w:val="00F92686"/>
    <w:rsid w:val="00F9355E"/>
    <w:rsid w:val="00F95FF4"/>
    <w:rsid w:val="00F96814"/>
    <w:rsid w:val="00F96E02"/>
    <w:rsid w:val="00FA4A02"/>
    <w:rsid w:val="00FA627D"/>
    <w:rsid w:val="00FA74BC"/>
    <w:rsid w:val="00FB05E3"/>
    <w:rsid w:val="00FB14A3"/>
    <w:rsid w:val="00FB3BE6"/>
    <w:rsid w:val="00FB436F"/>
    <w:rsid w:val="00FC7067"/>
    <w:rsid w:val="00FC7A33"/>
    <w:rsid w:val="00FD00D9"/>
    <w:rsid w:val="00FD10EC"/>
    <w:rsid w:val="00FD27BC"/>
    <w:rsid w:val="00FD3877"/>
    <w:rsid w:val="00FD4CE0"/>
    <w:rsid w:val="00FD4D55"/>
    <w:rsid w:val="00FD53BC"/>
    <w:rsid w:val="00FD67B0"/>
    <w:rsid w:val="00FE08C3"/>
    <w:rsid w:val="00FE29A9"/>
    <w:rsid w:val="00FE2F6F"/>
    <w:rsid w:val="00FE4F3D"/>
    <w:rsid w:val="00FE6FED"/>
    <w:rsid w:val="00FE7D69"/>
    <w:rsid w:val="00FF13EA"/>
    <w:rsid w:val="00FF4644"/>
    <w:rsid w:val="00FF71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220"/>
    <w:pPr>
      <w:widowControl w:val="0"/>
      <w:jc w:val="both"/>
    </w:pPr>
  </w:style>
  <w:style w:type="paragraph" w:styleId="2">
    <w:name w:val="heading 2"/>
    <w:basedOn w:val="a"/>
    <w:link w:val="2Char"/>
    <w:uiPriority w:val="9"/>
    <w:qFormat/>
    <w:rsid w:val="00FD53B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986641"/>
    <w:pPr>
      <w:ind w:leftChars="2500" w:left="100"/>
    </w:pPr>
  </w:style>
  <w:style w:type="character" w:customStyle="1" w:styleId="Char">
    <w:name w:val="日期 Char"/>
    <w:basedOn w:val="a0"/>
    <w:link w:val="a3"/>
    <w:uiPriority w:val="99"/>
    <w:semiHidden/>
    <w:rsid w:val="00986641"/>
  </w:style>
  <w:style w:type="paragraph" w:styleId="a4">
    <w:name w:val="Normal (Web)"/>
    <w:basedOn w:val="a"/>
    <w:unhideWhenUsed/>
    <w:rsid w:val="00986641"/>
    <w:pPr>
      <w:widowControl/>
      <w:jc w:val="left"/>
    </w:pPr>
    <w:rPr>
      <w:rFonts w:ascii="Arial" w:eastAsia="宋体" w:hAnsi="Arial" w:cs="Arial"/>
      <w:color w:val="474747"/>
      <w:kern w:val="0"/>
      <w:sz w:val="18"/>
      <w:szCs w:val="18"/>
    </w:rPr>
  </w:style>
  <w:style w:type="paragraph" w:customStyle="1" w:styleId="location">
    <w:name w:val="location"/>
    <w:basedOn w:val="a"/>
    <w:rsid w:val="00986641"/>
    <w:pPr>
      <w:widowControl/>
      <w:jc w:val="left"/>
    </w:pPr>
    <w:rPr>
      <w:rFonts w:ascii="Arial" w:eastAsia="宋体" w:hAnsi="Arial" w:cs="Arial"/>
      <w:color w:val="4C4948"/>
      <w:kern w:val="0"/>
      <w:sz w:val="18"/>
      <w:szCs w:val="18"/>
    </w:rPr>
  </w:style>
  <w:style w:type="paragraph" w:customStyle="1" w:styleId="copyright">
    <w:name w:val="copyright"/>
    <w:basedOn w:val="a"/>
    <w:rsid w:val="00986641"/>
    <w:pPr>
      <w:widowControl/>
      <w:spacing w:line="300" w:lineRule="atLeast"/>
      <w:jc w:val="center"/>
    </w:pPr>
    <w:rPr>
      <w:rFonts w:ascii="Arial" w:eastAsia="宋体" w:hAnsi="Arial" w:cs="Arial"/>
      <w:color w:val="848484"/>
      <w:kern w:val="0"/>
      <w:sz w:val="18"/>
      <w:szCs w:val="18"/>
    </w:rPr>
  </w:style>
  <w:style w:type="paragraph" w:customStyle="1" w:styleId="tel1">
    <w:name w:val="tel1"/>
    <w:basedOn w:val="a"/>
    <w:rsid w:val="00986641"/>
    <w:pPr>
      <w:widowControl/>
      <w:spacing w:after="150"/>
      <w:ind w:hanging="18913"/>
      <w:jc w:val="left"/>
    </w:pPr>
    <w:rPr>
      <w:rFonts w:ascii="Arial" w:eastAsia="宋体" w:hAnsi="Arial" w:cs="Arial"/>
      <w:color w:val="474747"/>
      <w:kern w:val="0"/>
      <w:sz w:val="18"/>
      <w:szCs w:val="18"/>
    </w:rPr>
  </w:style>
  <w:style w:type="paragraph" w:styleId="a5">
    <w:name w:val="Balloon Text"/>
    <w:basedOn w:val="a"/>
    <w:link w:val="Char0"/>
    <w:uiPriority w:val="99"/>
    <w:semiHidden/>
    <w:unhideWhenUsed/>
    <w:rsid w:val="00986641"/>
    <w:rPr>
      <w:sz w:val="18"/>
      <w:szCs w:val="18"/>
    </w:rPr>
  </w:style>
  <w:style w:type="character" w:customStyle="1" w:styleId="Char0">
    <w:name w:val="批注框文本 Char"/>
    <w:basedOn w:val="a0"/>
    <w:link w:val="a5"/>
    <w:uiPriority w:val="99"/>
    <w:semiHidden/>
    <w:rsid w:val="00986641"/>
    <w:rPr>
      <w:sz w:val="18"/>
      <w:szCs w:val="18"/>
    </w:rPr>
  </w:style>
  <w:style w:type="table" w:styleId="a6">
    <w:name w:val="Table Grid"/>
    <w:basedOn w:val="a1"/>
    <w:uiPriority w:val="59"/>
    <w:rsid w:val="005643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1"/>
    <w:uiPriority w:val="99"/>
    <w:unhideWhenUsed/>
    <w:rsid w:val="005643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564377"/>
    <w:rPr>
      <w:sz w:val="18"/>
      <w:szCs w:val="18"/>
    </w:rPr>
  </w:style>
  <w:style w:type="paragraph" w:styleId="a8">
    <w:name w:val="footer"/>
    <w:basedOn w:val="a"/>
    <w:link w:val="Char2"/>
    <w:uiPriority w:val="99"/>
    <w:unhideWhenUsed/>
    <w:rsid w:val="00564377"/>
    <w:pPr>
      <w:tabs>
        <w:tab w:val="center" w:pos="4153"/>
        <w:tab w:val="right" w:pos="8306"/>
      </w:tabs>
      <w:snapToGrid w:val="0"/>
      <w:jc w:val="left"/>
    </w:pPr>
    <w:rPr>
      <w:sz w:val="18"/>
      <w:szCs w:val="18"/>
    </w:rPr>
  </w:style>
  <w:style w:type="character" w:customStyle="1" w:styleId="Char2">
    <w:name w:val="页脚 Char"/>
    <w:basedOn w:val="a0"/>
    <w:link w:val="a8"/>
    <w:uiPriority w:val="99"/>
    <w:rsid w:val="00564377"/>
    <w:rPr>
      <w:sz w:val="18"/>
      <w:szCs w:val="18"/>
    </w:rPr>
  </w:style>
  <w:style w:type="character" w:styleId="a9">
    <w:name w:val="Hyperlink"/>
    <w:basedOn w:val="a0"/>
    <w:uiPriority w:val="99"/>
    <w:unhideWhenUsed/>
    <w:rsid w:val="00C4018F"/>
    <w:rPr>
      <w:color w:val="0000FF" w:themeColor="hyperlink"/>
      <w:u w:val="single"/>
    </w:rPr>
  </w:style>
  <w:style w:type="character" w:customStyle="1" w:styleId="2Char">
    <w:name w:val="标题 2 Char"/>
    <w:basedOn w:val="a0"/>
    <w:link w:val="2"/>
    <w:uiPriority w:val="9"/>
    <w:rsid w:val="00FD53BC"/>
    <w:rPr>
      <w:rFonts w:ascii="宋体" w:eastAsia="宋体" w:hAnsi="宋体" w:cs="宋体"/>
      <w:b/>
      <w:bCs/>
      <w:kern w:val="0"/>
      <w:sz w:val="36"/>
      <w:szCs w:val="36"/>
    </w:rPr>
  </w:style>
  <w:style w:type="character" w:styleId="aa">
    <w:name w:val="Strong"/>
    <w:basedOn w:val="a0"/>
    <w:uiPriority w:val="22"/>
    <w:qFormat/>
    <w:rsid w:val="00FD53BC"/>
    <w:rPr>
      <w:b/>
      <w:bCs/>
    </w:rPr>
  </w:style>
  <w:style w:type="paragraph" w:styleId="ab">
    <w:name w:val="List Paragraph"/>
    <w:basedOn w:val="a"/>
    <w:uiPriority w:val="34"/>
    <w:qFormat/>
    <w:rsid w:val="00FA74BC"/>
    <w:pPr>
      <w:ind w:firstLineChars="200" w:firstLine="420"/>
    </w:pPr>
  </w:style>
  <w:style w:type="character" w:styleId="ac">
    <w:name w:val="annotation reference"/>
    <w:basedOn w:val="a0"/>
    <w:uiPriority w:val="99"/>
    <w:semiHidden/>
    <w:unhideWhenUsed/>
    <w:rsid w:val="00A9575C"/>
    <w:rPr>
      <w:sz w:val="21"/>
      <w:szCs w:val="21"/>
    </w:rPr>
  </w:style>
  <w:style w:type="paragraph" w:styleId="ad">
    <w:name w:val="annotation text"/>
    <w:basedOn w:val="a"/>
    <w:link w:val="Char3"/>
    <w:uiPriority w:val="99"/>
    <w:semiHidden/>
    <w:unhideWhenUsed/>
    <w:rsid w:val="00A9575C"/>
    <w:pPr>
      <w:jc w:val="left"/>
    </w:pPr>
  </w:style>
  <w:style w:type="character" w:customStyle="1" w:styleId="Char3">
    <w:name w:val="批注文字 Char"/>
    <w:basedOn w:val="a0"/>
    <w:link w:val="ad"/>
    <w:uiPriority w:val="99"/>
    <w:semiHidden/>
    <w:rsid w:val="00A9575C"/>
  </w:style>
  <w:style w:type="paragraph" w:styleId="ae">
    <w:name w:val="annotation subject"/>
    <w:basedOn w:val="ad"/>
    <w:next w:val="ad"/>
    <w:link w:val="Char4"/>
    <w:uiPriority w:val="99"/>
    <w:semiHidden/>
    <w:unhideWhenUsed/>
    <w:rsid w:val="00A9575C"/>
    <w:rPr>
      <w:b/>
      <w:bCs/>
    </w:rPr>
  </w:style>
  <w:style w:type="character" w:customStyle="1" w:styleId="Char4">
    <w:name w:val="批注主题 Char"/>
    <w:basedOn w:val="Char3"/>
    <w:link w:val="ae"/>
    <w:uiPriority w:val="99"/>
    <w:semiHidden/>
    <w:rsid w:val="00A9575C"/>
    <w:rPr>
      <w:b/>
      <w:bCs/>
    </w:rPr>
  </w:style>
  <w:style w:type="paragraph" w:styleId="af">
    <w:name w:val="Revision"/>
    <w:hidden/>
    <w:uiPriority w:val="99"/>
    <w:semiHidden/>
    <w:rsid w:val="00850178"/>
  </w:style>
  <w:style w:type="paragraph" w:styleId="3">
    <w:name w:val="Body Text 3"/>
    <w:basedOn w:val="a"/>
    <w:link w:val="3Char"/>
    <w:rsid w:val="00297A0D"/>
    <w:pPr>
      <w:autoSpaceDE w:val="0"/>
      <w:autoSpaceDN w:val="0"/>
      <w:adjustRightInd w:val="0"/>
      <w:spacing w:after="120" w:line="360" w:lineRule="auto"/>
      <w:textAlignment w:val="baseline"/>
    </w:pPr>
    <w:rPr>
      <w:rFonts w:ascii="Times New Roman" w:eastAsia="宋体" w:hAnsi="Times New Roman" w:cs="Times New Roman"/>
      <w:kern w:val="0"/>
      <w:sz w:val="24"/>
      <w:szCs w:val="20"/>
      <w:u w:val="single"/>
    </w:rPr>
  </w:style>
  <w:style w:type="character" w:customStyle="1" w:styleId="3Char">
    <w:name w:val="正文文本 3 Char"/>
    <w:basedOn w:val="a0"/>
    <w:link w:val="3"/>
    <w:rsid w:val="00297A0D"/>
    <w:rPr>
      <w:rFonts w:ascii="Times New Roman" w:eastAsia="宋体" w:hAnsi="Times New Roman" w:cs="Times New Roman"/>
      <w:kern w:val="0"/>
      <w:sz w:val="24"/>
      <w:szCs w:val="20"/>
      <w:u w:val="single"/>
    </w:rPr>
  </w:style>
  <w:style w:type="paragraph" w:customStyle="1" w:styleId="Default">
    <w:name w:val="Default"/>
    <w:rsid w:val="00BF0EBA"/>
    <w:pPr>
      <w:widowControl w:val="0"/>
      <w:autoSpaceDE w:val="0"/>
      <w:autoSpaceDN w:val="0"/>
      <w:adjustRightInd w:val="0"/>
    </w:pPr>
    <w:rPr>
      <w:rFonts w:ascii="宋体" w:hAnsi="宋体" w:cs="宋体"/>
      <w:color w:val="000000"/>
      <w:kern w:val="0"/>
      <w:sz w:val="24"/>
      <w:szCs w:val="24"/>
    </w:rPr>
  </w:style>
  <w:style w:type="paragraph" w:styleId="af0">
    <w:name w:val="caption"/>
    <w:basedOn w:val="a"/>
    <w:next w:val="a"/>
    <w:uiPriority w:val="35"/>
    <w:unhideWhenUsed/>
    <w:qFormat/>
    <w:rsid w:val="00C07E23"/>
    <w:rPr>
      <w:rFonts w:asciiTheme="majorHAnsi" w:eastAsia="黑体" w:hAnsiTheme="majorHAnsi" w:cstheme="majorBidi"/>
      <w:sz w:val="20"/>
      <w:szCs w:val="20"/>
    </w:rPr>
  </w:style>
</w:styles>
</file>

<file path=word/webSettings.xml><?xml version="1.0" encoding="utf-8"?>
<w:webSettings xmlns:r="http://schemas.openxmlformats.org/officeDocument/2006/relationships" xmlns:w="http://schemas.openxmlformats.org/wordprocessingml/2006/main">
  <w:divs>
    <w:div w:id="6644581">
      <w:bodyDiv w:val="1"/>
      <w:marLeft w:val="0"/>
      <w:marRight w:val="0"/>
      <w:marTop w:val="0"/>
      <w:marBottom w:val="0"/>
      <w:divBdr>
        <w:top w:val="none" w:sz="0" w:space="0" w:color="auto"/>
        <w:left w:val="none" w:sz="0" w:space="0" w:color="auto"/>
        <w:bottom w:val="none" w:sz="0" w:space="0" w:color="auto"/>
        <w:right w:val="none" w:sz="0" w:space="0" w:color="auto"/>
      </w:divBdr>
    </w:div>
    <w:div w:id="26222201">
      <w:bodyDiv w:val="1"/>
      <w:marLeft w:val="0"/>
      <w:marRight w:val="0"/>
      <w:marTop w:val="0"/>
      <w:marBottom w:val="0"/>
      <w:divBdr>
        <w:top w:val="none" w:sz="0" w:space="0" w:color="auto"/>
        <w:left w:val="none" w:sz="0" w:space="0" w:color="auto"/>
        <w:bottom w:val="none" w:sz="0" w:space="0" w:color="auto"/>
        <w:right w:val="none" w:sz="0" w:space="0" w:color="auto"/>
      </w:divBdr>
    </w:div>
    <w:div w:id="149909441">
      <w:bodyDiv w:val="1"/>
      <w:marLeft w:val="0"/>
      <w:marRight w:val="0"/>
      <w:marTop w:val="0"/>
      <w:marBottom w:val="0"/>
      <w:divBdr>
        <w:top w:val="none" w:sz="0" w:space="0" w:color="auto"/>
        <w:left w:val="none" w:sz="0" w:space="0" w:color="auto"/>
        <w:bottom w:val="none" w:sz="0" w:space="0" w:color="auto"/>
        <w:right w:val="none" w:sz="0" w:space="0" w:color="auto"/>
      </w:divBdr>
    </w:div>
    <w:div w:id="170804645">
      <w:bodyDiv w:val="1"/>
      <w:marLeft w:val="0"/>
      <w:marRight w:val="0"/>
      <w:marTop w:val="0"/>
      <w:marBottom w:val="0"/>
      <w:divBdr>
        <w:top w:val="none" w:sz="0" w:space="0" w:color="auto"/>
        <w:left w:val="none" w:sz="0" w:space="0" w:color="auto"/>
        <w:bottom w:val="none" w:sz="0" w:space="0" w:color="auto"/>
        <w:right w:val="none" w:sz="0" w:space="0" w:color="auto"/>
      </w:divBdr>
      <w:divsChild>
        <w:div w:id="1162501648">
          <w:marLeft w:val="0"/>
          <w:marRight w:val="0"/>
          <w:marTop w:val="0"/>
          <w:marBottom w:val="150"/>
          <w:divBdr>
            <w:top w:val="none" w:sz="0" w:space="0" w:color="auto"/>
            <w:left w:val="none" w:sz="0" w:space="0" w:color="auto"/>
            <w:bottom w:val="single" w:sz="6" w:space="8" w:color="E0E0E0"/>
            <w:right w:val="none" w:sz="0" w:space="0" w:color="auto"/>
          </w:divBdr>
          <w:divsChild>
            <w:div w:id="1866553335">
              <w:marLeft w:val="0"/>
              <w:marRight w:val="0"/>
              <w:marTop w:val="0"/>
              <w:marBottom w:val="0"/>
              <w:divBdr>
                <w:top w:val="none" w:sz="0" w:space="0" w:color="auto"/>
                <w:left w:val="none" w:sz="0" w:space="0" w:color="auto"/>
                <w:bottom w:val="none" w:sz="0" w:space="0" w:color="auto"/>
                <w:right w:val="none" w:sz="0" w:space="0" w:color="auto"/>
              </w:divBdr>
            </w:div>
          </w:divsChild>
        </w:div>
        <w:div w:id="561986234">
          <w:marLeft w:val="0"/>
          <w:marRight w:val="0"/>
          <w:marTop w:val="0"/>
          <w:marBottom w:val="0"/>
          <w:divBdr>
            <w:top w:val="none" w:sz="0" w:space="0" w:color="auto"/>
            <w:left w:val="none" w:sz="0" w:space="0" w:color="auto"/>
            <w:bottom w:val="none" w:sz="0" w:space="0" w:color="auto"/>
            <w:right w:val="none" w:sz="0" w:space="0" w:color="auto"/>
          </w:divBdr>
        </w:div>
      </w:divsChild>
    </w:div>
    <w:div w:id="231162882">
      <w:marLeft w:val="0"/>
      <w:marRight w:val="0"/>
      <w:marTop w:val="120"/>
      <w:marBottom w:val="0"/>
      <w:divBdr>
        <w:top w:val="none" w:sz="0" w:space="0" w:color="auto"/>
        <w:left w:val="none" w:sz="0" w:space="0" w:color="auto"/>
        <w:bottom w:val="none" w:sz="0" w:space="0" w:color="auto"/>
        <w:right w:val="none" w:sz="0" w:space="0" w:color="auto"/>
      </w:divBdr>
      <w:divsChild>
        <w:div w:id="910040340">
          <w:marLeft w:val="0"/>
          <w:marRight w:val="0"/>
          <w:marTop w:val="0"/>
          <w:marBottom w:val="0"/>
          <w:divBdr>
            <w:top w:val="none" w:sz="0" w:space="0" w:color="auto"/>
            <w:left w:val="none" w:sz="0" w:space="0" w:color="auto"/>
            <w:bottom w:val="none" w:sz="0" w:space="0" w:color="auto"/>
            <w:right w:val="none" w:sz="0" w:space="0" w:color="auto"/>
          </w:divBdr>
          <w:divsChild>
            <w:div w:id="1445807673">
              <w:marLeft w:val="0"/>
              <w:marRight w:val="0"/>
              <w:marTop w:val="0"/>
              <w:marBottom w:val="150"/>
              <w:divBdr>
                <w:top w:val="none" w:sz="0" w:space="0" w:color="auto"/>
                <w:left w:val="none" w:sz="0" w:space="0" w:color="auto"/>
                <w:bottom w:val="single" w:sz="6" w:space="8" w:color="E0E0E0"/>
                <w:right w:val="none" w:sz="0" w:space="0" w:color="auto"/>
              </w:divBdr>
              <w:divsChild>
                <w:div w:id="1064525539">
                  <w:marLeft w:val="0"/>
                  <w:marRight w:val="0"/>
                  <w:marTop w:val="0"/>
                  <w:marBottom w:val="0"/>
                  <w:divBdr>
                    <w:top w:val="none" w:sz="0" w:space="0" w:color="auto"/>
                    <w:left w:val="none" w:sz="0" w:space="0" w:color="auto"/>
                    <w:bottom w:val="none" w:sz="0" w:space="0" w:color="auto"/>
                    <w:right w:val="none" w:sz="0" w:space="0" w:color="auto"/>
                  </w:divBdr>
                </w:div>
              </w:divsChild>
            </w:div>
            <w:div w:id="4191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23743">
      <w:bodyDiv w:val="1"/>
      <w:marLeft w:val="0"/>
      <w:marRight w:val="0"/>
      <w:marTop w:val="0"/>
      <w:marBottom w:val="0"/>
      <w:divBdr>
        <w:top w:val="none" w:sz="0" w:space="0" w:color="auto"/>
        <w:left w:val="none" w:sz="0" w:space="0" w:color="auto"/>
        <w:bottom w:val="none" w:sz="0" w:space="0" w:color="auto"/>
        <w:right w:val="none" w:sz="0" w:space="0" w:color="auto"/>
      </w:divBdr>
    </w:div>
    <w:div w:id="293148022">
      <w:bodyDiv w:val="1"/>
      <w:marLeft w:val="0"/>
      <w:marRight w:val="0"/>
      <w:marTop w:val="0"/>
      <w:marBottom w:val="0"/>
      <w:divBdr>
        <w:top w:val="none" w:sz="0" w:space="0" w:color="auto"/>
        <w:left w:val="none" w:sz="0" w:space="0" w:color="auto"/>
        <w:bottom w:val="none" w:sz="0" w:space="0" w:color="auto"/>
        <w:right w:val="none" w:sz="0" w:space="0" w:color="auto"/>
      </w:divBdr>
    </w:div>
    <w:div w:id="366105204">
      <w:bodyDiv w:val="1"/>
      <w:marLeft w:val="0"/>
      <w:marRight w:val="0"/>
      <w:marTop w:val="0"/>
      <w:marBottom w:val="0"/>
      <w:divBdr>
        <w:top w:val="none" w:sz="0" w:space="0" w:color="auto"/>
        <w:left w:val="none" w:sz="0" w:space="0" w:color="auto"/>
        <w:bottom w:val="none" w:sz="0" w:space="0" w:color="auto"/>
        <w:right w:val="none" w:sz="0" w:space="0" w:color="auto"/>
      </w:divBdr>
    </w:div>
    <w:div w:id="461382099">
      <w:marLeft w:val="0"/>
      <w:marRight w:val="0"/>
      <w:marTop w:val="195"/>
      <w:marBottom w:val="225"/>
      <w:divBdr>
        <w:top w:val="none" w:sz="0" w:space="0" w:color="auto"/>
        <w:left w:val="none" w:sz="0" w:space="0" w:color="auto"/>
        <w:bottom w:val="single" w:sz="24" w:space="0" w:color="C1D2EC"/>
        <w:right w:val="none" w:sz="0" w:space="0" w:color="auto"/>
      </w:divBdr>
      <w:divsChild>
        <w:div w:id="347372126">
          <w:marLeft w:val="0"/>
          <w:marRight w:val="0"/>
          <w:marTop w:val="0"/>
          <w:marBottom w:val="0"/>
          <w:divBdr>
            <w:top w:val="none" w:sz="0" w:space="0" w:color="auto"/>
            <w:left w:val="none" w:sz="0" w:space="0" w:color="auto"/>
            <w:bottom w:val="none" w:sz="0" w:space="0" w:color="auto"/>
            <w:right w:val="none" w:sz="0" w:space="0" w:color="auto"/>
          </w:divBdr>
        </w:div>
        <w:div w:id="2081175099">
          <w:marLeft w:val="0"/>
          <w:marRight w:val="0"/>
          <w:marTop w:val="0"/>
          <w:marBottom w:val="0"/>
          <w:divBdr>
            <w:top w:val="none" w:sz="0" w:space="0" w:color="auto"/>
            <w:left w:val="none" w:sz="0" w:space="0" w:color="auto"/>
            <w:bottom w:val="none" w:sz="0" w:space="0" w:color="auto"/>
            <w:right w:val="none" w:sz="0" w:space="0" w:color="auto"/>
          </w:divBdr>
          <w:divsChild>
            <w:div w:id="13046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06133">
      <w:bodyDiv w:val="1"/>
      <w:marLeft w:val="0"/>
      <w:marRight w:val="0"/>
      <w:marTop w:val="0"/>
      <w:marBottom w:val="0"/>
      <w:divBdr>
        <w:top w:val="none" w:sz="0" w:space="0" w:color="auto"/>
        <w:left w:val="none" w:sz="0" w:space="0" w:color="auto"/>
        <w:bottom w:val="none" w:sz="0" w:space="0" w:color="auto"/>
        <w:right w:val="none" w:sz="0" w:space="0" w:color="auto"/>
      </w:divBdr>
    </w:div>
    <w:div w:id="567808508">
      <w:bodyDiv w:val="1"/>
      <w:marLeft w:val="0"/>
      <w:marRight w:val="0"/>
      <w:marTop w:val="0"/>
      <w:marBottom w:val="0"/>
      <w:divBdr>
        <w:top w:val="none" w:sz="0" w:space="0" w:color="auto"/>
        <w:left w:val="none" w:sz="0" w:space="0" w:color="auto"/>
        <w:bottom w:val="none" w:sz="0" w:space="0" w:color="auto"/>
        <w:right w:val="none" w:sz="0" w:space="0" w:color="auto"/>
      </w:divBdr>
    </w:div>
    <w:div w:id="617568587">
      <w:bodyDiv w:val="1"/>
      <w:marLeft w:val="0"/>
      <w:marRight w:val="0"/>
      <w:marTop w:val="0"/>
      <w:marBottom w:val="0"/>
      <w:divBdr>
        <w:top w:val="none" w:sz="0" w:space="0" w:color="auto"/>
        <w:left w:val="none" w:sz="0" w:space="0" w:color="auto"/>
        <w:bottom w:val="none" w:sz="0" w:space="0" w:color="auto"/>
        <w:right w:val="none" w:sz="0" w:space="0" w:color="auto"/>
      </w:divBdr>
    </w:div>
    <w:div w:id="643585002">
      <w:bodyDiv w:val="1"/>
      <w:marLeft w:val="0"/>
      <w:marRight w:val="0"/>
      <w:marTop w:val="0"/>
      <w:marBottom w:val="0"/>
      <w:divBdr>
        <w:top w:val="none" w:sz="0" w:space="0" w:color="auto"/>
        <w:left w:val="none" w:sz="0" w:space="0" w:color="auto"/>
        <w:bottom w:val="none" w:sz="0" w:space="0" w:color="auto"/>
        <w:right w:val="none" w:sz="0" w:space="0" w:color="auto"/>
      </w:divBdr>
    </w:div>
    <w:div w:id="691495863">
      <w:marLeft w:val="0"/>
      <w:marRight w:val="0"/>
      <w:marTop w:val="300"/>
      <w:marBottom w:val="0"/>
      <w:divBdr>
        <w:top w:val="none" w:sz="0" w:space="0" w:color="auto"/>
        <w:left w:val="none" w:sz="0" w:space="0" w:color="auto"/>
        <w:bottom w:val="none" w:sz="0" w:space="0" w:color="auto"/>
        <w:right w:val="none" w:sz="0" w:space="0" w:color="auto"/>
      </w:divBdr>
      <w:divsChild>
        <w:div w:id="920603309">
          <w:marLeft w:val="0"/>
          <w:marRight w:val="0"/>
          <w:marTop w:val="0"/>
          <w:marBottom w:val="0"/>
          <w:divBdr>
            <w:top w:val="none" w:sz="0" w:space="0" w:color="auto"/>
            <w:left w:val="none" w:sz="0" w:space="0" w:color="auto"/>
            <w:bottom w:val="none" w:sz="0" w:space="0" w:color="auto"/>
            <w:right w:val="none" w:sz="0" w:space="0" w:color="auto"/>
          </w:divBdr>
        </w:div>
        <w:div w:id="1032730839">
          <w:marLeft w:val="0"/>
          <w:marRight w:val="0"/>
          <w:marTop w:val="0"/>
          <w:marBottom w:val="0"/>
          <w:divBdr>
            <w:top w:val="none" w:sz="0" w:space="0" w:color="auto"/>
            <w:left w:val="none" w:sz="0" w:space="0" w:color="auto"/>
            <w:bottom w:val="none" w:sz="0" w:space="0" w:color="auto"/>
            <w:right w:val="none" w:sz="0" w:space="0" w:color="auto"/>
          </w:divBdr>
          <w:divsChild>
            <w:div w:id="13315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3984">
      <w:marLeft w:val="0"/>
      <w:marRight w:val="0"/>
      <w:marTop w:val="0"/>
      <w:marBottom w:val="0"/>
      <w:divBdr>
        <w:top w:val="none" w:sz="0" w:space="0" w:color="auto"/>
        <w:left w:val="none" w:sz="0" w:space="0" w:color="auto"/>
        <w:bottom w:val="none" w:sz="0" w:space="0" w:color="auto"/>
        <w:right w:val="none" w:sz="0" w:space="0" w:color="auto"/>
      </w:divBdr>
      <w:divsChild>
        <w:div w:id="387457524">
          <w:marLeft w:val="0"/>
          <w:marRight w:val="0"/>
          <w:marTop w:val="0"/>
          <w:marBottom w:val="0"/>
          <w:divBdr>
            <w:top w:val="none" w:sz="0" w:space="0" w:color="auto"/>
            <w:left w:val="none" w:sz="0" w:space="0" w:color="auto"/>
            <w:bottom w:val="none" w:sz="0" w:space="0" w:color="auto"/>
            <w:right w:val="none" w:sz="0" w:space="0" w:color="auto"/>
          </w:divBdr>
        </w:div>
      </w:divsChild>
    </w:div>
    <w:div w:id="804931857">
      <w:bodyDiv w:val="1"/>
      <w:marLeft w:val="0"/>
      <w:marRight w:val="0"/>
      <w:marTop w:val="0"/>
      <w:marBottom w:val="0"/>
      <w:divBdr>
        <w:top w:val="none" w:sz="0" w:space="0" w:color="auto"/>
        <w:left w:val="none" w:sz="0" w:space="0" w:color="auto"/>
        <w:bottom w:val="none" w:sz="0" w:space="0" w:color="auto"/>
        <w:right w:val="none" w:sz="0" w:space="0" w:color="auto"/>
      </w:divBdr>
    </w:div>
    <w:div w:id="829442204">
      <w:marLeft w:val="0"/>
      <w:marRight w:val="0"/>
      <w:marTop w:val="300"/>
      <w:marBottom w:val="0"/>
      <w:divBdr>
        <w:top w:val="none" w:sz="0" w:space="0" w:color="auto"/>
        <w:left w:val="none" w:sz="0" w:space="0" w:color="auto"/>
        <w:bottom w:val="none" w:sz="0" w:space="0" w:color="auto"/>
        <w:right w:val="none" w:sz="0" w:space="0" w:color="auto"/>
      </w:divBdr>
      <w:divsChild>
        <w:div w:id="653532231">
          <w:marLeft w:val="0"/>
          <w:marRight w:val="0"/>
          <w:marTop w:val="0"/>
          <w:marBottom w:val="0"/>
          <w:divBdr>
            <w:top w:val="none" w:sz="0" w:space="0" w:color="auto"/>
            <w:left w:val="none" w:sz="0" w:space="0" w:color="auto"/>
            <w:bottom w:val="none" w:sz="0" w:space="0" w:color="auto"/>
            <w:right w:val="none" w:sz="0" w:space="0" w:color="auto"/>
          </w:divBdr>
        </w:div>
        <w:div w:id="1289165790">
          <w:marLeft w:val="0"/>
          <w:marRight w:val="0"/>
          <w:marTop w:val="0"/>
          <w:marBottom w:val="0"/>
          <w:divBdr>
            <w:top w:val="none" w:sz="0" w:space="0" w:color="auto"/>
            <w:left w:val="none" w:sz="0" w:space="0" w:color="auto"/>
            <w:bottom w:val="none" w:sz="0" w:space="0" w:color="auto"/>
            <w:right w:val="none" w:sz="0" w:space="0" w:color="auto"/>
          </w:divBdr>
          <w:divsChild>
            <w:div w:id="21217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436081">
      <w:bodyDiv w:val="1"/>
      <w:marLeft w:val="0"/>
      <w:marRight w:val="0"/>
      <w:marTop w:val="0"/>
      <w:marBottom w:val="0"/>
      <w:divBdr>
        <w:top w:val="none" w:sz="0" w:space="0" w:color="auto"/>
        <w:left w:val="none" w:sz="0" w:space="0" w:color="auto"/>
        <w:bottom w:val="none" w:sz="0" w:space="0" w:color="auto"/>
        <w:right w:val="none" w:sz="0" w:space="0" w:color="auto"/>
      </w:divBdr>
      <w:divsChild>
        <w:div w:id="720665867">
          <w:marLeft w:val="0"/>
          <w:marRight w:val="0"/>
          <w:marTop w:val="0"/>
          <w:marBottom w:val="0"/>
          <w:divBdr>
            <w:top w:val="none" w:sz="0" w:space="0" w:color="auto"/>
            <w:left w:val="none" w:sz="0" w:space="0" w:color="auto"/>
            <w:bottom w:val="none" w:sz="0" w:space="0" w:color="auto"/>
            <w:right w:val="none" w:sz="0" w:space="0" w:color="auto"/>
          </w:divBdr>
        </w:div>
      </w:divsChild>
    </w:div>
    <w:div w:id="897277415">
      <w:bodyDiv w:val="1"/>
      <w:marLeft w:val="0"/>
      <w:marRight w:val="0"/>
      <w:marTop w:val="0"/>
      <w:marBottom w:val="0"/>
      <w:divBdr>
        <w:top w:val="none" w:sz="0" w:space="0" w:color="auto"/>
        <w:left w:val="none" w:sz="0" w:space="0" w:color="auto"/>
        <w:bottom w:val="none" w:sz="0" w:space="0" w:color="auto"/>
        <w:right w:val="none" w:sz="0" w:space="0" w:color="auto"/>
      </w:divBdr>
      <w:divsChild>
        <w:div w:id="1380016283">
          <w:marLeft w:val="0"/>
          <w:marRight w:val="0"/>
          <w:marTop w:val="0"/>
          <w:marBottom w:val="0"/>
          <w:divBdr>
            <w:top w:val="none" w:sz="0" w:space="0" w:color="auto"/>
            <w:left w:val="none" w:sz="0" w:space="0" w:color="auto"/>
            <w:bottom w:val="none" w:sz="0" w:space="0" w:color="auto"/>
            <w:right w:val="none" w:sz="0" w:space="0" w:color="auto"/>
          </w:divBdr>
        </w:div>
      </w:divsChild>
    </w:div>
    <w:div w:id="916667656">
      <w:bodyDiv w:val="1"/>
      <w:marLeft w:val="0"/>
      <w:marRight w:val="0"/>
      <w:marTop w:val="0"/>
      <w:marBottom w:val="0"/>
      <w:divBdr>
        <w:top w:val="none" w:sz="0" w:space="0" w:color="auto"/>
        <w:left w:val="none" w:sz="0" w:space="0" w:color="auto"/>
        <w:bottom w:val="none" w:sz="0" w:space="0" w:color="auto"/>
        <w:right w:val="none" w:sz="0" w:space="0" w:color="auto"/>
      </w:divBdr>
      <w:divsChild>
        <w:div w:id="1269894623">
          <w:marLeft w:val="0"/>
          <w:marRight w:val="0"/>
          <w:marTop w:val="0"/>
          <w:marBottom w:val="0"/>
          <w:divBdr>
            <w:top w:val="none" w:sz="0" w:space="0" w:color="auto"/>
            <w:left w:val="none" w:sz="0" w:space="0" w:color="auto"/>
            <w:bottom w:val="none" w:sz="0" w:space="0" w:color="auto"/>
            <w:right w:val="none" w:sz="0" w:space="0" w:color="auto"/>
          </w:divBdr>
        </w:div>
      </w:divsChild>
    </w:div>
    <w:div w:id="1075973259">
      <w:marLeft w:val="0"/>
      <w:marRight w:val="0"/>
      <w:marTop w:val="0"/>
      <w:marBottom w:val="0"/>
      <w:divBdr>
        <w:top w:val="none" w:sz="0" w:space="0" w:color="auto"/>
        <w:left w:val="none" w:sz="0" w:space="0" w:color="auto"/>
        <w:bottom w:val="single" w:sz="24" w:space="1" w:color="FCC800"/>
        <w:right w:val="none" w:sz="0" w:space="0" w:color="auto"/>
      </w:divBdr>
      <w:divsChild>
        <w:div w:id="771173262">
          <w:marLeft w:val="0"/>
          <w:marRight w:val="0"/>
          <w:marTop w:val="0"/>
          <w:marBottom w:val="0"/>
          <w:divBdr>
            <w:top w:val="none" w:sz="0" w:space="0" w:color="auto"/>
            <w:left w:val="none" w:sz="0" w:space="0" w:color="auto"/>
            <w:bottom w:val="none" w:sz="0" w:space="0" w:color="auto"/>
            <w:right w:val="none" w:sz="0" w:space="0" w:color="auto"/>
          </w:divBdr>
          <w:divsChild>
            <w:div w:id="1020205966">
              <w:marLeft w:val="0"/>
              <w:marRight w:val="0"/>
              <w:marTop w:val="0"/>
              <w:marBottom w:val="0"/>
              <w:divBdr>
                <w:top w:val="none" w:sz="0" w:space="0" w:color="auto"/>
                <w:left w:val="none" w:sz="0" w:space="0" w:color="auto"/>
                <w:bottom w:val="none" w:sz="0" w:space="0" w:color="auto"/>
                <w:right w:val="none" w:sz="0" w:space="0" w:color="auto"/>
              </w:divBdr>
              <w:divsChild>
                <w:div w:id="88244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89312">
          <w:marLeft w:val="0"/>
          <w:marRight w:val="0"/>
          <w:marTop w:val="0"/>
          <w:marBottom w:val="0"/>
          <w:divBdr>
            <w:top w:val="none" w:sz="0" w:space="0" w:color="auto"/>
            <w:left w:val="none" w:sz="0" w:space="0" w:color="auto"/>
            <w:bottom w:val="none" w:sz="0" w:space="0" w:color="auto"/>
            <w:right w:val="none" w:sz="0" w:space="0" w:color="auto"/>
          </w:divBdr>
          <w:divsChild>
            <w:div w:id="1014767930">
              <w:marLeft w:val="0"/>
              <w:marRight w:val="0"/>
              <w:marTop w:val="0"/>
              <w:marBottom w:val="0"/>
              <w:divBdr>
                <w:top w:val="none" w:sz="0" w:space="0" w:color="auto"/>
                <w:left w:val="none" w:sz="0" w:space="0" w:color="auto"/>
                <w:bottom w:val="none" w:sz="0" w:space="0" w:color="auto"/>
                <w:right w:val="none" w:sz="0" w:space="0" w:color="auto"/>
              </w:divBdr>
              <w:divsChild>
                <w:div w:id="9110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5464">
          <w:marLeft w:val="0"/>
          <w:marRight w:val="0"/>
          <w:marTop w:val="0"/>
          <w:marBottom w:val="0"/>
          <w:divBdr>
            <w:top w:val="none" w:sz="0" w:space="0" w:color="auto"/>
            <w:left w:val="none" w:sz="0" w:space="0" w:color="auto"/>
            <w:bottom w:val="none" w:sz="0" w:space="0" w:color="auto"/>
            <w:right w:val="none" w:sz="0" w:space="0" w:color="auto"/>
          </w:divBdr>
          <w:divsChild>
            <w:div w:id="2063482900">
              <w:marLeft w:val="0"/>
              <w:marRight w:val="0"/>
              <w:marTop w:val="0"/>
              <w:marBottom w:val="0"/>
              <w:divBdr>
                <w:top w:val="none" w:sz="0" w:space="0" w:color="auto"/>
                <w:left w:val="none" w:sz="0" w:space="0" w:color="auto"/>
                <w:bottom w:val="none" w:sz="0" w:space="0" w:color="auto"/>
                <w:right w:val="none" w:sz="0" w:space="0" w:color="auto"/>
              </w:divBdr>
              <w:divsChild>
                <w:div w:id="20619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1123">
          <w:marLeft w:val="0"/>
          <w:marRight w:val="0"/>
          <w:marTop w:val="0"/>
          <w:marBottom w:val="0"/>
          <w:divBdr>
            <w:top w:val="none" w:sz="0" w:space="0" w:color="auto"/>
            <w:left w:val="none" w:sz="0" w:space="0" w:color="auto"/>
            <w:bottom w:val="none" w:sz="0" w:space="0" w:color="auto"/>
            <w:right w:val="none" w:sz="0" w:space="0" w:color="auto"/>
          </w:divBdr>
          <w:divsChild>
            <w:div w:id="717583511">
              <w:marLeft w:val="0"/>
              <w:marRight w:val="0"/>
              <w:marTop w:val="0"/>
              <w:marBottom w:val="0"/>
              <w:divBdr>
                <w:top w:val="none" w:sz="0" w:space="0" w:color="auto"/>
                <w:left w:val="none" w:sz="0" w:space="0" w:color="auto"/>
                <w:bottom w:val="none" w:sz="0" w:space="0" w:color="auto"/>
                <w:right w:val="none" w:sz="0" w:space="0" w:color="auto"/>
              </w:divBdr>
              <w:divsChild>
                <w:div w:id="17107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30637">
          <w:marLeft w:val="0"/>
          <w:marRight w:val="0"/>
          <w:marTop w:val="0"/>
          <w:marBottom w:val="0"/>
          <w:divBdr>
            <w:top w:val="none" w:sz="0" w:space="0" w:color="auto"/>
            <w:left w:val="none" w:sz="0" w:space="0" w:color="auto"/>
            <w:bottom w:val="none" w:sz="0" w:space="0" w:color="auto"/>
            <w:right w:val="none" w:sz="0" w:space="0" w:color="auto"/>
          </w:divBdr>
          <w:divsChild>
            <w:div w:id="1976060173">
              <w:marLeft w:val="0"/>
              <w:marRight w:val="0"/>
              <w:marTop w:val="0"/>
              <w:marBottom w:val="0"/>
              <w:divBdr>
                <w:top w:val="none" w:sz="0" w:space="0" w:color="auto"/>
                <w:left w:val="none" w:sz="0" w:space="0" w:color="auto"/>
                <w:bottom w:val="none" w:sz="0" w:space="0" w:color="auto"/>
                <w:right w:val="none" w:sz="0" w:space="0" w:color="auto"/>
              </w:divBdr>
              <w:divsChild>
                <w:div w:id="13583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19577">
          <w:marLeft w:val="0"/>
          <w:marRight w:val="0"/>
          <w:marTop w:val="0"/>
          <w:marBottom w:val="0"/>
          <w:divBdr>
            <w:top w:val="none" w:sz="0" w:space="0" w:color="auto"/>
            <w:left w:val="none" w:sz="0" w:space="0" w:color="auto"/>
            <w:bottom w:val="none" w:sz="0" w:space="0" w:color="auto"/>
            <w:right w:val="none" w:sz="0" w:space="0" w:color="auto"/>
          </w:divBdr>
          <w:divsChild>
            <w:div w:id="1520507599">
              <w:marLeft w:val="0"/>
              <w:marRight w:val="0"/>
              <w:marTop w:val="0"/>
              <w:marBottom w:val="0"/>
              <w:divBdr>
                <w:top w:val="none" w:sz="0" w:space="0" w:color="auto"/>
                <w:left w:val="none" w:sz="0" w:space="0" w:color="auto"/>
                <w:bottom w:val="none" w:sz="0" w:space="0" w:color="auto"/>
                <w:right w:val="none" w:sz="0" w:space="0" w:color="auto"/>
              </w:divBdr>
              <w:divsChild>
                <w:div w:id="8329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69071">
      <w:marLeft w:val="0"/>
      <w:marRight w:val="0"/>
      <w:marTop w:val="120"/>
      <w:marBottom w:val="0"/>
      <w:divBdr>
        <w:top w:val="none" w:sz="0" w:space="0" w:color="auto"/>
        <w:left w:val="none" w:sz="0" w:space="0" w:color="auto"/>
        <w:bottom w:val="none" w:sz="0" w:space="0" w:color="auto"/>
        <w:right w:val="none" w:sz="0" w:space="0" w:color="auto"/>
      </w:divBdr>
      <w:divsChild>
        <w:div w:id="1057051592">
          <w:marLeft w:val="0"/>
          <w:marRight w:val="0"/>
          <w:marTop w:val="0"/>
          <w:marBottom w:val="0"/>
          <w:divBdr>
            <w:top w:val="none" w:sz="0" w:space="0" w:color="auto"/>
            <w:left w:val="none" w:sz="0" w:space="0" w:color="auto"/>
            <w:bottom w:val="none" w:sz="0" w:space="0" w:color="auto"/>
            <w:right w:val="none" w:sz="0" w:space="0" w:color="auto"/>
          </w:divBdr>
          <w:divsChild>
            <w:div w:id="1676768127">
              <w:marLeft w:val="0"/>
              <w:marRight w:val="0"/>
              <w:marTop w:val="0"/>
              <w:marBottom w:val="150"/>
              <w:divBdr>
                <w:top w:val="none" w:sz="0" w:space="0" w:color="auto"/>
                <w:left w:val="none" w:sz="0" w:space="0" w:color="auto"/>
                <w:bottom w:val="single" w:sz="6" w:space="8" w:color="E0E0E0"/>
                <w:right w:val="none" w:sz="0" w:space="0" w:color="auto"/>
              </w:divBdr>
              <w:divsChild>
                <w:div w:id="524514078">
                  <w:marLeft w:val="0"/>
                  <w:marRight w:val="0"/>
                  <w:marTop w:val="0"/>
                  <w:marBottom w:val="0"/>
                  <w:divBdr>
                    <w:top w:val="none" w:sz="0" w:space="0" w:color="auto"/>
                    <w:left w:val="none" w:sz="0" w:space="0" w:color="auto"/>
                    <w:bottom w:val="none" w:sz="0" w:space="0" w:color="auto"/>
                    <w:right w:val="none" w:sz="0" w:space="0" w:color="auto"/>
                  </w:divBdr>
                </w:div>
              </w:divsChild>
            </w:div>
            <w:div w:id="20685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13398">
      <w:bodyDiv w:val="1"/>
      <w:marLeft w:val="0"/>
      <w:marRight w:val="0"/>
      <w:marTop w:val="0"/>
      <w:marBottom w:val="0"/>
      <w:divBdr>
        <w:top w:val="none" w:sz="0" w:space="0" w:color="auto"/>
        <w:left w:val="none" w:sz="0" w:space="0" w:color="auto"/>
        <w:bottom w:val="none" w:sz="0" w:space="0" w:color="auto"/>
        <w:right w:val="none" w:sz="0" w:space="0" w:color="auto"/>
      </w:divBdr>
    </w:div>
    <w:div w:id="1406105091">
      <w:bodyDiv w:val="1"/>
      <w:marLeft w:val="0"/>
      <w:marRight w:val="0"/>
      <w:marTop w:val="0"/>
      <w:marBottom w:val="0"/>
      <w:divBdr>
        <w:top w:val="none" w:sz="0" w:space="0" w:color="auto"/>
        <w:left w:val="none" w:sz="0" w:space="0" w:color="auto"/>
        <w:bottom w:val="none" w:sz="0" w:space="0" w:color="auto"/>
        <w:right w:val="none" w:sz="0" w:space="0" w:color="auto"/>
      </w:divBdr>
    </w:div>
    <w:div w:id="1522822482">
      <w:marLeft w:val="0"/>
      <w:marRight w:val="0"/>
      <w:marTop w:val="0"/>
      <w:marBottom w:val="0"/>
      <w:divBdr>
        <w:top w:val="none" w:sz="0" w:space="0" w:color="auto"/>
        <w:left w:val="none" w:sz="0" w:space="0" w:color="auto"/>
        <w:bottom w:val="single" w:sz="24" w:space="1" w:color="FCC800"/>
        <w:right w:val="none" w:sz="0" w:space="0" w:color="auto"/>
      </w:divBdr>
      <w:divsChild>
        <w:div w:id="1778522132">
          <w:marLeft w:val="0"/>
          <w:marRight w:val="0"/>
          <w:marTop w:val="0"/>
          <w:marBottom w:val="0"/>
          <w:divBdr>
            <w:top w:val="none" w:sz="0" w:space="0" w:color="auto"/>
            <w:left w:val="none" w:sz="0" w:space="0" w:color="auto"/>
            <w:bottom w:val="none" w:sz="0" w:space="0" w:color="auto"/>
            <w:right w:val="none" w:sz="0" w:space="0" w:color="auto"/>
          </w:divBdr>
          <w:divsChild>
            <w:div w:id="2013604353">
              <w:marLeft w:val="0"/>
              <w:marRight w:val="0"/>
              <w:marTop w:val="0"/>
              <w:marBottom w:val="0"/>
              <w:divBdr>
                <w:top w:val="none" w:sz="0" w:space="0" w:color="auto"/>
                <w:left w:val="none" w:sz="0" w:space="0" w:color="auto"/>
                <w:bottom w:val="none" w:sz="0" w:space="0" w:color="auto"/>
                <w:right w:val="none" w:sz="0" w:space="0" w:color="auto"/>
              </w:divBdr>
              <w:divsChild>
                <w:div w:id="4044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56729">
          <w:marLeft w:val="0"/>
          <w:marRight w:val="0"/>
          <w:marTop w:val="0"/>
          <w:marBottom w:val="0"/>
          <w:divBdr>
            <w:top w:val="none" w:sz="0" w:space="0" w:color="auto"/>
            <w:left w:val="none" w:sz="0" w:space="0" w:color="auto"/>
            <w:bottom w:val="none" w:sz="0" w:space="0" w:color="auto"/>
            <w:right w:val="none" w:sz="0" w:space="0" w:color="auto"/>
          </w:divBdr>
          <w:divsChild>
            <w:div w:id="1182861895">
              <w:marLeft w:val="0"/>
              <w:marRight w:val="0"/>
              <w:marTop w:val="0"/>
              <w:marBottom w:val="0"/>
              <w:divBdr>
                <w:top w:val="none" w:sz="0" w:space="0" w:color="auto"/>
                <w:left w:val="none" w:sz="0" w:space="0" w:color="auto"/>
                <w:bottom w:val="none" w:sz="0" w:space="0" w:color="auto"/>
                <w:right w:val="none" w:sz="0" w:space="0" w:color="auto"/>
              </w:divBdr>
              <w:divsChild>
                <w:div w:id="6187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8329">
          <w:marLeft w:val="0"/>
          <w:marRight w:val="0"/>
          <w:marTop w:val="0"/>
          <w:marBottom w:val="0"/>
          <w:divBdr>
            <w:top w:val="none" w:sz="0" w:space="0" w:color="auto"/>
            <w:left w:val="none" w:sz="0" w:space="0" w:color="auto"/>
            <w:bottom w:val="none" w:sz="0" w:space="0" w:color="auto"/>
            <w:right w:val="none" w:sz="0" w:space="0" w:color="auto"/>
          </w:divBdr>
          <w:divsChild>
            <w:div w:id="1778131882">
              <w:marLeft w:val="0"/>
              <w:marRight w:val="0"/>
              <w:marTop w:val="0"/>
              <w:marBottom w:val="0"/>
              <w:divBdr>
                <w:top w:val="none" w:sz="0" w:space="0" w:color="auto"/>
                <w:left w:val="none" w:sz="0" w:space="0" w:color="auto"/>
                <w:bottom w:val="none" w:sz="0" w:space="0" w:color="auto"/>
                <w:right w:val="none" w:sz="0" w:space="0" w:color="auto"/>
              </w:divBdr>
              <w:divsChild>
                <w:div w:id="21203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47875">
          <w:marLeft w:val="0"/>
          <w:marRight w:val="0"/>
          <w:marTop w:val="0"/>
          <w:marBottom w:val="0"/>
          <w:divBdr>
            <w:top w:val="none" w:sz="0" w:space="0" w:color="auto"/>
            <w:left w:val="none" w:sz="0" w:space="0" w:color="auto"/>
            <w:bottom w:val="none" w:sz="0" w:space="0" w:color="auto"/>
            <w:right w:val="none" w:sz="0" w:space="0" w:color="auto"/>
          </w:divBdr>
          <w:divsChild>
            <w:div w:id="1644190377">
              <w:marLeft w:val="0"/>
              <w:marRight w:val="0"/>
              <w:marTop w:val="0"/>
              <w:marBottom w:val="0"/>
              <w:divBdr>
                <w:top w:val="none" w:sz="0" w:space="0" w:color="auto"/>
                <w:left w:val="none" w:sz="0" w:space="0" w:color="auto"/>
                <w:bottom w:val="none" w:sz="0" w:space="0" w:color="auto"/>
                <w:right w:val="none" w:sz="0" w:space="0" w:color="auto"/>
              </w:divBdr>
              <w:divsChild>
                <w:div w:id="3045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02578">
          <w:marLeft w:val="0"/>
          <w:marRight w:val="0"/>
          <w:marTop w:val="0"/>
          <w:marBottom w:val="0"/>
          <w:divBdr>
            <w:top w:val="none" w:sz="0" w:space="0" w:color="auto"/>
            <w:left w:val="none" w:sz="0" w:space="0" w:color="auto"/>
            <w:bottom w:val="none" w:sz="0" w:space="0" w:color="auto"/>
            <w:right w:val="none" w:sz="0" w:space="0" w:color="auto"/>
          </w:divBdr>
          <w:divsChild>
            <w:div w:id="1855068598">
              <w:marLeft w:val="0"/>
              <w:marRight w:val="0"/>
              <w:marTop w:val="0"/>
              <w:marBottom w:val="0"/>
              <w:divBdr>
                <w:top w:val="none" w:sz="0" w:space="0" w:color="auto"/>
                <w:left w:val="none" w:sz="0" w:space="0" w:color="auto"/>
                <w:bottom w:val="none" w:sz="0" w:space="0" w:color="auto"/>
                <w:right w:val="none" w:sz="0" w:space="0" w:color="auto"/>
              </w:divBdr>
              <w:divsChild>
                <w:div w:id="18635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8546">
          <w:marLeft w:val="0"/>
          <w:marRight w:val="0"/>
          <w:marTop w:val="0"/>
          <w:marBottom w:val="0"/>
          <w:divBdr>
            <w:top w:val="none" w:sz="0" w:space="0" w:color="auto"/>
            <w:left w:val="none" w:sz="0" w:space="0" w:color="auto"/>
            <w:bottom w:val="none" w:sz="0" w:space="0" w:color="auto"/>
            <w:right w:val="none" w:sz="0" w:space="0" w:color="auto"/>
          </w:divBdr>
          <w:divsChild>
            <w:div w:id="413287559">
              <w:marLeft w:val="0"/>
              <w:marRight w:val="0"/>
              <w:marTop w:val="0"/>
              <w:marBottom w:val="0"/>
              <w:divBdr>
                <w:top w:val="none" w:sz="0" w:space="0" w:color="auto"/>
                <w:left w:val="none" w:sz="0" w:space="0" w:color="auto"/>
                <w:bottom w:val="none" w:sz="0" w:space="0" w:color="auto"/>
                <w:right w:val="none" w:sz="0" w:space="0" w:color="auto"/>
              </w:divBdr>
              <w:divsChild>
                <w:div w:id="1700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91637">
      <w:bodyDiv w:val="1"/>
      <w:marLeft w:val="0"/>
      <w:marRight w:val="0"/>
      <w:marTop w:val="0"/>
      <w:marBottom w:val="0"/>
      <w:divBdr>
        <w:top w:val="none" w:sz="0" w:space="0" w:color="auto"/>
        <w:left w:val="none" w:sz="0" w:space="0" w:color="auto"/>
        <w:bottom w:val="none" w:sz="0" w:space="0" w:color="auto"/>
        <w:right w:val="none" w:sz="0" w:space="0" w:color="auto"/>
      </w:divBdr>
    </w:div>
    <w:div w:id="1779522938">
      <w:marLeft w:val="0"/>
      <w:marRight w:val="0"/>
      <w:marTop w:val="195"/>
      <w:marBottom w:val="225"/>
      <w:divBdr>
        <w:top w:val="none" w:sz="0" w:space="0" w:color="auto"/>
        <w:left w:val="none" w:sz="0" w:space="0" w:color="auto"/>
        <w:bottom w:val="single" w:sz="24" w:space="0" w:color="C1D2EC"/>
        <w:right w:val="none" w:sz="0" w:space="0" w:color="auto"/>
      </w:divBdr>
      <w:divsChild>
        <w:div w:id="1911112052">
          <w:marLeft w:val="0"/>
          <w:marRight w:val="0"/>
          <w:marTop w:val="0"/>
          <w:marBottom w:val="0"/>
          <w:divBdr>
            <w:top w:val="none" w:sz="0" w:space="0" w:color="auto"/>
            <w:left w:val="none" w:sz="0" w:space="0" w:color="auto"/>
            <w:bottom w:val="none" w:sz="0" w:space="0" w:color="auto"/>
            <w:right w:val="none" w:sz="0" w:space="0" w:color="auto"/>
          </w:divBdr>
        </w:div>
        <w:div w:id="1018314692">
          <w:marLeft w:val="0"/>
          <w:marRight w:val="0"/>
          <w:marTop w:val="0"/>
          <w:marBottom w:val="0"/>
          <w:divBdr>
            <w:top w:val="none" w:sz="0" w:space="0" w:color="auto"/>
            <w:left w:val="none" w:sz="0" w:space="0" w:color="auto"/>
            <w:bottom w:val="none" w:sz="0" w:space="0" w:color="auto"/>
            <w:right w:val="none" w:sz="0" w:space="0" w:color="auto"/>
          </w:divBdr>
          <w:divsChild>
            <w:div w:id="16460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0392">
      <w:marLeft w:val="0"/>
      <w:marRight w:val="0"/>
      <w:marTop w:val="0"/>
      <w:marBottom w:val="0"/>
      <w:divBdr>
        <w:top w:val="none" w:sz="0" w:space="0" w:color="auto"/>
        <w:left w:val="none" w:sz="0" w:space="0" w:color="auto"/>
        <w:bottom w:val="none" w:sz="0" w:space="0" w:color="auto"/>
        <w:right w:val="none" w:sz="0" w:space="0" w:color="auto"/>
      </w:divBdr>
      <w:divsChild>
        <w:div w:id="2141457508">
          <w:marLeft w:val="0"/>
          <w:marRight w:val="0"/>
          <w:marTop w:val="0"/>
          <w:marBottom w:val="0"/>
          <w:divBdr>
            <w:top w:val="none" w:sz="0" w:space="0" w:color="auto"/>
            <w:left w:val="none" w:sz="0" w:space="0" w:color="auto"/>
            <w:bottom w:val="none" w:sz="0" w:space="0" w:color="auto"/>
            <w:right w:val="none" w:sz="0" w:space="0" w:color="auto"/>
          </w:divBdr>
        </w:div>
      </w:divsChild>
    </w:div>
    <w:div w:id="1990087922">
      <w:bodyDiv w:val="1"/>
      <w:marLeft w:val="0"/>
      <w:marRight w:val="0"/>
      <w:marTop w:val="0"/>
      <w:marBottom w:val="0"/>
      <w:divBdr>
        <w:top w:val="none" w:sz="0" w:space="0" w:color="auto"/>
        <w:left w:val="none" w:sz="0" w:space="0" w:color="auto"/>
        <w:bottom w:val="none" w:sz="0" w:space="0" w:color="auto"/>
        <w:right w:val="none" w:sz="0" w:space="0" w:color="auto"/>
      </w:divBdr>
    </w:div>
    <w:div w:id="2007245212">
      <w:bodyDiv w:val="1"/>
      <w:marLeft w:val="0"/>
      <w:marRight w:val="0"/>
      <w:marTop w:val="0"/>
      <w:marBottom w:val="0"/>
      <w:divBdr>
        <w:top w:val="none" w:sz="0" w:space="0" w:color="auto"/>
        <w:left w:val="none" w:sz="0" w:space="0" w:color="auto"/>
        <w:bottom w:val="none" w:sz="0" w:space="0" w:color="auto"/>
        <w:right w:val="none" w:sz="0" w:space="0" w:color="auto"/>
      </w:divBdr>
      <w:divsChild>
        <w:div w:id="641927358">
          <w:marLeft w:val="0"/>
          <w:marRight w:val="0"/>
          <w:marTop w:val="0"/>
          <w:marBottom w:val="0"/>
          <w:divBdr>
            <w:top w:val="none" w:sz="0" w:space="0" w:color="auto"/>
            <w:left w:val="none" w:sz="0" w:space="0" w:color="auto"/>
            <w:bottom w:val="none" w:sz="0" w:space="0" w:color="auto"/>
            <w:right w:val="none" w:sz="0" w:space="0" w:color="auto"/>
          </w:divBdr>
        </w:div>
      </w:divsChild>
    </w:div>
    <w:div w:id="2045132390">
      <w:bodyDiv w:val="1"/>
      <w:marLeft w:val="0"/>
      <w:marRight w:val="0"/>
      <w:marTop w:val="0"/>
      <w:marBottom w:val="0"/>
      <w:divBdr>
        <w:top w:val="none" w:sz="0" w:space="0" w:color="auto"/>
        <w:left w:val="none" w:sz="0" w:space="0" w:color="auto"/>
        <w:bottom w:val="none" w:sz="0" w:space="0" w:color="auto"/>
        <w:right w:val="none" w:sz="0" w:space="0" w:color="auto"/>
      </w:divBdr>
    </w:div>
    <w:div w:id="20758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A3595-2F15-409F-997D-3A9A1E7A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751</Words>
  <Characters>4283</Characters>
  <Application>Microsoft Office Word</Application>
  <DocSecurity>4</DocSecurity>
  <Lines>35</Lines>
  <Paragraphs>10</Paragraphs>
  <ScaleCrop>false</ScaleCrop>
  <Company>Lenovo</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唐研然</dc:creator>
  <cp:lastModifiedBy>ZHONGM</cp:lastModifiedBy>
  <cp:revision>2</cp:revision>
  <cp:lastPrinted>2015-05-06T05:32:00Z</cp:lastPrinted>
  <dcterms:created xsi:type="dcterms:W3CDTF">2026-01-15T16:02:00Z</dcterms:created>
  <dcterms:modified xsi:type="dcterms:W3CDTF">2026-01-15T16:02:00Z</dcterms:modified>
</cp:coreProperties>
</file>