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D72" w:rsidRDefault="00596D7C">
      <w:pPr>
        <w:autoSpaceDE w:val="0"/>
        <w:autoSpaceDN w:val="0"/>
        <w:adjustRightInd w:val="0"/>
        <w:spacing w:before="30" w:line="360" w:lineRule="auto"/>
        <w:ind w:left="15"/>
        <w:jc w:val="center"/>
        <w:rPr>
          <w:rFonts w:ascii="Arial" w:hAnsi="宋体" w:cs="Arial"/>
          <w:b/>
          <w:bCs/>
          <w:color w:val="000000"/>
          <w:sz w:val="30"/>
          <w:szCs w:val="30"/>
        </w:rPr>
      </w:pPr>
      <w:r>
        <w:rPr>
          <w:rFonts w:ascii="Arial" w:hAnsi="宋体" w:cs="Arial" w:hint="eastAsia"/>
          <w:b/>
          <w:bCs/>
          <w:color w:val="000000"/>
          <w:sz w:val="30"/>
          <w:szCs w:val="30"/>
        </w:rPr>
        <w:t>财通资管鸿曜</w:t>
      </w:r>
      <w:r>
        <w:rPr>
          <w:rFonts w:ascii="Arial" w:hAnsi="宋体" w:cs="Arial" w:hint="eastAsia"/>
          <w:b/>
          <w:bCs/>
          <w:color w:val="000000"/>
          <w:sz w:val="30"/>
          <w:szCs w:val="30"/>
        </w:rPr>
        <w:t>9</w:t>
      </w:r>
      <w:r>
        <w:rPr>
          <w:rFonts w:ascii="Arial" w:hAnsi="宋体" w:cs="Arial"/>
          <w:b/>
          <w:bCs/>
          <w:color w:val="000000"/>
          <w:sz w:val="30"/>
          <w:szCs w:val="30"/>
        </w:rPr>
        <w:t>0</w:t>
      </w:r>
      <w:r>
        <w:rPr>
          <w:rFonts w:ascii="Arial" w:hAnsi="宋体" w:cs="Arial" w:hint="eastAsia"/>
          <w:b/>
          <w:bCs/>
          <w:color w:val="000000"/>
          <w:sz w:val="30"/>
          <w:szCs w:val="30"/>
        </w:rPr>
        <w:t>天持有期债券型证券投资基金</w:t>
      </w:r>
    </w:p>
    <w:p w:rsidR="00ED2D72" w:rsidRDefault="00596D7C">
      <w:pPr>
        <w:autoSpaceDE w:val="0"/>
        <w:autoSpaceDN w:val="0"/>
        <w:adjustRightInd w:val="0"/>
        <w:spacing w:before="30" w:line="360" w:lineRule="auto"/>
        <w:ind w:left="15"/>
        <w:jc w:val="center"/>
        <w:rPr>
          <w:rFonts w:ascii="Arial" w:hAnsi="宋体" w:cs="Arial"/>
          <w:b/>
          <w:bCs/>
          <w:color w:val="000000"/>
          <w:sz w:val="30"/>
          <w:szCs w:val="30"/>
        </w:rPr>
      </w:pPr>
      <w:r>
        <w:rPr>
          <w:rFonts w:ascii="Arial" w:hAnsi="宋体" w:cs="Arial" w:hint="eastAsia"/>
          <w:b/>
          <w:bCs/>
          <w:color w:val="000000"/>
          <w:sz w:val="30"/>
          <w:szCs w:val="30"/>
        </w:rPr>
        <w:t>开放日常申购、赎回和定期定额投资业务公告</w:t>
      </w:r>
    </w:p>
    <w:p w:rsidR="00ED2D72" w:rsidRDefault="00596D7C">
      <w:pPr>
        <w:autoSpaceDE w:val="0"/>
        <w:autoSpaceDN w:val="0"/>
        <w:adjustRightInd w:val="0"/>
        <w:spacing w:before="30" w:line="360" w:lineRule="auto"/>
        <w:ind w:left="15"/>
        <w:jc w:val="center"/>
        <w:rPr>
          <w:rFonts w:ascii="Arial" w:hAnsi="宋体" w:cs="Arial"/>
          <w:b/>
          <w:sz w:val="24"/>
          <w:szCs w:val="24"/>
        </w:rPr>
      </w:pPr>
      <w:r>
        <w:rPr>
          <w:rFonts w:ascii="Arial" w:hAnsi="宋体" w:cs="Arial" w:hint="eastAsia"/>
          <w:b/>
          <w:sz w:val="24"/>
          <w:szCs w:val="24"/>
        </w:rPr>
        <w:t>公告送出日期：</w:t>
      </w:r>
      <w:r>
        <w:rPr>
          <w:rFonts w:ascii="Arial" w:hAnsi="宋体" w:cs="Arial"/>
          <w:b/>
          <w:sz w:val="24"/>
          <w:szCs w:val="24"/>
        </w:rPr>
        <w:t>20</w:t>
      </w:r>
      <w:r>
        <w:rPr>
          <w:rFonts w:ascii="Arial" w:hAnsi="宋体" w:cs="Arial" w:hint="eastAsia"/>
          <w:b/>
          <w:sz w:val="24"/>
          <w:szCs w:val="24"/>
        </w:rPr>
        <w:t>26</w:t>
      </w:r>
      <w:r>
        <w:rPr>
          <w:rFonts w:ascii="Arial" w:hAnsi="宋体" w:cs="Arial" w:hint="eastAsia"/>
          <w:b/>
          <w:sz w:val="24"/>
          <w:szCs w:val="24"/>
        </w:rPr>
        <w:t>年</w:t>
      </w:r>
      <w:r>
        <w:rPr>
          <w:rFonts w:ascii="Arial" w:hAnsi="宋体" w:cs="Arial"/>
          <w:b/>
          <w:sz w:val="24"/>
          <w:szCs w:val="24"/>
        </w:rPr>
        <w:t>1</w:t>
      </w:r>
      <w:r>
        <w:rPr>
          <w:rFonts w:ascii="Arial" w:hAnsi="宋体" w:cs="Arial" w:hint="eastAsia"/>
          <w:b/>
          <w:sz w:val="24"/>
          <w:szCs w:val="24"/>
        </w:rPr>
        <w:t>月</w:t>
      </w:r>
      <w:r>
        <w:rPr>
          <w:rFonts w:ascii="Arial" w:hAnsi="宋体" w:cs="Arial" w:hint="eastAsia"/>
          <w:b/>
          <w:sz w:val="24"/>
          <w:szCs w:val="24"/>
        </w:rPr>
        <w:t>16</w:t>
      </w:r>
      <w:r>
        <w:rPr>
          <w:rFonts w:ascii="Arial" w:hAnsi="宋体" w:cs="Arial" w:hint="eastAsia"/>
          <w:b/>
          <w:sz w:val="24"/>
          <w:szCs w:val="24"/>
        </w:rPr>
        <w:t>日</w:t>
      </w:r>
    </w:p>
    <w:p w:rsidR="00ED2D72" w:rsidRDefault="00ED2D72">
      <w:pPr>
        <w:autoSpaceDE w:val="0"/>
        <w:autoSpaceDN w:val="0"/>
        <w:adjustRightInd w:val="0"/>
        <w:spacing w:before="30" w:line="360" w:lineRule="auto"/>
        <w:ind w:left="15"/>
        <w:jc w:val="left"/>
        <w:rPr>
          <w:rFonts w:ascii="Times New Roman" w:hAnsi="Times New Roman" w:cs="Times New Roman"/>
          <w:b/>
          <w:bCs/>
          <w:color w:val="000000"/>
          <w:kern w:val="0"/>
        </w:rPr>
      </w:pPr>
    </w:p>
    <w:p w:rsidR="00ED2D72" w:rsidRDefault="00596D7C">
      <w:pPr>
        <w:autoSpaceDE w:val="0"/>
        <w:autoSpaceDN w:val="0"/>
        <w:adjustRightInd w:val="0"/>
        <w:spacing w:before="30" w:line="360" w:lineRule="auto"/>
        <w:ind w:left="15"/>
        <w:jc w:val="left"/>
        <w:rPr>
          <w:rFonts w:ascii="Times New Roman" w:hAnsi="Times New Roman" w:cs="Times New Roman"/>
          <w:b/>
          <w:bCs/>
          <w:color w:val="000000"/>
          <w:kern w:val="0"/>
        </w:rPr>
      </w:pPr>
      <w:r>
        <w:rPr>
          <w:rFonts w:ascii="Times New Roman" w:hAnsi="Times New Roman" w:cs="Times New Roman"/>
          <w:b/>
          <w:bCs/>
          <w:color w:val="000000"/>
          <w:kern w:val="0"/>
        </w:rPr>
        <w:t xml:space="preserve">1 </w:t>
      </w:r>
      <w:r>
        <w:rPr>
          <w:rFonts w:ascii="Times New Roman" w:hAnsi="Times New Roman" w:hint="eastAsia"/>
          <w:b/>
          <w:bCs/>
          <w:color w:val="000000"/>
          <w:kern w:val="0"/>
        </w:rPr>
        <w:t>公告基本信息</w:t>
      </w:r>
    </w:p>
    <w:tbl>
      <w:tblPr>
        <w:tblW w:w="9030" w:type="dxa"/>
        <w:tblInd w:w="108" w:type="dxa"/>
        <w:tblLayout w:type="fixed"/>
        <w:tblLook w:val="04A0"/>
      </w:tblPr>
      <w:tblGrid>
        <w:gridCol w:w="3544"/>
        <w:gridCol w:w="2693"/>
        <w:gridCol w:w="2793"/>
      </w:tblGrid>
      <w:tr w:rsidR="00ED2D72">
        <w:tc>
          <w:tcPr>
            <w:tcW w:w="3544" w:type="dxa"/>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before="30" w:line="360" w:lineRule="auto"/>
              <w:ind w:left="15"/>
              <w:jc w:val="left"/>
              <w:rPr>
                <w:rFonts w:ascii="Times New Roman" w:hAnsi="Times New Roman" w:cs="Times New Roman"/>
                <w:color w:val="000000"/>
                <w:kern w:val="0"/>
              </w:rPr>
            </w:pPr>
            <w:r>
              <w:rPr>
                <w:rFonts w:ascii="Times New Roman" w:hAnsi="Times New Roman" w:hint="eastAsia"/>
                <w:color w:val="000000"/>
                <w:kern w:val="0"/>
              </w:rPr>
              <w:t>基金名称</w:t>
            </w:r>
          </w:p>
        </w:tc>
        <w:tc>
          <w:tcPr>
            <w:tcW w:w="5486" w:type="dxa"/>
            <w:gridSpan w:val="2"/>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before="30" w:line="360" w:lineRule="auto"/>
              <w:ind w:left="15"/>
              <w:jc w:val="left"/>
              <w:rPr>
                <w:rFonts w:ascii="Times New Roman" w:hAnsi="Times New Roman" w:cs="Times New Roman"/>
                <w:color w:val="000000"/>
                <w:kern w:val="0"/>
              </w:rPr>
            </w:pPr>
            <w:r>
              <w:rPr>
                <w:rFonts w:ascii="Times New Roman" w:hAnsi="Times New Roman" w:cs="Times New Roman" w:hint="eastAsia"/>
                <w:color w:val="000000"/>
                <w:kern w:val="0"/>
              </w:rPr>
              <w:t>财通资管鸿曜</w:t>
            </w:r>
            <w:r>
              <w:rPr>
                <w:rFonts w:ascii="Times New Roman" w:hAnsi="Times New Roman" w:cs="Times New Roman" w:hint="eastAsia"/>
                <w:color w:val="000000"/>
                <w:kern w:val="0"/>
              </w:rPr>
              <w:t>9</w:t>
            </w:r>
            <w:r>
              <w:rPr>
                <w:rFonts w:ascii="Times New Roman" w:hAnsi="Times New Roman" w:cs="Times New Roman"/>
                <w:color w:val="000000"/>
                <w:kern w:val="0"/>
              </w:rPr>
              <w:t>0</w:t>
            </w:r>
            <w:r>
              <w:rPr>
                <w:rFonts w:ascii="Times New Roman" w:hAnsi="Times New Roman" w:cs="Times New Roman" w:hint="eastAsia"/>
                <w:color w:val="000000"/>
                <w:kern w:val="0"/>
              </w:rPr>
              <w:t>天持有期债券型证券投资基金</w:t>
            </w:r>
          </w:p>
        </w:tc>
      </w:tr>
      <w:tr w:rsidR="00ED2D72">
        <w:tc>
          <w:tcPr>
            <w:tcW w:w="3544" w:type="dxa"/>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before="30" w:line="360" w:lineRule="auto"/>
              <w:ind w:left="15"/>
              <w:jc w:val="left"/>
              <w:rPr>
                <w:rFonts w:ascii="Times New Roman" w:hAnsi="Times New Roman" w:cs="Times New Roman"/>
                <w:color w:val="000000"/>
                <w:kern w:val="0"/>
              </w:rPr>
            </w:pPr>
            <w:r>
              <w:rPr>
                <w:rFonts w:ascii="Times New Roman" w:hAnsi="Times New Roman" w:hint="eastAsia"/>
                <w:color w:val="000000"/>
                <w:kern w:val="0"/>
              </w:rPr>
              <w:t>基金简称</w:t>
            </w:r>
          </w:p>
        </w:tc>
        <w:tc>
          <w:tcPr>
            <w:tcW w:w="5486" w:type="dxa"/>
            <w:gridSpan w:val="2"/>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before="30" w:line="360" w:lineRule="auto"/>
              <w:jc w:val="left"/>
              <w:rPr>
                <w:rFonts w:ascii="Times New Roman" w:hAnsi="Times New Roman" w:cs="Times New Roman"/>
                <w:color w:val="000000"/>
                <w:kern w:val="0"/>
              </w:rPr>
            </w:pPr>
            <w:r>
              <w:rPr>
                <w:rFonts w:ascii="Times New Roman" w:hAnsi="Times New Roman" w:cs="Times New Roman" w:hint="eastAsia"/>
                <w:color w:val="000000"/>
                <w:kern w:val="0"/>
              </w:rPr>
              <w:t>财通资管鸿曜</w:t>
            </w:r>
            <w:r>
              <w:rPr>
                <w:rFonts w:ascii="Times New Roman" w:hAnsi="Times New Roman" w:cs="Times New Roman" w:hint="eastAsia"/>
                <w:color w:val="000000"/>
                <w:kern w:val="0"/>
              </w:rPr>
              <w:t>9</w:t>
            </w:r>
            <w:r>
              <w:rPr>
                <w:rFonts w:ascii="Times New Roman" w:hAnsi="Times New Roman" w:cs="Times New Roman"/>
                <w:color w:val="000000"/>
                <w:kern w:val="0"/>
              </w:rPr>
              <w:t>0</w:t>
            </w:r>
            <w:r>
              <w:rPr>
                <w:rFonts w:ascii="Times New Roman" w:hAnsi="Times New Roman" w:cs="Times New Roman" w:hint="eastAsia"/>
                <w:color w:val="000000"/>
                <w:kern w:val="0"/>
              </w:rPr>
              <w:t>天持有债券</w:t>
            </w:r>
          </w:p>
        </w:tc>
      </w:tr>
      <w:tr w:rsidR="00ED2D72">
        <w:tc>
          <w:tcPr>
            <w:tcW w:w="3544" w:type="dxa"/>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before="30" w:line="360" w:lineRule="auto"/>
              <w:ind w:left="15"/>
              <w:jc w:val="left"/>
              <w:rPr>
                <w:rFonts w:ascii="Times New Roman" w:hAnsi="Times New Roman" w:cs="Times New Roman"/>
                <w:color w:val="000000"/>
                <w:kern w:val="0"/>
              </w:rPr>
            </w:pPr>
            <w:r>
              <w:rPr>
                <w:rFonts w:ascii="Times New Roman" w:hAnsi="Times New Roman" w:hint="eastAsia"/>
                <w:color w:val="000000"/>
                <w:kern w:val="0"/>
              </w:rPr>
              <w:t>基金主代码</w:t>
            </w:r>
          </w:p>
        </w:tc>
        <w:tc>
          <w:tcPr>
            <w:tcW w:w="5486" w:type="dxa"/>
            <w:gridSpan w:val="2"/>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before="30" w:line="360" w:lineRule="auto"/>
              <w:ind w:left="15"/>
              <w:jc w:val="left"/>
              <w:rPr>
                <w:rFonts w:ascii="Times New Roman" w:hAnsi="Times New Roman" w:cs="Times New Roman"/>
                <w:color w:val="000000"/>
                <w:kern w:val="0"/>
              </w:rPr>
            </w:pPr>
            <w:r>
              <w:rPr>
                <w:rFonts w:ascii="Times New Roman" w:hAnsi="Times New Roman" w:cs="Times New Roman" w:hint="eastAsia"/>
                <w:color w:val="000000"/>
                <w:kern w:val="0"/>
              </w:rPr>
              <w:t>024303</w:t>
            </w:r>
          </w:p>
        </w:tc>
      </w:tr>
      <w:tr w:rsidR="00ED2D72">
        <w:tc>
          <w:tcPr>
            <w:tcW w:w="3544" w:type="dxa"/>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before="30" w:line="360" w:lineRule="auto"/>
              <w:ind w:left="15"/>
              <w:jc w:val="left"/>
              <w:rPr>
                <w:rFonts w:ascii="Times New Roman" w:hAnsi="Times New Roman" w:cs="Times New Roman"/>
                <w:color w:val="000000"/>
                <w:kern w:val="0"/>
              </w:rPr>
            </w:pPr>
            <w:r>
              <w:rPr>
                <w:rFonts w:ascii="Times New Roman" w:hAnsi="Times New Roman" w:hint="eastAsia"/>
                <w:color w:val="000000"/>
                <w:kern w:val="0"/>
              </w:rPr>
              <w:t>基金运作方式</w:t>
            </w:r>
          </w:p>
        </w:tc>
        <w:tc>
          <w:tcPr>
            <w:tcW w:w="5486" w:type="dxa"/>
            <w:gridSpan w:val="2"/>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before="30" w:line="360" w:lineRule="auto"/>
              <w:ind w:left="15"/>
              <w:jc w:val="left"/>
              <w:rPr>
                <w:rFonts w:ascii="Times New Roman" w:hAnsi="Times New Roman" w:cs="Times New Roman"/>
                <w:color w:val="000000"/>
                <w:kern w:val="0"/>
              </w:rPr>
            </w:pPr>
            <w:r>
              <w:rPr>
                <w:rFonts w:ascii="Times New Roman" w:hAnsi="Times New Roman" w:cs="Times New Roman" w:hint="eastAsia"/>
                <w:color w:val="000000"/>
                <w:kern w:val="0"/>
              </w:rPr>
              <w:t>其他开放式</w:t>
            </w:r>
          </w:p>
        </w:tc>
      </w:tr>
      <w:tr w:rsidR="00ED2D72">
        <w:tc>
          <w:tcPr>
            <w:tcW w:w="3544" w:type="dxa"/>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before="30" w:line="360" w:lineRule="auto"/>
              <w:ind w:left="15"/>
              <w:jc w:val="left"/>
              <w:rPr>
                <w:rFonts w:ascii="Times New Roman" w:hAnsi="Times New Roman"/>
                <w:color w:val="000000"/>
                <w:kern w:val="0"/>
              </w:rPr>
            </w:pPr>
            <w:r>
              <w:rPr>
                <w:rFonts w:ascii="Times New Roman" w:hAnsi="Times New Roman" w:hint="eastAsia"/>
                <w:color w:val="000000"/>
                <w:kern w:val="0"/>
              </w:rPr>
              <w:t>基金合同生效日</w:t>
            </w:r>
          </w:p>
        </w:tc>
        <w:tc>
          <w:tcPr>
            <w:tcW w:w="5486" w:type="dxa"/>
            <w:gridSpan w:val="2"/>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before="30" w:line="360" w:lineRule="auto"/>
              <w:ind w:left="15"/>
              <w:jc w:val="left"/>
              <w:rPr>
                <w:rFonts w:ascii="Times New Roman" w:hAnsi="Times New Roman" w:cs="Times New Roman"/>
                <w:color w:val="000000"/>
                <w:kern w:val="0"/>
              </w:rPr>
            </w:pPr>
            <w:r>
              <w:rPr>
                <w:rFonts w:ascii="Times New Roman" w:hAnsi="Times New Roman" w:cs="Times New Roman" w:hint="eastAsia"/>
                <w:color w:val="000000"/>
                <w:kern w:val="0"/>
              </w:rPr>
              <w:t>2025</w:t>
            </w:r>
            <w:r>
              <w:rPr>
                <w:rFonts w:ascii="Times New Roman" w:hAnsi="Times New Roman" w:cs="Times New Roman" w:hint="eastAsia"/>
                <w:color w:val="000000"/>
                <w:kern w:val="0"/>
              </w:rPr>
              <w:t>年</w:t>
            </w:r>
            <w:r>
              <w:rPr>
                <w:rFonts w:ascii="Times New Roman" w:hAnsi="Times New Roman" w:cs="Times New Roman"/>
                <w:color w:val="000000"/>
                <w:kern w:val="0"/>
              </w:rPr>
              <w:t>1</w:t>
            </w:r>
            <w:r>
              <w:rPr>
                <w:rFonts w:ascii="Times New Roman" w:hAnsi="Times New Roman" w:cs="Times New Roman" w:hint="eastAsia"/>
                <w:color w:val="000000"/>
                <w:kern w:val="0"/>
              </w:rPr>
              <w:t>0</w:t>
            </w:r>
            <w:r>
              <w:rPr>
                <w:rFonts w:ascii="Times New Roman" w:hAnsi="Times New Roman" w:cs="Times New Roman" w:hint="eastAsia"/>
                <w:color w:val="000000"/>
                <w:kern w:val="0"/>
              </w:rPr>
              <w:t>月</w:t>
            </w:r>
            <w:r>
              <w:rPr>
                <w:rFonts w:ascii="Times New Roman" w:hAnsi="Times New Roman" w:cs="Times New Roman" w:hint="eastAsia"/>
                <w:color w:val="000000"/>
                <w:kern w:val="0"/>
              </w:rPr>
              <w:t>28</w:t>
            </w:r>
            <w:r>
              <w:rPr>
                <w:rFonts w:ascii="Times New Roman" w:hAnsi="Times New Roman" w:cs="Times New Roman" w:hint="eastAsia"/>
                <w:color w:val="000000"/>
                <w:kern w:val="0"/>
              </w:rPr>
              <w:t>日</w:t>
            </w:r>
          </w:p>
        </w:tc>
      </w:tr>
      <w:tr w:rsidR="00ED2D72">
        <w:tc>
          <w:tcPr>
            <w:tcW w:w="3544" w:type="dxa"/>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before="30" w:line="360" w:lineRule="auto"/>
              <w:ind w:left="15"/>
              <w:jc w:val="left"/>
              <w:rPr>
                <w:rFonts w:ascii="Times New Roman" w:hAnsi="Times New Roman" w:cs="Times New Roman"/>
                <w:color w:val="000000"/>
                <w:kern w:val="0"/>
              </w:rPr>
            </w:pPr>
            <w:r>
              <w:rPr>
                <w:rFonts w:ascii="Times New Roman" w:hAnsi="Times New Roman" w:hint="eastAsia"/>
                <w:color w:val="000000"/>
                <w:kern w:val="0"/>
              </w:rPr>
              <w:t>基金管理人名称</w:t>
            </w:r>
          </w:p>
        </w:tc>
        <w:tc>
          <w:tcPr>
            <w:tcW w:w="5486" w:type="dxa"/>
            <w:gridSpan w:val="2"/>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before="30" w:line="360" w:lineRule="auto"/>
              <w:ind w:left="15"/>
              <w:jc w:val="left"/>
              <w:rPr>
                <w:rFonts w:ascii="Times New Roman" w:hAnsi="Times New Roman" w:cs="Times New Roman"/>
                <w:color w:val="000000"/>
                <w:kern w:val="0"/>
              </w:rPr>
            </w:pPr>
            <w:r>
              <w:rPr>
                <w:rFonts w:ascii="Times New Roman" w:hAnsi="Times New Roman" w:hint="eastAsia"/>
                <w:color w:val="000000"/>
                <w:kern w:val="0"/>
              </w:rPr>
              <w:t>财通证券资产管理有限公司</w:t>
            </w:r>
          </w:p>
        </w:tc>
      </w:tr>
      <w:tr w:rsidR="00ED2D72">
        <w:trPr>
          <w:trHeight w:val="445"/>
        </w:trPr>
        <w:tc>
          <w:tcPr>
            <w:tcW w:w="3544" w:type="dxa"/>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before="30" w:line="360" w:lineRule="auto"/>
              <w:ind w:left="15"/>
              <w:jc w:val="left"/>
              <w:rPr>
                <w:rFonts w:ascii="Times New Roman" w:hAnsi="Times New Roman" w:cs="Times New Roman"/>
                <w:color w:val="000000"/>
                <w:kern w:val="0"/>
              </w:rPr>
            </w:pPr>
            <w:r>
              <w:rPr>
                <w:rFonts w:ascii="Times New Roman" w:hAnsi="Times New Roman" w:hint="eastAsia"/>
                <w:color w:val="000000"/>
                <w:kern w:val="0"/>
              </w:rPr>
              <w:t>基金托管人名称</w:t>
            </w:r>
          </w:p>
        </w:tc>
        <w:tc>
          <w:tcPr>
            <w:tcW w:w="5486" w:type="dxa"/>
            <w:gridSpan w:val="2"/>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before="30" w:line="360" w:lineRule="auto"/>
              <w:ind w:left="15"/>
              <w:jc w:val="left"/>
              <w:rPr>
                <w:rFonts w:ascii="Times New Roman" w:hAnsi="Times New Roman" w:cs="Times New Roman"/>
                <w:color w:val="000000"/>
                <w:kern w:val="0"/>
              </w:rPr>
            </w:pPr>
            <w:r>
              <w:rPr>
                <w:rFonts w:ascii="Times New Roman" w:hAnsi="Times New Roman" w:hint="eastAsia"/>
                <w:color w:val="000000"/>
                <w:kern w:val="0"/>
              </w:rPr>
              <w:t>中国农业银行股份有限公司</w:t>
            </w:r>
          </w:p>
        </w:tc>
      </w:tr>
      <w:tr w:rsidR="00ED2D72">
        <w:tc>
          <w:tcPr>
            <w:tcW w:w="3544" w:type="dxa"/>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before="30" w:line="360" w:lineRule="auto"/>
              <w:ind w:left="15"/>
              <w:jc w:val="left"/>
              <w:rPr>
                <w:rFonts w:ascii="Times New Roman" w:hAnsi="Times New Roman" w:cs="Times New Roman"/>
                <w:color w:val="000000"/>
                <w:kern w:val="0"/>
              </w:rPr>
            </w:pPr>
            <w:r>
              <w:rPr>
                <w:rFonts w:ascii="Times New Roman" w:hAnsi="Times New Roman" w:hint="eastAsia"/>
                <w:color w:val="000000"/>
                <w:kern w:val="0"/>
              </w:rPr>
              <w:t>基金注册登记机构名称</w:t>
            </w:r>
          </w:p>
        </w:tc>
        <w:tc>
          <w:tcPr>
            <w:tcW w:w="5486" w:type="dxa"/>
            <w:gridSpan w:val="2"/>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line="360" w:lineRule="auto"/>
              <w:jc w:val="left"/>
              <w:rPr>
                <w:rFonts w:ascii="Times New Roman" w:hAnsi="Times New Roman" w:cs="Times New Roman"/>
                <w:color w:val="FF0000"/>
                <w:kern w:val="0"/>
              </w:rPr>
            </w:pPr>
            <w:r>
              <w:rPr>
                <w:rFonts w:ascii="Times New Roman" w:hAnsi="Times New Roman" w:hint="eastAsia"/>
                <w:color w:val="000000"/>
                <w:kern w:val="0"/>
              </w:rPr>
              <w:t>财通证券资产管理有限公司</w:t>
            </w:r>
          </w:p>
        </w:tc>
      </w:tr>
      <w:tr w:rsidR="00ED2D72">
        <w:tc>
          <w:tcPr>
            <w:tcW w:w="3544" w:type="dxa"/>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before="30" w:line="360" w:lineRule="auto"/>
              <w:ind w:left="15"/>
              <w:jc w:val="left"/>
              <w:rPr>
                <w:rFonts w:ascii="Times New Roman" w:hAnsi="Times New Roman" w:cs="Times New Roman"/>
                <w:color w:val="000000"/>
                <w:kern w:val="0"/>
              </w:rPr>
            </w:pPr>
            <w:r>
              <w:rPr>
                <w:rFonts w:ascii="Times New Roman" w:hAnsi="Times New Roman" w:hint="eastAsia"/>
                <w:color w:val="000000"/>
                <w:kern w:val="0"/>
              </w:rPr>
              <w:t>公告依据</w:t>
            </w:r>
          </w:p>
        </w:tc>
        <w:tc>
          <w:tcPr>
            <w:tcW w:w="5486" w:type="dxa"/>
            <w:gridSpan w:val="2"/>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line="360" w:lineRule="auto"/>
              <w:jc w:val="left"/>
              <w:rPr>
                <w:rFonts w:ascii="Times New Roman" w:hAnsi="Times New Roman" w:cs="Times New Roman"/>
                <w:color w:val="000000"/>
                <w:kern w:val="0"/>
              </w:rPr>
            </w:pPr>
            <w:r>
              <w:rPr>
                <w:rFonts w:ascii="Times New Roman" w:hAnsi="Times New Roman" w:hint="eastAsia"/>
                <w:color w:val="000000"/>
                <w:kern w:val="0"/>
              </w:rPr>
              <w:t>《财通资管鸿曜</w:t>
            </w:r>
            <w:r>
              <w:rPr>
                <w:rFonts w:ascii="Times New Roman" w:hAnsi="Times New Roman" w:hint="eastAsia"/>
                <w:color w:val="000000"/>
                <w:kern w:val="0"/>
              </w:rPr>
              <w:t>9</w:t>
            </w:r>
            <w:r>
              <w:rPr>
                <w:rFonts w:ascii="Times New Roman" w:hAnsi="Times New Roman"/>
                <w:color w:val="000000"/>
                <w:kern w:val="0"/>
              </w:rPr>
              <w:t>0</w:t>
            </w:r>
            <w:r>
              <w:rPr>
                <w:rFonts w:ascii="Times New Roman" w:hAnsi="Times New Roman" w:hint="eastAsia"/>
                <w:color w:val="000000"/>
                <w:kern w:val="0"/>
              </w:rPr>
              <w:t>天持有期债券型证券投资基金基金合同》、《财通资管鸿曜</w:t>
            </w:r>
            <w:r>
              <w:rPr>
                <w:rFonts w:ascii="Times New Roman" w:hAnsi="Times New Roman" w:hint="eastAsia"/>
                <w:color w:val="000000"/>
                <w:kern w:val="0"/>
              </w:rPr>
              <w:t>9</w:t>
            </w:r>
            <w:r>
              <w:rPr>
                <w:rFonts w:ascii="Times New Roman" w:hAnsi="Times New Roman"/>
                <w:color w:val="000000"/>
                <w:kern w:val="0"/>
              </w:rPr>
              <w:t>0</w:t>
            </w:r>
            <w:r>
              <w:rPr>
                <w:rFonts w:ascii="Times New Roman" w:hAnsi="Times New Roman" w:hint="eastAsia"/>
                <w:color w:val="000000"/>
                <w:kern w:val="0"/>
              </w:rPr>
              <w:t>天持有期债券型证券投资基金招募说明书》等</w:t>
            </w:r>
          </w:p>
        </w:tc>
      </w:tr>
      <w:tr w:rsidR="00ED2D72">
        <w:tc>
          <w:tcPr>
            <w:tcW w:w="3544" w:type="dxa"/>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before="30" w:line="360" w:lineRule="auto"/>
              <w:ind w:left="15"/>
              <w:jc w:val="left"/>
              <w:rPr>
                <w:rFonts w:ascii="Times New Roman" w:hAnsi="Times New Roman" w:cs="Times New Roman"/>
                <w:color w:val="000000"/>
                <w:kern w:val="0"/>
              </w:rPr>
            </w:pPr>
            <w:r>
              <w:rPr>
                <w:rFonts w:ascii="Times New Roman" w:hAnsi="Times New Roman" w:hint="eastAsia"/>
                <w:color w:val="000000"/>
                <w:kern w:val="0"/>
              </w:rPr>
              <w:t>申购起始日</w:t>
            </w:r>
          </w:p>
        </w:tc>
        <w:tc>
          <w:tcPr>
            <w:tcW w:w="5486" w:type="dxa"/>
            <w:gridSpan w:val="2"/>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line="360" w:lineRule="auto"/>
              <w:jc w:val="left"/>
              <w:rPr>
                <w:rFonts w:ascii="Times New Roman" w:hAnsi="Times New Roman"/>
                <w:color w:val="000000"/>
                <w:kern w:val="0"/>
              </w:rPr>
            </w:pPr>
            <w:r>
              <w:rPr>
                <w:rFonts w:ascii="Times New Roman" w:hAnsi="Times New Roman" w:hint="eastAsia"/>
                <w:color w:val="000000"/>
                <w:kern w:val="0"/>
              </w:rPr>
              <w:t>2026</w:t>
            </w:r>
            <w:r>
              <w:rPr>
                <w:rFonts w:ascii="Times New Roman" w:hAnsi="Times New Roman" w:hint="eastAsia"/>
                <w:color w:val="000000"/>
                <w:kern w:val="0"/>
              </w:rPr>
              <w:t>年</w:t>
            </w:r>
            <w:r>
              <w:rPr>
                <w:rFonts w:ascii="Times New Roman" w:hAnsi="Times New Roman"/>
                <w:color w:val="000000"/>
                <w:kern w:val="0"/>
              </w:rPr>
              <w:t>1</w:t>
            </w:r>
            <w:r>
              <w:rPr>
                <w:rFonts w:ascii="Times New Roman" w:hAnsi="Times New Roman" w:hint="eastAsia"/>
                <w:color w:val="000000"/>
                <w:kern w:val="0"/>
              </w:rPr>
              <w:t>月</w:t>
            </w:r>
            <w:r>
              <w:rPr>
                <w:rFonts w:ascii="Times New Roman" w:hAnsi="Times New Roman" w:hint="eastAsia"/>
                <w:color w:val="000000"/>
                <w:kern w:val="0"/>
              </w:rPr>
              <w:t>26</w:t>
            </w:r>
            <w:r>
              <w:rPr>
                <w:rFonts w:ascii="Times New Roman" w:hAnsi="Times New Roman" w:hint="eastAsia"/>
                <w:color w:val="000000"/>
                <w:kern w:val="0"/>
              </w:rPr>
              <w:t>日</w:t>
            </w:r>
          </w:p>
        </w:tc>
      </w:tr>
      <w:tr w:rsidR="00ED2D72">
        <w:tc>
          <w:tcPr>
            <w:tcW w:w="3544" w:type="dxa"/>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before="30" w:line="360" w:lineRule="auto"/>
              <w:ind w:left="15"/>
              <w:jc w:val="left"/>
              <w:rPr>
                <w:rFonts w:ascii="Times New Roman" w:hAnsi="Times New Roman"/>
                <w:color w:val="000000"/>
                <w:kern w:val="0"/>
              </w:rPr>
            </w:pPr>
            <w:r>
              <w:rPr>
                <w:rFonts w:ascii="Times New Roman" w:hAnsi="Times New Roman" w:hint="eastAsia"/>
                <w:color w:val="000000"/>
                <w:kern w:val="0"/>
              </w:rPr>
              <w:t>赎回起始日</w:t>
            </w:r>
          </w:p>
        </w:tc>
        <w:tc>
          <w:tcPr>
            <w:tcW w:w="5486" w:type="dxa"/>
            <w:gridSpan w:val="2"/>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line="360" w:lineRule="auto"/>
              <w:jc w:val="left"/>
              <w:rPr>
                <w:rFonts w:ascii="Times New Roman" w:hAnsi="Times New Roman"/>
                <w:color w:val="000000"/>
                <w:kern w:val="0"/>
              </w:rPr>
            </w:pPr>
            <w:r>
              <w:rPr>
                <w:rFonts w:ascii="Times New Roman" w:hAnsi="Times New Roman" w:hint="eastAsia"/>
                <w:color w:val="000000"/>
                <w:kern w:val="0"/>
              </w:rPr>
              <w:t>2026</w:t>
            </w:r>
            <w:r>
              <w:rPr>
                <w:rFonts w:ascii="Times New Roman" w:hAnsi="Times New Roman" w:hint="eastAsia"/>
                <w:color w:val="000000"/>
                <w:kern w:val="0"/>
              </w:rPr>
              <w:t>年</w:t>
            </w:r>
            <w:r>
              <w:rPr>
                <w:rFonts w:ascii="Times New Roman" w:hAnsi="Times New Roman"/>
                <w:color w:val="000000"/>
                <w:kern w:val="0"/>
              </w:rPr>
              <w:t>1</w:t>
            </w:r>
            <w:r>
              <w:rPr>
                <w:rFonts w:ascii="Times New Roman" w:hAnsi="Times New Roman" w:hint="eastAsia"/>
                <w:color w:val="000000"/>
                <w:kern w:val="0"/>
              </w:rPr>
              <w:t>月</w:t>
            </w:r>
            <w:r>
              <w:rPr>
                <w:rFonts w:ascii="Times New Roman" w:hAnsi="Times New Roman" w:hint="eastAsia"/>
                <w:color w:val="000000"/>
                <w:kern w:val="0"/>
              </w:rPr>
              <w:t>26</w:t>
            </w:r>
            <w:r>
              <w:rPr>
                <w:rFonts w:ascii="Times New Roman" w:hAnsi="Times New Roman" w:hint="eastAsia"/>
                <w:color w:val="000000"/>
                <w:kern w:val="0"/>
              </w:rPr>
              <w:t>日</w:t>
            </w:r>
          </w:p>
        </w:tc>
      </w:tr>
      <w:tr w:rsidR="00ED2D72">
        <w:tc>
          <w:tcPr>
            <w:tcW w:w="3544" w:type="dxa"/>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before="30" w:line="360" w:lineRule="auto"/>
              <w:ind w:left="15"/>
              <w:jc w:val="left"/>
              <w:rPr>
                <w:rFonts w:ascii="Times New Roman" w:hAnsi="Times New Roman"/>
                <w:color w:val="000000"/>
                <w:kern w:val="0"/>
              </w:rPr>
            </w:pPr>
            <w:r>
              <w:rPr>
                <w:rFonts w:ascii="Times New Roman" w:hAnsi="Times New Roman" w:hint="eastAsia"/>
                <w:color w:val="000000"/>
                <w:kern w:val="0"/>
              </w:rPr>
              <w:t>定期定额投资起始日</w:t>
            </w:r>
          </w:p>
        </w:tc>
        <w:tc>
          <w:tcPr>
            <w:tcW w:w="5486" w:type="dxa"/>
            <w:gridSpan w:val="2"/>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line="360" w:lineRule="auto"/>
              <w:jc w:val="left"/>
              <w:rPr>
                <w:rFonts w:ascii="Times New Roman" w:hAnsi="Times New Roman"/>
                <w:color w:val="000000"/>
                <w:kern w:val="0"/>
              </w:rPr>
            </w:pPr>
            <w:r>
              <w:rPr>
                <w:rFonts w:ascii="Times New Roman" w:hAnsi="Times New Roman" w:hint="eastAsia"/>
                <w:color w:val="000000"/>
                <w:kern w:val="0"/>
              </w:rPr>
              <w:t>2</w:t>
            </w:r>
            <w:r>
              <w:rPr>
                <w:rFonts w:ascii="Times New Roman" w:hAnsi="Times New Roman"/>
                <w:color w:val="000000"/>
                <w:kern w:val="0"/>
              </w:rPr>
              <w:t>02</w:t>
            </w:r>
            <w:r>
              <w:rPr>
                <w:rFonts w:ascii="Times New Roman" w:hAnsi="Times New Roman" w:hint="eastAsia"/>
                <w:color w:val="000000"/>
                <w:kern w:val="0"/>
              </w:rPr>
              <w:t>6</w:t>
            </w:r>
            <w:r>
              <w:rPr>
                <w:rFonts w:ascii="Times New Roman" w:hAnsi="Times New Roman" w:hint="eastAsia"/>
                <w:color w:val="000000"/>
                <w:kern w:val="0"/>
              </w:rPr>
              <w:t>年</w:t>
            </w:r>
            <w:r>
              <w:rPr>
                <w:rFonts w:ascii="Times New Roman" w:hAnsi="Times New Roman" w:hint="eastAsia"/>
                <w:color w:val="000000"/>
                <w:kern w:val="0"/>
              </w:rPr>
              <w:t>1</w:t>
            </w:r>
            <w:r>
              <w:rPr>
                <w:rFonts w:ascii="Times New Roman" w:hAnsi="Times New Roman" w:hint="eastAsia"/>
                <w:color w:val="000000"/>
                <w:kern w:val="0"/>
              </w:rPr>
              <w:t>月</w:t>
            </w:r>
            <w:r>
              <w:rPr>
                <w:rFonts w:ascii="Times New Roman" w:hAnsi="Times New Roman" w:hint="eastAsia"/>
                <w:color w:val="000000"/>
                <w:kern w:val="0"/>
              </w:rPr>
              <w:t>26</w:t>
            </w:r>
            <w:r>
              <w:rPr>
                <w:rFonts w:ascii="Times New Roman" w:hAnsi="Times New Roman" w:hint="eastAsia"/>
                <w:color w:val="000000"/>
                <w:kern w:val="0"/>
              </w:rPr>
              <w:t>日</w:t>
            </w:r>
          </w:p>
        </w:tc>
      </w:tr>
      <w:tr w:rsidR="00ED2D72">
        <w:tc>
          <w:tcPr>
            <w:tcW w:w="3544" w:type="dxa"/>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before="30" w:line="360" w:lineRule="auto"/>
              <w:ind w:left="15"/>
              <w:jc w:val="left"/>
              <w:rPr>
                <w:rFonts w:ascii="Times New Roman" w:hAnsi="Times New Roman"/>
                <w:color w:val="000000"/>
                <w:kern w:val="0"/>
              </w:rPr>
            </w:pPr>
            <w:r>
              <w:rPr>
                <w:rFonts w:ascii="Times New Roman" w:hAnsi="Times New Roman" w:hint="eastAsia"/>
                <w:color w:val="000000"/>
                <w:kern w:val="0"/>
              </w:rPr>
              <w:t>下属分级基金的基金简称</w:t>
            </w:r>
          </w:p>
        </w:tc>
        <w:tc>
          <w:tcPr>
            <w:tcW w:w="2693" w:type="dxa"/>
            <w:tcBorders>
              <w:top w:val="single" w:sz="8" w:space="0" w:color="000000"/>
              <w:left w:val="single" w:sz="8" w:space="0" w:color="000000"/>
              <w:bottom w:val="single" w:sz="8" w:space="0" w:color="000000"/>
              <w:right w:val="single" w:sz="8" w:space="0" w:color="000000"/>
            </w:tcBorders>
            <w:vAlign w:val="center"/>
          </w:tcPr>
          <w:p w:rsidR="00ED2D72" w:rsidRDefault="00596D7C">
            <w:pPr>
              <w:widowControl/>
              <w:jc w:val="left"/>
              <w:rPr>
                <w:rFonts w:ascii="Times New Roman" w:hAnsi="Times New Roman"/>
                <w:color w:val="000000"/>
                <w:kern w:val="0"/>
              </w:rPr>
            </w:pPr>
            <w:r>
              <w:rPr>
                <w:rFonts w:ascii="Times New Roman" w:hAnsi="Times New Roman"/>
                <w:color w:val="000000"/>
                <w:kern w:val="0"/>
              </w:rPr>
              <w:t>财通资管</w:t>
            </w:r>
            <w:r>
              <w:rPr>
                <w:rFonts w:ascii="Times New Roman" w:hAnsi="Times New Roman" w:hint="eastAsia"/>
                <w:color w:val="000000"/>
                <w:kern w:val="0"/>
              </w:rPr>
              <w:t>鸿曜</w:t>
            </w:r>
            <w:r>
              <w:rPr>
                <w:rFonts w:ascii="Times New Roman" w:hAnsi="Times New Roman" w:hint="eastAsia"/>
                <w:color w:val="000000"/>
                <w:kern w:val="0"/>
              </w:rPr>
              <w:t>9</w:t>
            </w:r>
            <w:r>
              <w:rPr>
                <w:rFonts w:ascii="Times New Roman" w:hAnsi="Times New Roman"/>
                <w:color w:val="000000"/>
                <w:kern w:val="0"/>
              </w:rPr>
              <w:t>0</w:t>
            </w:r>
            <w:r>
              <w:rPr>
                <w:rFonts w:ascii="Times New Roman" w:hAnsi="Times New Roman"/>
                <w:color w:val="000000"/>
                <w:kern w:val="0"/>
              </w:rPr>
              <w:t>天持有期债券</w:t>
            </w:r>
            <w:r>
              <w:rPr>
                <w:rFonts w:ascii="Times New Roman" w:hAnsi="Times New Roman"/>
                <w:color w:val="000000"/>
                <w:kern w:val="0"/>
              </w:rPr>
              <w:t>A</w:t>
            </w:r>
          </w:p>
        </w:tc>
        <w:tc>
          <w:tcPr>
            <w:tcW w:w="2793" w:type="dxa"/>
            <w:tcBorders>
              <w:top w:val="single" w:sz="8" w:space="0" w:color="000000"/>
              <w:left w:val="single" w:sz="8" w:space="0" w:color="000000"/>
              <w:bottom w:val="single" w:sz="8" w:space="0" w:color="000000"/>
              <w:right w:val="single" w:sz="8" w:space="0" w:color="000000"/>
            </w:tcBorders>
            <w:vAlign w:val="center"/>
          </w:tcPr>
          <w:p w:rsidR="00ED2D72" w:rsidRDefault="00596D7C">
            <w:pPr>
              <w:widowControl/>
              <w:jc w:val="left"/>
              <w:rPr>
                <w:rFonts w:ascii="Times New Roman" w:hAnsi="Times New Roman"/>
                <w:color w:val="000000"/>
                <w:kern w:val="0"/>
              </w:rPr>
            </w:pPr>
            <w:r>
              <w:rPr>
                <w:rFonts w:ascii="Times New Roman" w:hAnsi="Times New Roman"/>
                <w:color w:val="000000"/>
                <w:kern w:val="0"/>
              </w:rPr>
              <w:t>财通资管</w:t>
            </w:r>
            <w:r>
              <w:rPr>
                <w:rFonts w:ascii="Times New Roman" w:hAnsi="Times New Roman" w:hint="eastAsia"/>
                <w:color w:val="000000"/>
                <w:kern w:val="0"/>
              </w:rPr>
              <w:t>鸿曜</w:t>
            </w:r>
            <w:r>
              <w:rPr>
                <w:rFonts w:ascii="Times New Roman" w:hAnsi="Times New Roman" w:hint="eastAsia"/>
                <w:color w:val="000000"/>
                <w:kern w:val="0"/>
              </w:rPr>
              <w:t>9</w:t>
            </w:r>
            <w:r>
              <w:rPr>
                <w:rFonts w:ascii="Times New Roman" w:hAnsi="Times New Roman"/>
                <w:color w:val="000000"/>
                <w:kern w:val="0"/>
              </w:rPr>
              <w:t>0</w:t>
            </w:r>
            <w:r>
              <w:rPr>
                <w:rFonts w:ascii="Times New Roman" w:hAnsi="Times New Roman"/>
                <w:color w:val="000000"/>
                <w:kern w:val="0"/>
              </w:rPr>
              <w:t>天持有期债券</w:t>
            </w:r>
            <w:r>
              <w:rPr>
                <w:rFonts w:ascii="Times New Roman" w:hAnsi="Times New Roman"/>
                <w:color w:val="000000"/>
                <w:kern w:val="0"/>
              </w:rPr>
              <w:t xml:space="preserve">C </w:t>
            </w:r>
          </w:p>
        </w:tc>
      </w:tr>
      <w:tr w:rsidR="00ED2D72">
        <w:tc>
          <w:tcPr>
            <w:tcW w:w="3544" w:type="dxa"/>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before="30" w:line="360" w:lineRule="auto"/>
              <w:ind w:left="15"/>
              <w:jc w:val="left"/>
              <w:rPr>
                <w:rFonts w:ascii="Times New Roman" w:hAnsi="Times New Roman"/>
                <w:color w:val="000000"/>
                <w:kern w:val="0"/>
              </w:rPr>
            </w:pPr>
            <w:r>
              <w:rPr>
                <w:rFonts w:ascii="Times New Roman" w:hAnsi="Times New Roman" w:hint="eastAsia"/>
                <w:color w:val="000000"/>
                <w:kern w:val="0"/>
              </w:rPr>
              <w:t>下属分级基金的交易代码</w:t>
            </w:r>
          </w:p>
        </w:tc>
        <w:tc>
          <w:tcPr>
            <w:tcW w:w="2693" w:type="dxa"/>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line="360" w:lineRule="auto"/>
              <w:jc w:val="left"/>
              <w:rPr>
                <w:rFonts w:ascii="Times New Roman" w:hAnsi="Times New Roman"/>
                <w:color w:val="000000"/>
                <w:kern w:val="0"/>
              </w:rPr>
            </w:pPr>
            <w:r>
              <w:rPr>
                <w:rFonts w:ascii="Times New Roman" w:hAnsi="Times New Roman"/>
                <w:color w:val="000000"/>
                <w:kern w:val="0"/>
              </w:rPr>
              <w:t>0</w:t>
            </w:r>
            <w:r>
              <w:rPr>
                <w:rFonts w:ascii="Times New Roman" w:hAnsi="Times New Roman" w:hint="eastAsia"/>
                <w:color w:val="000000"/>
                <w:kern w:val="0"/>
              </w:rPr>
              <w:t>24303</w:t>
            </w:r>
          </w:p>
        </w:tc>
        <w:tc>
          <w:tcPr>
            <w:tcW w:w="2793" w:type="dxa"/>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line="360" w:lineRule="auto"/>
              <w:jc w:val="left"/>
              <w:rPr>
                <w:rFonts w:ascii="Times New Roman" w:hAnsi="Times New Roman"/>
                <w:color w:val="000000"/>
                <w:kern w:val="0"/>
              </w:rPr>
            </w:pPr>
            <w:r>
              <w:rPr>
                <w:rFonts w:ascii="Times New Roman" w:hAnsi="Times New Roman"/>
                <w:color w:val="000000"/>
                <w:kern w:val="0"/>
              </w:rPr>
              <w:t>0</w:t>
            </w:r>
            <w:r>
              <w:rPr>
                <w:rFonts w:ascii="Times New Roman" w:hAnsi="Times New Roman" w:hint="eastAsia"/>
                <w:color w:val="000000"/>
                <w:kern w:val="0"/>
              </w:rPr>
              <w:t>24304</w:t>
            </w:r>
          </w:p>
        </w:tc>
      </w:tr>
      <w:tr w:rsidR="00ED2D72">
        <w:tc>
          <w:tcPr>
            <w:tcW w:w="3544" w:type="dxa"/>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before="30" w:line="360" w:lineRule="auto"/>
              <w:ind w:left="15"/>
              <w:jc w:val="left"/>
              <w:rPr>
                <w:rFonts w:ascii="Times New Roman" w:hAnsi="Times New Roman"/>
                <w:color w:val="000000"/>
                <w:kern w:val="0"/>
              </w:rPr>
            </w:pPr>
            <w:r>
              <w:rPr>
                <w:rFonts w:ascii="Times New Roman" w:hAnsi="Times New Roman" w:hint="eastAsia"/>
                <w:color w:val="000000"/>
                <w:kern w:val="0"/>
              </w:rPr>
              <w:t>该分级基金是否开放申购、赎回及定期定额投资业务</w:t>
            </w:r>
          </w:p>
        </w:tc>
        <w:tc>
          <w:tcPr>
            <w:tcW w:w="2693" w:type="dxa"/>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line="360" w:lineRule="auto"/>
              <w:jc w:val="left"/>
              <w:rPr>
                <w:rFonts w:ascii="Times New Roman" w:hAnsi="Times New Roman"/>
                <w:color w:val="000000"/>
                <w:kern w:val="0"/>
              </w:rPr>
            </w:pPr>
            <w:r>
              <w:rPr>
                <w:rFonts w:ascii="Times New Roman" w:hAnsi="Times New Roman" w:hint="eastAsia"/>
                <w:color w:val="000000"/>
                <w:kern w:val="0"/>
              </w:rPr>
              <w:t>是</w:t>
            </w:r>
          </w:p>
        </w:tc>
        <w:tc>
          <w:tcPr>
            <w:tcW w:w="2793" w:type="dxa"/>
            <w:tcBorders>
              <w:top w:val="single" w:sz="8" w:space="0" w:color="000000"/>
              <w:left w:val="single" w:sz="8" w:space="0" w:color="000000"/>
              <w:bottom w:val="single" w:sz="8" w:space="0" w:color="000000"/>
              <w:right w:val="single" w:sz="8" w:space="0" w:color="000000"/>
            </w:tcBorders>
            <w:vAlign w:val="center"/>
          </w:tcPr>
          <w:p w:rsidR="00ED2D72" w:rsidRDefault="00596D7C">
            <w:pPr>
              <w:autoSpaceDE w:val="0"/>
              <w:autoSpaceDN w:val="0"/>
              <w:adjustRightInd w:val="0"/>
              <w:spacing w:line="360" w:lineRule="auto"/>
              <w:jc w:val="left"/>
              <w:rPr>
                <w:rFonts w:ascii="Times New Roman" w:hAnsi="Times New Roman"/>
                <w:color w:val="000000"/>
                <w:kern w:val="0"/>
              </w:rPr>
            </w:pPr>
            <w:r>
              <w:rPr>
                <w:rFonts w:ascii="Times New Roman" w:hAnsi="Times New Roman" w:hint="eastAsia"/>
                <w:color w:val="000000"/>
                <w:kern w:val="0"/>
              </w:rPr>
              <w:t>是</w:t>
            </w:r>
          </w:p>
        </w:tc>
      </w:tr>
    </w:tbl>
    <w:p w:rsidR="00ED2D72" w:rsidRDefault="00596D7C" w:rsidP="00C8776B">
      <w:pPr>
        <w:spacing w:beforeLines="50" w:line="360" w:lineRule="auto"/>
        <w:ind w:firstLineChars="150" w:firstLine="315"/>
      </w:pPr>
      <w:r>
        <w:rPr>
          <w:rFonts w:ascii="Arial" w:hAnsi="Arial" w:cs="Arial" w:hint="eastAsia"/>
        </w:rPr>
        <w:t>注：本基金对每份基金份额设置</w:t>
      </w:r>
      <w:r>
        <w:rPr>
          <w:rFonts w:ascii="Arial" w:hAnsi="Arial" w:cs="Arial" w:hint="eastAsia"/>
        </w:rPr>
        <w:t>90</w:t>
      </w:r>
      <w:r>
        <w:rPr>
          <w:rFonts w:ascii="Arial" w:hAnsi="Arial" w:cs="Arial" w:hint="eastAsia"/>
        </w:rPr>
        <w:t>天的最短持有期。对于每份基金份额，最短持有期起始日指基金合同生效日（对认购份额而言）、基金份额申购确认日（对申购份额而言）或基金份额转换转入确认日（对转换转入份额而言）；最短持有期到期日指该基金份额最短持有期起始日后的第</w:t>
      </w:r>
      <w:r>
        <w:rPr>
          <w:rFonts w:ascii="Arial" w:hAnsi="Arial" w:cs="Arial" w:hint="eastAsia"/>
        </w:rPr>
        <w:t>90</w:t>
      </w:r>
      <w:r>
        <w:rPr>
          <w:rFonts w:ascii="Arial" w:hAnsi="Arial" w:cs="Arial" w:hint="eastAsia"/>
        </w:rPr>
        <w:t>天，如该日为非工作日，则顺延至下一工作日。在每份基金份额的最短持有期到期日前（不含当日），基金份额持有人不能对该基金份额提出赎回申请；每份基金份额的最短持有期到期日起（含当日），基金份额持有人可对该基金份额提出赎回申请。</w:t>
      </w:r>
    </w:p>
    <w:p w:rsidR="00ED2D72" w:rsidRDefault="00ED2D72" w:rsidP="00C8776B">
      <w:pPr>
        <w:spacing w:beforeLines="50" w:line="360" w:lineRule="auto"/>
        <w:ind w:firstLineChars="150" w:firstLine="315"/>
      </w:pPr>
    </w:p>
    <w:p w:rsidR="00ED2D72" w:rsidRDefault="00596D7C">
      <w:pPr>
        <w:autoSpaceDE w:val="0"/>
        <w:autoSpaceDN w:val="0"/>
        <w:adjustRightInd w:val="0"/>
        <w:spacing w:before="30" w:line="360" w:lineRule="auto"/>
        <w:ind w:left="15"/>
        <w:jc w:val="left"/>
        <w:rPr>
          <w:rFonts w:ascii="Times New Roman" w:hAnsi="Times New Roman" w:cs="Times New Roman"/>
          <w:b/>
          <w:bCs/>
          <w:color w:val="000000"/>
          <w:kern w:val="0"/>
        </w:rPr>
      </w:pPr>
      <w:r>
        <w:rPr>
          <w:rFonts w:ascii="Times New Roman" w:hAnsi="Times New Roman" w:cs="Times New Roman"/>
          <w:b/>
          <w:bCs/>
          <w:color w:val="000000"/>
          <w:kern w:val="0"/>
        </w:rPr>
        <w:t xml:space="preserve">2 </w:t>
      </w:r>
      <w:r>
        <w:rPr>
          <w:rFonts w:ascii="Times New Roman" w:hAnsi="Times New Roman" w:hint="eastAsia"/>
          <w:b/>
          <w:bCs/>
          <w:color w:val="000000"/>
          <w:kern w:val="0"/>
        </w:rPr>
        <w:t>日常申购、赎回业务的办理时间</w:t>
      </w:r>
    </w:p>
    <w:p w:rsidR="00ED2D72" w:rsidRDefault="00596D7C">
      <w:pPr>
        <w:autoSpaceDE w:val="0"/>
        <w:autoSpaceDN w:val="0"/>
        <w:adjustRightInd w:val="0"/>
        <w:spacing w:before="30" w:line="360" w:lineRule="auto"/>
        <w:ind w:firstLineChars="200" w:firstLine="420"/>
        <w:jc w:val="left"/>
        <w:rPr>
          <w:rFonts w:ascii="Arial" w:hAnsi="Arial" w:cs="Arial"/>
        </w:rPr>
      </w:pPr>
      <w:r>
        <w:rPr>
          <w:rFonts w:ascii="Arial" w:hAnsi="Arial" w:cs="Arial" w:hint="eastAsia"/>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ED2D72" w:rsidRDefault="00596D7C">
      <w:pPr>
        <w:autoSpaceDE w:val="0"/>
        <w:autoSpaceDN w:val="0"/>
        <w:adjustRightInd w:val="0"/>
        <w:spacing w:before="30" w:line="360" w:lineRule="auto"/>
        <w:ind w:firstLineChars="200" w:firstLine="420"/>
        <w:jc w:val="left"/>
        <w:rPr>
          <w:rFonts w:ascii="Arial" w:hAnsi="Arial" w:cs="Arial"/>
        </w:rPr>
      </w:pPr>
      <w:r>
        <w:rPr>
          <w:rFonts w:ascii="Arial" w:hAnsi="Arial" w:cs="Arial" w:hint="eastAsia"/>
        </w:rPr>
        <w:t>若出现新的证券</w:t>
      </w:r>
      <w:r>
        <w:rPr>
          <w:rFonts w:ascii="Arial" w:hAnsi="Arial" w:cs="Arial"/>
        </w:rPr>
        <w:t>/</w:t>
      </w:r>
      <w:r>
        <w:rPr>
          <w:rFonts w:ascii="Arial" w:hAnsi="Arial" w:cs="Arial" w:hint="eastAsia"/>
        </w:rPr>
        <w:t>期货交易市场、证券</w:t>
      </w:r>
      <w:r>
        <w:rPr>
          <w:rFonts w:ascii="Arial" w:hAnsi="Arial" w:cs="Arial"/>
        </w:rPr>
        <w:t>/</w:t>
      </w:r>
      <w:r>
        <w:rPr>
          <w:rFonts w:ascii="Arial" w:hAnsi="Arial" w:cs="Arial" w:hint="eastAsia"/>
        </w:rPr>
        <w:t>期货交易所交易时间变更或其他特殊情况，基金管理人将视情况对前述开放日及开放时间进行相应的调整，但应在实施日前依照《信息披露办法》的有关规定在规定媒介上公告。</w:t>
      </w:r>
    </w:p>
    <w:p w:rsidR="00ED2D72" w:rsidRDefault="00ED2D72">
      <w:pPr>
        <w:autoSpaceDE w:val="0"/>
        <w:autoSpaceDN w:val="0"/>
        <w:adjustRightInd w:val="0"/>
        <w:spacing w:before="30" w:line="360" w:lineRule="auto"/>
        <w:jc w:val="left"/>
        <w:rPr>
          <w:rFonts w:ascii="Times New Roman" w:hAnsi="Times New Roman" w:cs="Times New Roman"/>
          <w:b/>
          <w:bCs/>
          <w:color w:val="000000"/>
          <w:kern w:val="0"/>
        </w:rPr>
      </w:pPr>
    </w:p>
    <w:p w:rsidR="00ED2D72" w:rsidRDefault="00596D7C">
      <w:pPr>
        <w:autoSpaceDE w:val="0"/>
        <w:autoSpaceDN w:val="0"/>
        <w:adjustRightInd w:val="0"/>
        <w:spacing w:before="30" w:line="360" w:lineRule="auto"/>
        <w:jc w:val="left"/>
        <w:rPr>
          <w:rFonts w:ascii="Times New Roman" w:hAnsi="Times New Roman" w:cs="Times New Roman"/>
          <w:b/>
          <w:bCs/>
          <w:color w:val="000000"/>
          <w:kern w:val="0"/>
        </w:rPr>
      </w:pPr>
      <w:r>
        <w:rPr>
          <w:rFonts w:ascii="Times New Roman" w:hAnsi="Times New Roman" w:cs="Times New Roman"/>
          <w:b/>
          <w:bCs/>
          <w:color w:val="000000"/>
          <w:kern w:val="0"/>
        </w:rPr>
        <w:t xml:space="preserve">3 </w:t>
      </w:r>
      <w:r>
        <w:rPr>
          <w:rFonts w:ascii="Times New Roman" w:hAnsi="Times New Roman" w:hint="eastAsia"/>
          <w:b/>
          <w:bCs/>
          <w:color w:val="000000"/>
          <w:kern w:val="0"/>
        </w:rPr>
        <w:t>日常申购业务</w:t>
      </w:r>
    </w:p>
    <w:p w:rsidR="00ED2D72" w:rsidRDefault="00596D7C">
      <w:pPr>
        <w:autoSpaceDE w:val="0"/>
        <w:autoSpaceDN w:val="0"/>
        <w:adjustRightInd w:val="0"/>
        <w:spacing w:before="30" w:line="360" w:lineRule="auto"/>
        <w:ind w:left="15"/>
        <w:jc w:val="left"/>
        <w:rPr>
          <w:rFonts w:ascii="Times New Roman" w:hAnsi="Times New Roman"/>
          <w:b/>
          <w:bCs/>
          <w:color w:val="000000"/>
          <w:kern w:val="0"/>
        </w:rPr>
      </w:pPr>
      <w:r>
        <w:rPr>
          <w:rFonts w:ascii="Times New Roman" w:hAnsi="Times New Roman" w:cs="Times New Roman"/>
          <w:b/>
          <w:bCs/>
          <w:color w:val="000000"/>
          <w:kern w:val="0"/>
        </w:rPr>
        <w:t xml:space="preserve">3.1 </w:t>
      </w:r>
      <w:r>
        <w:rPr>
          <w:rFonts w:ascii="Times New Roman" w:hAnsi="Times New Roman" w:hint="eastAsia"/>
          <w:b/>
          <w:bCs/>
          <w:color w:val="000000"/>
          <w:kern w:val="0"/>
        </w:rPr>
        <w:t>申购金额限制</w:t>
      </w:r>
    </w:p>
    <w:p w:rsidR="00ED2D72" w:rsidRDefault="00596D7C">
      <w:pPr>
        <w:autoSpaceDE w:val="0"/>
        <w:autoSpaceDN w:val="0"/>
        <w:adjustRightInd w:val="0"/>
        <w:spacing w:line="360" w:lineRule="auto"/>
        <w:ind w:firstLine="435"/>
        <w:jc w:val="left"/>
        <w:rPr>
          <w:rFonts w:ascii="Times New Roman" w:hAnsi="Times New Roman" w:cs="Times New Roman"/>
          <w:color w:val="000000"/>
          <w:kern w:val="0"/>
        </w:rPr>
      </w:pPr>
      <w:r>
        <w:rPr>
          <w:rFonts w:ascii="Times New Roman" w:hAnsi="Times New Roman" w:cs="Times New Roman" w:hint="eastAsia"/>
          <w:color w:val="000000"/>
          <w:kern w:val="0"/>
        </w:rPr>
        <w:t>直销柜台每个账户首次申购的最低金额为</w:t>
      </w:r>
      <w:r>
        <w:rPr>
          <w:rFonts w:ascii="Times New Roman" w:hAnsi="Times New Roman" w:cs="Times New Roman"/>
          <w:color w:val="000000"/>
          <w:kern w:val="0"/>
        </w:rPr>
        <w:t>5</w:t>
      </w:r>
      <w:r>
        <w:rPr>
          <w:rFonts w:ascii="Times New Roman" w:hAnsi="Times New Roman" w:cs="Times New Roman" w:hint="eastAsia"/>
          <w:color w:val="000000"/>
          <w:kern w:val="0"/>
        </w:rPr>
        <w:t>0,000</w:t>
      </w:r>
      <w:r>
        <w:rPr>
          <w:rFonts w:ascii="Times New Roman" w:hAnsi="Times New Roman" w:cs="Times New Roman" w:hint="eastAsia"/>
          <w:color w:val="000000"/>
          <w:kern w:val="0"/>
        </w:rPr>
        <w:t>元，追加申购的最低金额为单笔</w:t>
      </w:r>
      <w:r>
        <w:rPr>
          <w:rFonts w:ascii="Times New Roman" w:hAnsi="Times New Roman" w:cs="Times New Roman" w:hint="eastAsia"/>
          <w:color w:val="000000"/>
          <w:kern w:val="0"/>
        </w:rPr>
        <w:t>1</w:t>
      </w:r>
      <w:r>
        <w:rPr>
          <w:rFonts w:ascii="Times New Roman" w:hAnsi="Times New Roman" w:cs="Times New Roman"/>
          <w:color w:val="000000"/>
          <w:kern w:val="0"/>
        </w:rPr>
        <w:t>.00</w:t>
      </w:r>
      <w:r>
        <w:rPr>
          <w:rFonts w:ascii="Times New Roman" w:hAnsi="Times New Roman" w:cs="Times New Roman" w:hint="eastAsia"/>
          <w:color w:val="000000"/>
          <w:kern w:val="0"/>
        </w:rPr>
        <w:t>元；已在直销柜台有认购过本基金基金份额记录的投资者不受基金份额首次申购最低金额的限制。通过基金管理人网上直销交易平台办理基金申购业务的不受直销柜台单笔申购最低金额的限制，申购最低金额为单笔</w:t>
      </w:r>
      <w:r>
        <w:rPr>
          <w:rFonts w:ascii="Times New Roman" w:hAnsi="Times New Roman" w:cs="Times New Roman" w:hint="eastAsia"/>
          <w:color w:val="000000"/>
          <w:kern w:val="0"/>
        </w:rPr>
        <w:t>1</w:t>
      </w:r>
      <w:r>
        <w:rPr>
          <w:rFonts w:ascii="Times New Roman" w:hAnsi="Times New Roman" w:cs="Times New Roman"/>
          <w:color w:val="000000"/>
          <w:kern w:val="0"/>
        </w:rPr>
        <w:t>.00</w:t>
      </w:r>
      <w:r>
        <w:rPr>
          <w:rFonts w:ascii="Times New Roman" w:hAnsi="Times New Roman" w:cs="Times New Roman" w:hint="eastAsia"/>
          <w:color w:val="000000"/>
          <w:kern w:val="0"/>
        </w:rPr>
        <w:t>元。本基金直销柜台单笔申购最低金额可由基金管理人酌情调整。其他各销售机构每个账户单笔申购的最低金额为单笔</w:t>
      </w:r>
      <w:r>
        <w:rPr>
          <w:rFonts w:ascii="Times New Roman" w:hAnsi="Times New Roman" w:cs="Times New Roman" w:hint="eastAsia"/>
          <w:color w:val="000000"/>
          <w:kern w:val="0"/>
        </w:rPr>
        <w:t>1</w:t>
      </w:r>
      <w:r>
        <w:rPr>
          <w:rFonts w:ascii="Times New Roman" w:hAnsi="Times New Roman" w:cs="Times New Roman"/>
          <w:color w:val="000000"/>
          <w:kern w:val="0"/>
        </w:rPr>
        <w:t>.00</w:t>
      </w:r>
      <w:r>
        <w:rPr>
          <w:rFonts w:ascii="Times New Roman" w:hAnsi="Times New Roman" w:cs="Times New Roman" w:hint="eastAsia"/>
          <w:color w:val="000000"/>
          <w:kern w:val="0"/>
        </w:rPr>
        <w:t>元，如果销售机构业务规则规定的最低单笔申购金额高于</w:t>
      </w:r>
      <w:r>
        <w:rPr>
          <w:rFonts w:ascii="Times New Roman" w:hAnsi="Times New Roman" w:cs="Times New Roman" w:hint="eastAsia"/>
          <w:color w:val="000000"/>
          <w:kern w:val="0"/>
        </w:rPr>
        <w:t>1</w:t>
      </w:r>
      <w:r>
        <w:rPr>
          <w:rFonts w:ascii="Times New Roman" w:hAnsi="Times New Roman" w:cs="Times New Roman"/>
          <w:color w:val="000000"/>
          <w:kern w:val="0"/>
        </w:rPr>
        <w:t>.00</w:t>
      </w:r>
      <w:r>
        <w:rPr>
          <w:rFonts w:ascii="Times New Roman" w:hAnsi="Times New Roman" w:cs="Times New Roman" w:hint="eastAsia"/>
          <w:color w:val="000000"/>
          <w:kern w:val="0"/>
        </w:rPr>
        <w:t>元，以销售机构的规定为准。</w:t>
      </w:r>
    </w:p>
    <w:p w:rsidR="00ED2D72" w:rsidRDefault="00596D7C">
      <w:pPr>
        <w:autoSpaceDE w:val="0"/>
        <w:autoSpaceDN w:val="0"/>
        <w:adjustRightInd w:val="0"/>
        <w:spacing w:before="30" w:line="360" w:lineRule="auto"/>
        <w:ind w:left="15"/>
        <w:jc w:val="left"/>
        <w:rPr>
          <w:rFonts w:ascii="Times New Roman" w:hAnsi="Times New Roman" w:cs="Times New Roman"/>
          <w:b/>
          <w:bCs/>
          <w:color w:val="000000"/>
          <w:kern w:val="0"/>
        </w:rPr>
      </w:pPr>
      <w:r>
        <w:rPr>
          <w:rFonts w:ascii="Times New Roman" w:hAnsi="Times New Roman" w:cs="Times New Roman"/>
          <w:b/>
          <w:bCs/>
          <w:color w:val="000000"/>
          <w:kern w:val="0"/>
        </w:rPr>
        <w:t xml:space="preserve">3.2 </w:t>
      </w:r>
      <w:r>
        <w:rPr>
          <w:rFonts w:ascii="Times New Roman" w:hAnsi="Times New Roman" w:hint="eastAsia"/>
          <w:b/>
          <w:bCs/>
          <w:color w:val="000000"/>
          <w:kern w:val="0"/>
        </w:rPr>
        <w:t>申购费率</w:t>
      </w:r>
    </w:p>
    <w:p w:rsidR="00ED2D72" w:rsidRDefault="00596D7C">
      <w:pPr>
        <w:widowControl/>
        <w:adjustRightInd w:val="0"/>
        <w:snapToGrid w:val="0"/>
        <w:spacing w:line="360" w:lineRule="auto"/>
        <w:ind w:firstLine="420"/>
        <w:rPr>
          <w:rFonts w:ascii="Times New Roman" w:hAnsi="Times New Roman" w:cs="Times New Roman"/>
          <w:color w:val="000000"/>
          <w:kern w:val="0"/>
        </w:rPr>
      </w:pPr>
      <w:r>
        <w:rPr>
          <w:rFonts w:ascii="Times New Roman" w:hAnsi="Times New Roman" w:cs="Times New Roman" w:hint="eastAsia"/>
          <w:color w:val="000000"/>
          <w:kern w:val="0"/>
        </w:rPr>
        <w:t>本基金对通过基金管理人直销柜台申购基金份额的养老金客户与除此之外的其他投资者实施差别的申购费率。</w:t>
      </w:r>
    </w:p>
    <w:p w:rsidR="00ED2D72" w:rsidRDefault="00596D7C">
      <w:pPr>
        <w:widowControl/>
        <w:adjustRightInd w:val="0"/>
        <w:snapToGrid w:val="0"/>
        <w:spacing w:line="360" w:lineRule="auto"/>
        <w:ind w:firstLineChars="200" w:firstLine="420"/>
        <w:rPr>
          <w:rFonts w:ascii="Times New Roman" w:hAnsi="Times New Roman" w:cs="Times New Roman"/>
          <w:color w:val="000000"/>
          <w:kern w:val="0"/>
        </w:rPr>
      </w:pPr>
      <w:r>
        <w:rPr>
          <w:rFonts w:ascii="Times New Roman" w:hAnsi="Times New Roman" w:cs="Times New Roman" w:hint="eastAsia"/>
          <w:color w:val="000000"/>
          <w:kern w:val="0"/>
        </w:rPr>
        <w:t>养老金客户指基本养老基金与依法成立的养老计划筹集的资金及其投资运营收益形成的补充养老基金，包括全国社会保障基金、可以投资基金的地方社会保障基金、企业年金单一计划以及集合计划、企业年金理事会委托的特定客户资产管理计划以及企业年金养老金产品。如将来出现经养老基金监管部门认可的新的养老基金类型，基金管理人可在招募说明书更新时或发布临时公告将其纳入养老金客户范围。非养老金客户指除养老金客户外的其他投资者。</w:t>
      </w:r>
    </w:p>
    <w:p w:rsidR="00ED2D72" w:rsidRDefault="00596D7C">
      <w:pPr>
        <w:widowControl/>
        <w:adjustRightInd w:val="0"/>
        <w:snapToGrid w:val="0"/>
        <w:spacing w:line="360" w:lineRule="auto"/>
        <w:ind w:firstLineChars="200" w:firstLine="420"/>
        <w:rPr>
          <w:kern w:val="0"/>
          <w:sz w:val="24"/>
        </w:rPr>
      </w:pPr>
      <w:r>
        <w:rPr>
          <w:rFonts w:ascii="Times New Roman" w:hAnsi="Times New Roman" w:cs="Times New Roman" w:hint="eastAsia"/>
          <w:color w:val="000000"/>
          <w:kern w:val="0"/>
        </w:rPr>
        <w:t>通过基金管理人直销柜台申购本基金</w:t>
      </w:r>
      <w:r>
        <w:rPr>
          <w:rFonts w:ascii="Times New Roman" w:hAnsi="Times New Roman" w:cs="Times New Roman" w:hint="eastAsia"/>
          <w:color w:val="000000"/>
          <w:kern w:val="0"/>
        </w:rPr>
        <w:t>A</w:t>
      </w:r>
      <w:r>
        <w:rPr>
          <w:rFonts w:ascii="Times New Roman" w:hAnsi="Times New Roman" w:cs="Times New Roman" w:hint="eastAsia"/>
          <w:color w:val="000000"/>
          <w:kern w:val="0"/>
        </w:rPr>
        <w:t>类基金份额的养老金客户适用下表特定申购费率，其他投资人申购本基金</w:t>
      </w:r>
      <w:r>
        <w:rPr>
          <w:rFonts w:ascii="Times New Roman" w:hAnsi="Times New Roman" w:cs="Times New Roman" w:hint="eastAsia"/>
          <w:color w:val="000000"/>
          <w:kern w:val="0"/>
        </w:rPr>
        <w:t>A</w:t>
      </w:r>
      <w:r>
        <w:rPr>
          <w:rFonts w:ascii="Times New Roman" w:hAnsi="Times New Roman" w:cs="Times New Roman" w:hint="eastAsia"/>
          <w:color w:val="000000"/>
          <w:kern w:val="0"/>
        </w:rPr>
        <w:t>类基金份额的适用下表一般申购费率：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2"/>
        <w:gridCol w:w="2634"/>
        <w:gridCol w:w="2821"/>
      </w:tblGrid>
      <w:tr w:rsidR="00ED2D72">
        <w:trPr>
          <w:jc w:val="center"/>
        </w:trPr>
        <w:tc>
          <w:tcPr>
            <w:tcW w:w="3242" w:type="dxa"/>
          </w:tcPr>
          <w:p w:rsidR="00ED2D72" w:rsidRDefault="00596D7C">
            <w:pPr>
              <w:widowControl/>
              <w:adjustRightInd w:val="0"/>
              <w:snapToGrid w:val="0"/>
              <w:spacing w:line="360" w:lineRule="auto"/>
              <w:jc w:val="center"/>
              <w:rPr>
                <w:rFonts w:hAnsi="宋体"/>
                <w:b/>
              </w:rPr>
            </w:pPr>
            <w:r>
              <w:rPr>
                <w:rFonts w:hAnsi="宋体" w:hint="eastAsia"/>
                <w:b/>
              </w:rPr>
              <w:t>申购金额</w:t>
            </w:r>
            <w:r>
              <w:rPr>
                <w:rFonts w:hAnsi="宋体" w:hint="eastAsia"/>
                <w:b/>
              </w:rPr>
              <w:t>M</w:t>
            </w:r>
          </w:p>
        </w:tc>
        <w:tc>
          <w:tcPr>
            <w:tcW w:w="2634" w:type="dxa"/>
          </w:tcPr>
          <w:p w:rsidR="00ED2D72" w:rsidRDefault="00596D7C">
            <w:pPr>
              <w:widowControl/>
              <w:adjustRightInd w:val="0"/>
              <w:snapToGrid w:val="0"/>
              <w:spacing w:line="360" w:lineRule="auto"/>
              <w:jc w:val="center"/>
              <w:rPr>
                <w:rFonts w:hAnsi="宋体"/>
                <w:b/>
              </w:rPr>
            </w:pPr>
            <w:r>
              <w:rPr>
                <w:rFonts w:hAnsi="宋体" w:hint="eastAsia"/>
                <w:b/>
              </w:rPr>
              <w:t>一般申购费率</w:t>
            </w:r>
          </w:p>
        </w:tc>
        <w:tc>
          <w:tcPr>
            <w:tcW w:w="2821" w:type="dxa"/>
          </w:tcPr>
          <w:p w:rsidR="00ED2D72" w:rsidRDefault="00596D7C">
            <w:pPr>
              <w:widowControl/>
              <w:adjustRightInd w:val="0"/>
              <w:snapToGrid w:val="0"/>
              <w:spacing w:line="360" w:lineRule="auto"/>
              <w:jc w:val="center"/>
              <w:rPr>
                <w:rFonts w:hAnsi="宋体"/>
                <w:b/>
              </w:rPr>
            </w:pPr>
            <w:r>
              <w:rPr>
                <w:rFonts w:hAnsi="宋体" w:hint="eastAsia"/>
                <w:b/>
              </w:rPr>
              <w:t>特定申购费率</w:t>
            </w:r>
          </w:p>
        </w:tc>
      </w:tr>
      <w:tr w:rsidR="00ED2D72">
        <w:trPr>
          <w:jc w:val="center"/>
        </w:trPr>
        <w:tc>
          <w:tcPr>
            <w:tcW w:w="3242" w:type="dxa"/>
          </w:tcPr>
          <w:p w:rsidR="00ED2D72" w:rsidRDefault="00596D7C">
            <w:pPr>
              <w:widowControl/>
              <w:adjustRightInd w:val="0"/>
              <w:snapToGrid w:val="0"/>
              <w:spacing w:line="360" w:lineRule="auto"/>
              <w:jc w:val="center"/>
              <w:rPr>
                <w:rFonts w:hAnsi="宋体"/>
              </w:rPr>
            </w:pPr>
            <w:r>
              <w:rPr>
                <w:rFonts w:hAnsi="宋体"/>
              </w:rPr>
              <w:t>M&lt;100</w:t>
            </w:r>
            <w:r>
              <w:rPr>
                <w:rFonts w:hAnsi="宋体" w:hint="eastAsia"/>
              </w:rPr>
              <w:t>万元</w:t>
            </w:r>
          </w:p>
        </w:tc>
        <w:tc>
          <w:tcPr>
            <w:tcW w:w="2634" w:type="dxa"/>
          </w:tcPr>
          <w:p w:rsidR="00ED2D72" w:rsidRDefault="00596D7C">
            <w:pPr>
              <w:widowControl/>
              <w:adjustRightInd w:val="0"/>
              <w:snapToGrid w:val="0"/>
              <w:spacing w:line="360" w:lineRule="auto"/>
              <w:jc w:val="center"/>
              <w:rPr>
                <w:rFonts w:hAnsi="宋体"/>
              </w:rPr>
            </w:pPr>
            <w:r>
              <w:rPr>
                <w:rFonts w:hAnsi="宋体"/>
              </w:rPr>
              <w:t>0.4</w:t>
            </w:r>
            <w:r>
              <w:rPr>
                <w:rFonts w:hAnsi="宋体" w:hint="eastAsia"/>
              </w:rPr>
              <w:t>0</w:t>
            </w:r>
            <w:r>
              <w:rPr>
                <w:rFonts w:hAnsi="宋体"/>
              </w:rPr>
              <w:t>%</w:t>
            </w:r>
          </w:p>
        </w:tc>
        <w:tc>
          <w:tcPr>
            <w:tcW w:w="2821" w:type="dxa"/>
          </w:tcPr>
          <w:p w:rsidR="00ED2D72" w:rsidRDefault="00596D7C">
            <w:pPr>
              <w:widowControl/>
              <w:adjustRightInd w:val="0"/>
              <w:snapToGrid w:val="0"/>
              <w:spacing w:line="360" w:lineRule="auto"/>
              <w:jc w:val="center"/>
              <w:rPr>
                <w:rFonts w:hAnsi="宋体"/>
              </w:rPr>
            </w:pPr>
            <w:r>
              <w:rPr>
                <w:rFonts w:hAnsi="宋体"/>
              </w:rPr>
              <w:t>0.16%</w:t>
            </w:r>
          </w:p>
        </w:tc>
      </w:tr>
      <w:tr w:rsidR="00ED2D72">
        <w:trPr>
          <w:jc w:val="center"/>
        </w:trPr>
        <w:tc>
          <w:tcPr>
            <w:tcW w:w="3242" w:type="dxa"/>
          </w:tcPr>
          <w:p w:rsidR="00ED2D72" w:rsidRDefault="00596D7C">
            <w:pPr>
              <w:widowControl/>
              <w:adjustRightInd w:val="0"/>
              <w:snapToGrid w:val="0"/>
              <w:spacing w:line="360" w:lineRule="auto"/>
              <w:jc w:val="center"/>
              <w:rPr>
                <w:rFonts w:hAnsi="宋体"/>
              </w:rPr>
            </w:pPr>
            <w:r>
              <w:rPr>
                <w:rFonts w:hAnsi="宋体"/>
              </w:rPr>
              <w:t>100</w:t>
            </w:r>
            <w:r>
              <w:rPr>
                <w:rFonts w:hAnsi="宋体" w:hint="eastAsia"/>
              </w:rPr>
              <w:t>万元≤</w:t>
            </w:r>
            <w:r>
              <w:rPr>
                <w:rFonts w:hAnsi="宋体"/>
              </w:rPr>
              <w:t>M&lt;500</w:t>
            </w:r>
            <w:r>
              <w:rPr>
                <w:rFonts w:hAnsi="宋体" w:hint="eastAsia"/>
              </w:rPr>
              <w:t>万元</w:t>
            </w:r>
          </w:p>
        </w:tc>
        <w:tc>
          <w:tcPr>
            <w:tcW w:w="2634" w:type="dxa"/>
          </w:tcPr>
          <w:p w:rsidR="00ED2D72" w:rsidRDefault="00596D7C">
            <w:pPr>
              <w:widowControl/>
              <w:adjustRightInd w:val="0"/>
              <w:snapToGrid w:val="0"/>
              <w:spacing w:line="360" w:lineRule="auto"/>
              <w:jc w:val="center"/>
              <w:rPr>
                <w:rFonts w:hAnsi="宋体"/>
              </w:rPr>
            </w:pPr>
            <w:r>
              <w:rPr>
                <w:rFonts w:hAnsi="宋体" w:hint="eastAsia"/>
              </w:rPr>
              <w:t>0.</w:t>
            </w:r>
            <w:r>
              <w:rPr>
                <w:rFonts w:hAnsi="宋体"/>
              </w:rPr>
              <w:t>2</w:t>
            </w:r>
            <w:r>
              <w:rPr>
                <w:rFonts w:hAnsi="宋体" w:hint="eastAsia"/>
              </w:rPr>
              <w:t>0</w:t>
            </w:r>
            <w:r>
              <w:rPr>
                <w:rFonts w:hAnsi="宋体"/>
              </w:rPr>
              <w:t>%</w:t>
            </w:r>
          </w:p>
        </w:tc>
        <w:tc>
          <w:tcPr>
            <w:tcW w:w="2821" w:type="dxa"/>
          </w:tcPr>
          <w:p w:rsidR="00ED2D72" w:rsidRDefault="00596D7C">
            <w:pPr>
              <w:widowControl/>
              <w:adjustRightInd w:val="0"/>
              <w:snapToGrid w:val="0"/>
              <w:spacing w:line="360" w:lineRule="auto"/>
              <w:jc w:val="center"/>
              <w:rPr>
                <w:rFonts w:hAnsi="宋体"/>
              </w:rPr>
            </w:pPr>
            <w:r>
              <w:rPr>
                <w:rFonts w:hAnsi="宋体"/>
              </w:rPr>
              <w:t>0.08%</w:t>
            </w:r>
          </w:p>
        </w:tc>
      </w:tr>
      <w:tr w:rsidR="00ED2D72">
        <w:trPr>
          <w:trHeight w:val="70"/>
          <w:jc w:val="center"/>
        </w:trPr>
        <w:tc>
          <w:tcPr>
            <w:tcW w:w="3242" w:type="dxa"/>
          </w:tcPr>
          <w:p w:rsidR="00ED2D72" w:rsidRDefault="00596D7C">
            <w:pPr>
              <w:widowControl/>
              <w:adjustRightInd w:val="0"/>
              <w:snapToGrid w:val="0"/>
              <w:spacing w:line="360" w:lineRule="auto"/>
              <w:jc w:val="center"/>
              <w:rPr>
                <w:rFonts w:hAnsi="宋体"/>
              </w:rPr>
            </w:pPr>
            <w:r>
              <w:rPr>
                <w:rFonts w:hAnsi="宋体"/>
              </w:rPr>
              <w:t>M</w:t>
            </w:r>
            <w:r>
              <w:rPr>
                <w:rFonts w:hAnsi="宋体" w:hint="eastAsia"/>
              </w:rPr>
              <w:t>≥</w:t>
            </w:r>
            <w:r>
              <w:rPr>
                <w:rFonts w:hAnsi="宋体"/>
              </w:rPr>
              <w:t>500</w:t>
            </w:r>
            <w:r>
              <w:rPr>
                <w:rFonts w:hAnsi="宋体" w:hint="eastAsia"/>
              </w:rPr>
              <w:t>万元</w:t>
            </w:r>
          </w:p>
        </w:tc>
        <w:tc>
          <w:tcPr>
            <w:tcW w:w="2634" w:type="dxa"/>
          </w:tcPr>
          <w:p w:rsidR="00ED2D72" w:rsidRDefault="00596D7C">
            <w:pPr>
              <w:widowControl/>
              <w:adjustRightInd w:val="0"/>
              <w:snapToGrid w:val="0"/>
              <w:spacing w:line="360" w:lineRule="auto"/>
              <w:jc w:val="center"/>
              <w:rPr>
                <w:rFonts w:hAnsi="宋体"/>
              </w:rPr>
            </w:pPr>
            <w:r>
              <w:rPr>
                <w:rFonts w:hAnsi="宋体" w:hint="eastAsia"/>
              </w:rPr>
              <w:t>每笔</w:t>
            </w:r>
            <w:r>
              <w:rPr>
                <w:rFonts w:hAnsi="宋体"/>
              </w:rPr>
              <w:t>1000</w:t>
            </w:r>
            <w:r>
              <w:rPr>
                <w:rFonts w:hAnsi="宋体" w:hint="eastAsia"/>
              </w:rPr>
              <w:t>元</w:t>
            </w:r>
          </w:p>
        </w:tc>
        <w:tc>
          <w:tcPr>
            <w:tcW w:w="2821" w:type="dxa"/>
          </w:tcPr>
          <w:p w:rsidR="00ED2D72" w:rsidRDefault="00596D7C">
            <w:pPr>
              <w:widowControl/>
              <w:adjustRightInd w:val="0"/>
              <w:snapToGrid w:val="0"/>
              <w:spacing w:line="360" w:lineRule="auto"/>
              <w:jc w:val="center"/>
              <w:rPr>
                <w:rFonts w:hAnsi="宋体"/>
              </w:rPr>
            </w:pPr>
            <w:r>
              <w:rPr>
                <w:rFonts w:hAnsi="宋体" w:hint="eastAsia"/>
              </w:rPr>
              <w:t>每笔</w:t>
            </w:r>
            <w:r>
              <w:rPr>
                <w:rFonts w:hAnsi="宋体"/>
              </w:rPr>
              <w:t>1000</w:t>
            </w:r>
            <w:r>
              <w:rPr>
                <w:rFonts w:hAnsi="宋体" w:hint="eastAsia"/>
              </w:rPr>
              <w:t>元</w:t>
            </w:r>
          </w:p>
        </w:tc>
      </w:tr>
    </w:tbl>
    <w:p w:rsidR="00ED2D72" w:rsidRDefault="00596D7C">
      <w:pPr>
        <w:autoSpaceDE w:val="0"/>
        <w:autoSpaceDN w:val="0"/>
        <w:adjustRightInd w:val="0"/>
        <w:spacing w:before="29" w:line="288" w:lineRule="auto"/>
        <w:jc w:val="left"/>
      </w:pPr>
      <w:r>
        <w:t>C</w:t>
      </w:r>
      <w:r>
        <w:t>类基金份额不收取申购费。</w:t>
      </w:r>
    </w:p>
    <w:p w:rsidR="00ED2D72" w:rsidRDefault="00ED2D72">
      <w:pPr>
        <w:autoSpaceDE w:val="0"/>
        <w:autoSpaceDN w:val="0"/>
        <w:adjustRightInd w:val="0"/>
        <w:spacing w:before="29" w:line="288" w:lineRule="auto"/>
        <w:jc w:val="left"/>
        <w:rPr>
          <w:rFonts w:ascii="Times New Roman" w:hAnsi="Times New Roman" w:cs="Times New Roman"/>
          <w:b/>
          <w:bCs/>
          <w:color w:val="000000"/>
          <w:kern w:val="0"/>
        </w:rPr>
      </w:pPr>
    </w:p>
    <w:p w:rsidR="00ED2D72" w:rsidRDefault="00596D7C">
      <w:pPr>
        <w:autoSpaceDE w:val="0"/>
        <w:autoSpaceDN w:val="0"/>
        <w:adjustRightInd w:val="0"/>
        <w:spacing w:before="29" w:line="288" w:lineRule="auto"/>
        <w:jc w:val="left"/>
        <w:rPr>
          <w:rFonts w:ascii="Times New Roman" w:hAnsi="Times New Roman" w:cs="Times New Roman"/>
          <w:b/>
          <w:bCs/>
          <w:color w:val="000000"/>
          <w:kern w:val="0"/>
        </w:rPr>
      </w:pPr>
      <w:r>
        <w:rPr>
          <w:rFonts w:ascii="Times New Roman" w:hAnsi="Times New Roman" w:cs="Times New Roman"/>
          <w:b/>
          <w:bCs/>
          <w:color w:val="000000"/>
          <w:kern w:val="0"/>
        </w:rPr>
        <w:lastRenderedPageBreak/>
        <w:t xml:space="preserve">3.3 </w:t>
      </w:r>
      <w:r>
        <w:rPr>
          <w:rFonts w:ascii="Times New Roman" w:hAnsi="Times New Roman" w:cs="Times New Roman" w:hint="eastAsia"/>
          <w:b/>
          <w:bCs/>
          <w:color w:val="000000"/>
          <w:kern w:val="0"/>
        </w:rPr>
        <w:t>其他与申购相关的事项</w:t>
      </w:r>
    </w:p>
    <w:p w:rsidR="00ED2D72" w:rsidRDefault="00596D7C">
      <w:pPr>
        <w:widowControl/>
        <w:adjustRightInd w:val="0"/>
        <w:snapToGrid w:val="0"/>
        <w:spacing w:line="360" w:lineRule="auto"/>
        <w:rPr>
          <w:rFonts w:hAnsi="宋体"/>
        </w:rPr>
      </w:pPr>
      <w:r>
        <w:rPr>
          <w:rFonts w:hAnsi="宋体" w:hint="eastAsia"/>
        </w:rPr>
        <w:t>（</w:t>
      </w:r>
      <w:r>
        <w:rPr>
          <w:rFonts w:hAnsi="宋体" w:hint="eastAsia"/>
        </w:rPr>
        <w:t>1</w:t>
      </w:r>
      <w:r>
        <w:rPr>
          <w:rFonts w:hAnsi="宋体" w:hint="eastAsia"/>
        </w:rPr>
        <w:t>）本基金的申购费用应在投资人申购</w:t>
      </w:r>
      <w:r>
        <w:rPr>
          <w:rFonts w:hAnsi="宋体" w:hint="eastAsia"/>
        </w:rPr>
        <w:t>A</w:t>
      </w:r>
      <w:r>
        <w:rPr>
          <w:rFonts w:hAnsi="宋体" w:hint="eastAsia"/>
        </w:rPr>
        <w:t>类基金份额时收取，申购费用由投资人承担，不列入基金财产，主要用于本基金的市场推广、销售、登记等各项费用。</w:t>
      </w:r>
    </w:p>
    <w:p w:rsidR="00ED2D72" w:rsidRDefault="00596D7C">
      <w:pPr>
        <w:widowControl/>
        <w:adjustRightInd w:val="0"/>
        <w:snapToGrid w:val="0"/>
        <w:spacing w:line="360" w:lineRule="auto"/>
        <w:rPr>
          <w:rFonts w:hAnsi="宋体"/>
        </w:rPr>
      </w:pPr>
      <w:r>
        <w:rPr>
          <w:rFonts w:hAnsi="宋体" w:hint="eastAsia"/>
        </w:rPr>
        <w:t>（</w:t>
      </w:r>
      <w:r>
        <w:rPr>
          <w:rFonts w:hAnsi="宋体" w:hint="eastAsia"/>
        </w:rPr>
        <w:t>2</w:t>
      </w:r>
      <w:r>
        <w:rPr>
          <w:rFonts w:hAnsi="宋体" w:hint="eastAsia"/>
        </w:rPr>
        <w:t>）投资人可以多次申购本基金，申购费用按每笔申购申请单独计算。</w:t>
      </w:r>
    </w:p>
    <w:p w:rsidR="00ED2D72" w:rsidRDefault="00596D7C">
      <w:pPr>
        <w:widowControl/>
        <w:adjustRightInd w:val="0"/>
        <w:snapToGrid w:val="0"/>
        <w:spacing w:line="360" w:lineRule="auto"/>
        <w:rPr>
          <w:rFonts w:hAnsi="宋体"/>
        </w:rPr>
      </w:pPr>
      <w:r>
        <w:rPr>
          <w:rFonts w:hAnsi="宋体" w:hint="eastAsia"/>
        </w:rPr>
        <w:t>（</w:t>
      </w:r>
      <w:r>
        <w:rPr>
          <w:rFonts w:hAnsi="宋体" w:hint="eastAsia"/>
        </w:rPr>
        <w:t>3</w:t>
      </w:r>
      <w:r>
        <w:rPr>
          <w:rFonts w:hAnsi="宋体" w:hint="eastAsia"/>
        </w:rPr>
        <w:t>）因红利再投资而产生的基金份额，不收取相应的申购费用。</w:t>
      </w:r>
    </w:p>
    <w:p w:rsidR="00ED2D72" w:rsidRDefault="00596D7C">
      <w:pPr>
        <w:widowControl/>
        <w:adjustRightInd w:val="0"/>
        <w:snapToGrid w:val="0"/>
        <w:spacing w:line="360" w:lineRule="auto"/>
        <w:rPr>
          <w:rFonts w:hAnsi="宋体"/>
        </w:rPr>
      </w:pPr>
      <w:r>
        <w:rPr>
          <w:rFonts w:hAnsi="宋体" w:hint="eastAsia"/>
        </w:rPr>
        <w:t>（</w:t>
      </w:r>
      <w:r>
        <w:rPr>
          <w:rFonts w:hAnsi="宋体" w:hint="eastAsia"/>
        </w:rPr>
        <w:t>4</w:t>
      </w:r>
      <w:r>
        <w:rPr>
          <w:rFonts w:hAnsi="宋体" w:hint="eastAsia"/>
        </w:rPr>
        <w:t>）基金管理人可以在基金合同约定的范围内调整费率或收费方式，并最迟应于新的费率或收费方式实施日前依照《信息披露办法》的有关规定在规定媒介上公告。</w:t>
      </w:r>
    </w:p>
    <w:p w:rsidR="00ED2D72" w:rsidRDefault="00596D7C">
      <w:pPr>
        <w:widowControl/>
        <w:adjustRightInd w:val="0"/>
        <w:snapToGrid w:val="0"/>
        <w:spacing w:line="360" w:lineRule="auto"/>
        <w:rPr>
          <w:rFonts w:hAnsi="宋体"/>
        </w:rPr>
      </w:pPr>
      <w:r>
        <w:rPr>
          <w:rFonts w:hAnsi="宋体" w:hint="eastAsia"/>
        </w:rPr>
        <w:t>（</w:t>
      </w:r>
      <w:r>
        <w:rPr>
          <w:rFonts w:hAnsi="宋体" w:hint="eastAsia"/>
        </w:rPr>
        <w:t>5</w:t>
      </w:r>
      <w:r>
        <w:rPr>
          <w:rFonts w:hAnsi="宋体" w:hint="eastAsia"/>
        </w:rPr>
        <w:t>）基金管理人可以在不违背法律法规规定及基金合同约定且对现有基金份额持有人利益无实质性不利影响的情况下根据市场情况制定基金促销计划，定期或不定期地开展基金促销活动。在基金促销活动期间，基金管理人可以按中国证监会要求履行必要手续后，对投资人适当调低基金申购费率。</w:t>
      </w:r>
    </w:p>
    <w:p w:rsidR="00ED2D72" w:rsidRDefault="00ED2D72">
      <w:pPr>
        <w:autoSpaceDE w:val="0"/>
        <w:autoSpaceDN w:val="0"/>
        <w:adjustRightInd w:val="0"/>
        <w:spacing w:before="29" w:line="360" w:lineRule="auto"/>
        <w:ind w:left="15"/>
        <w:jc w:val="left"/>
      </w:pPr>
    </w:p>
    <w:p w:rsidR="00ED2D72" w:rsidRDefault="00596D7C">
      <w:pPr>
        <w:autoSpaceDE w:val="0"/>
        <w:autoSpaceDN w:val="0"/>
        <w:adjustRightInd w:val="0"/>
        <w:spacing w:before="29" w:line="360" w:lineRule="auto"/>
        <w:ind w:left="15"/>
        <w:jc w:val="left"/>
        <w:rPr>
          <w:b/>
        </w:rPr>
      </w:pPr>
      <w:r>
        <w:rPr>
          <w:b/>
        </w:rPr>
        <w:t xml:space="preserve">4 </w:t>
      </w:r>
      <w:r>
        <w:rPr>
          <w:b/>
        </w:rPr>
        <w:t>日常赎回业务</w:t>
      </w:r>
      <w:r>
        <w:rPr>
          <w:b/>
        </w:rPr>
        <w:t xml:space="preserve"> </w:t>
      </w:r>
    </w:p>
    <w:p w:rsidR="00ED2D72" w:rsidRDefault="00596D7C">
      <w:pPr>
        <w:autoSpaceDE w:val="0"/>
        <w:autoSpaceDN w:val="0"/>
        <w:adjustRightInd w:val="0"/>
        <w:spacing w:before="29" w:line="360" w:lineRule="auto"/>
        <w:ind w:left="15"/>
        <w:jc w:val="left"/>
        <w:rPr>
          <w:b/>
        </w:rPr>
      </w:pPr>
      <w:r>
        <w:rPr>
          <w:b/>
        </w:rPr>
        <w:t xml:space="preserve">4.1 </w:t>
      </w:r>
      <w:r>
        <w:rPr>
          <w:b/>
        </w:rPr>
        <w:t>赎回份额限制</w:t>
      </w:r>
      <w:r>
        <w:rPr>
          <w:b/>
        </w:rPr>
        <w:t xml:space="preserve"> </w:t>
      </w:r>
    </w:p>
    <w:p w:rsidR="00ED2D72" w:rsidRDefault="00596D7C">
      <w:pPr>
        <w:autoSpaceDE w:val="0"/>
        <w:autoSpaceDN w:val="0"/>
        <w:adjustRightInd w:val="0"/>
        <w:spacing w:before="29" w:line="360" w:lineRule="auto"/>
        <w:ind w:left="17" w:firstLineChars="200" w:firstLine="420"/>
        <w:jc w:val="left"/>
      </w:pPr>
      <w:r>
        <w:t>基金份额持有人在销售机构赎回时，每次对本基金</w:t>
      </w:r>
      <w:r>
        <w:rPr>
          <w:rFonts w:hint="eastAsia"/>
        </w:rPr>
        <w:t>各类</w:t>
      </w:r>
      <w:r>
        <w:t>基金份额的赎回申请不得低于</w:t>
      </w:r>
      <w:r>
        <w:t>0</w:t>
      </w:r>
      <w:r>
        <w:rPr>
          <w:rFonts w:hint="eastAsia"/>
        </w:rPr>
        <w:t>.</w:t>
      </w:r>
      <w:r>
        <w:t>01</w:t>
      </w:r>
      <w:r>
        <w:t>份。本基金</w:t>
      </w:r>
      <w:r>
        <w:rPr>
          <w:rFonts w:hint="eastAsia"/>
        </w:rPr>
        <w:t>各类</w:t>
      </w:r>
      <w:r>
        <w:t>基金份额持有人每个基金交易账户的最低份额余额为</w:t>
      </w:r>
      <w:r>
        <w:rPr>
          <w:rFonts w:hint="eastAsia"/>
        </w:rPr>
        <w:t>0</w:t>
      </w:r>
      <w:r>
        <w:t>.01</w:t>
      </w:r>
      <w:r>
        <w:t>份。基金份额持有人因赎回</w:t>
      </w:r>
      <w:r>
        <w:rPr>
          <w:rFonts w:hint="eastAsia"/>
        </w:rPr>
        <w:t>、转换</w:t>
      </w:r>
      <w:r>
        <w:t>等原因导致其单个基金账户内剩余的基金份额低于</w:t>
      </w:r>
      <w:r>
        <w:rPr>
          <w:rFonts w:hint="eastAsia"/>
        </w:rPr>
        <w:t>0</w:t>
      </w:r>
      <w:r>
        <w:t>.01</w:t>
      </w:r>
      <w:r>
        <w:t>份时，登记机构可对该剩余的基金份额自动进行强制赎回处理。</w:t>
      </w:r>
    </w:p>
    <w:p w:rsidR="00ED2D72" w:rsidRDefault="00596D7C">
      <w:pPr>
        <w:autoSpaceDE w:val="0"/>
        <w:autoSpaceDN w:val="0"/>
        <w:adjustRightInd w:val="0"/>
        <w:spacing w:before="29" w:line="360" w:lineRule="auto"/>
        <w:ind w:left="15"/>
        <w:jc w:val="left"/>
        <w:rPr>
          <w:b/>
        </w:rPr>
      </w:pPr>
      <w:r>
        <w:rPr>
          <w:b/>
        </w:rPr>
        <w:t xml:space="preserve">4.2 </w:t>
      </w:r>
      <w:r>
        <w:rPr>
          <w:b/>
        </w:rPr>
        <w:t>赎回费率</w:t>
      </w:r>
      <w:r>
        <w:rPr>
          <w:b/>
        </w:rPr>
        <w:t xml:space="preserve"> </w:t>
      </w:r>
    </w:p>
    <w:p w:rsidR="00ED2D72" w:rsidRDefault="00596D7C">
      <w:pPr>
        <w:autoSpaceDE w:val="0"/>
        <w:autoSpaceDN w:val="0"/>
        <w:adjustRightInd w:val="0"/>
        <w:spacing w:before="29" w:line="360" w:lineRule="auto"/>
        <w:ind w:left="17" w:firstLineChars="200" w:firstLine="420"/>
        <w:jc w:val="left"/>
      </w:pPr>
      <w:r>
        <w:rPr>
          <w:rFonts w:hint="eastAsia"/>
        </w:rPr>
        <w:t>本基金不收取赎回费，但在每份基金份额的最短持有期到期日前（不含当日），基金份额持有人不能对该基金份额提出赎回申请；每份基金份额的最短持有期到期日起（含当日），基金份额持有人可对该基金份额提出赎回申请。</w:t>
      </w:r>
    </w:p>
    <w:p w:rsidR="00ED2D72" w:rsidRDefault="00596D7C">
      <w:pPr>
        <w:autoSpaceDE w:val="0"/>
        <w:autoSpaceDN w:val="0"/>
        <w:adjustRightInd w:val="0"/>
        <w:spacing w:before="29" w:line="360" w:lineRule="auto"/>
        <w:ind w:left="15"/>
        <w:jc w:val="left"/>
        <w:rPr>
          <w:b/>
        </w:rPr>
      </w:pPr>
      <w:r>
        <w:rPr>
          <w:b/>
        </w:rPr>
        <w:t xml:space="preserve">4.3 </w:t>
      </w:r>
      <w:r>
        <w:rPr>
          <w:b/>
        </w:rPr>
        <w:t>其他与赎回相关的事项</w:t>
      </w:r>
      <w:r>
        <w:rPr>
          <w:b/>
        </w:rPr>
        <w:t xml:space="preserve"> </w:t>
      </w:r>
    </w:p>
    <w:p w:rsidR="00ED2D72" w:rsidRDefault="00596D7C">
      <w:pPr>
        <w:autoSpaceDE w:val="0"/>
        <w:autoSpaceDN w:val="0"/>
        <w:adjustRightInd w:val="0"/>
        <w:spacing w:before="29" w:line="360" w:lineRule="auto"/>
        <w:ind w:left="17" w:firstLineChars="200" w:firstLine="420"/>
        <w:jc w:val="left"/>
      </w:pPr>
      <w:r>
        <w:rPr>
          <w:rFonts w:hint="eastAsia"/>
        </w:rPr>
        <w:t>（</w:t>
      </w:r>
      <w:r>
        <w:rPr>
          <w:rFonts w:hint="eastAsia"/>
        </w:rPr>
        <w:t>1</w:t>
      </w:r>
      <w:r>
        <w:rPr>
          <w:rFonts w:hint="eastAsia"/>
        </w:rPr>
        <w:t>）</w:t>
      </w:r>
      <w:r>
        <w:t>基金管理人可以在基金合同约定的范围内调整费率或收费方式，并最迟应于新的费率或收费方式实施日前依照《信息披露办法》的有关规定在规定媒介上公告。</w:t>
      </w:r>
    </w:p>
    <w:p w:rsidR="00ED2D72" w:rsidRDefault="00596D7C">
      <w:pPr>
        <w:autoSpaceDE w:val="0"/>
        <w:autoSpaceDN w:val="0"/>
        <w:adjustRightInd w:val="0"/>
        <w:spacing w:before="29" w:line="360" w:lineRule="auto"/>
        <w:ind w:left="17" w:firstLineChars="200" w:firstLine="420"/>
        <w:jc w:val="left"/>
      </w:pPr>
      <w:r>
        <w:rPr>
          <w:rFonts w:hint="eastAsia"/>
        </w:rPr>
        <w:t>（</w:t>
      </w:r>
      <w:r>
        <w:rPr>
          <w:rFonts w:hint="eastAsia"/>
        </w:rPr>
        <w:t>2</w:t>
      </w:r>
      <w:r>
        <w:rPr>
          <w:rFonts w:hint="eastAsia"/>
        </w:rPr>
        <w:t>）当本基金发生大额申购或赎回情形时，基金管理人可以采用摆动定价机制，以确保基金估值的公平性。具体处理原则与操作规范遵循相关法律法规以及监管部门、自律规则的规定。</w:t>
      </w:r>
    </w:p>
    <w:p w:rsidR="00ED2D72" w:rsidRDefault="00ED2D72">
      <w:pPr>
        <w:autoSpaceDE w:val="0"/>
        <w:autoSpaceDN w:val="0"/>
        <w:adjustRightInd w:val="0"/>
        <w:spacing w:before="29" w:line="360" w:lineRule="auto"/>
        <w:ind w:left="15"/>
        <w:jc w:val="left"/>
      </w:pPr>
    </w:p>
    <w:p w:rsidR="00ED2D72" w:rsidRDefault="00596D7C">
      <w:pPr>
        <w:autoSpaceDE w:val="0"/>
        <w:autoSpaceDN w:val="0"/>
        <w:adjustRightInd w:val="0"/>
        <w:spacing w:before="29" w:line="360" w:lineRule="auto"/>
        <w:ind w:left="15"/>
        <w:jc w:val="left"/>
        <w:rPr>
          <w:b/>
        </w:rPr>
      </w:pPr>
      <w:r>
        <w:rPr>
          <w:b/>
        </w:rPr>
        <w:t xml:space="preserve">5 </w:t>
      </w:r>
      <w:r>
        <w:rPr>
          <w:b/>
        </w:rPr>
        <w:t>定期定额投资业务</w:t>
      </w:r>
    </w:p>
    <w:p w:rsidR="00ED2D72" w:rsidRDefault="00596D7C">
      <w:pPr>
        <w:autoSpaceDE w:val="0"/>
        <w:autoSpaceDN w:val="0"/>
        <w:adjustRightInd w:val="0"/>
        <w:spacing w:before="29" w:line="360" w:lineRule="auto"/>
        <w:ind w:left="15"/>
      </w:pPr>
      <w:r>
        <w:t>（</w:t>
      </w:r>
      <w:r>
        <w:t>1</w:t>
      </w:r>
      <w:r>
        <w:t>）定期定额投资业务是指投资者通过基金管理人指定的销售机构提交申请，约定每期扣款时间、</w:t>
      </w:r>
      <w:r>
        <w:t xml:space="preserve"> </w:t>
      </w:r>
      <w:r>
        <w:t>扣款金额，由指定的销售机构于每期约定扣款日在投资者指定资金账户内自动完成扣款，并提交基</w:t>
      </w:r>
      <w:r>
        <w:t xml:space="preserve"> </w:t>
      </w:r>
      <w:r>
        <w:t>金申购申请的一种长期投资方式。</w:t>
      </w:r>
    </w:p>
    <w:p w:rsidR="00ED2D72" w:rsidRDefault="00596D7C">
      <w:pPr>
        <w:autoSpaceDE w:val="0"/>
        <w:autoSpaceDN w:val="0"/>
        <w:adjustRightInd w:val="0"/>
        <w:spacing w:before="29" w:line="360" w:lineRule="auto"/>
        <w:ind w:left="15"/>
      </w:pPr>
      <w:r>
        <w:t>（</w:t>
      </w:r>
      <w:r>
        <w:t>2</w:t>
      </w:r>
      <w:r>
        <w:t>）销售机构开始办理基金定期定额投资业务的时间、网点等信息，以销售机构的规定为准。投资者在本基金销售机构办理定期定额投资业务，具体办理规则及程序请遵循各销售机构的规定。</w:t>
      </w:r>
    </w:p>
    <w:p w:rsidR="00ED2D72" w:rsidRDefault="00596D7C">
      <w:pPr>
        <w:autoSpaceDE w:val="0"/>
        <w:autoSpaceDN w:val="0"/>
        <w:adjustRightInd w:val="0"/>
        <w:spacing w:before="29" w:line="360" w:lineRule="auto"/>
        <w:ind w:left="15"/>
      </w:pPr>
      <w:r>
        <w:t>（</w:t>
      </w:r>
      <w:r>
        <w:t>3</w:t>
      </w:r>
      <w:r>
        <w:t>）定额投资业务安排</w:t>
      </w:r>
      <w:r>
        <w:t xml:space="preserve"> </w:t>
      </w:r>
    </w:p>
    <w:p w:rsidR="00ED2D72" w:rsidRDefault="00596D7C">
      <w:pPr>
        <w:autoSpaceDE w:val="0"/>
        <w:autoSpaceDN w:val="0"/>
        <w:adjustRightInd w:val="0"/>
        <w:spacing w:before="29" w:line="360" w:lineRule="auto"/>
        <w:ind w:left="17" w:firstLineChars="200" w:firstLine="420"/>
      </w:pPr>
      <w:r>
        <w:t>1</w:t>
      </w:r>
      <w:r>
        <w:rPr>
          <w:rFonts w:hint="eastAsia"/>
        </w:rPr>
        <w:t>、</w:t>
      </w:r>
      <w:r>
        <w:t>定额投资业务受理时间与本基金日常申购业务受理时间相同。销售机构将按照投资者申请时所约定的每期约定扣款日、扣款金额进行扣款。由于销售机构关于具体扣款方式和扣款日期的规定有所不同，投资者应参照各销售机构的具体规定。若遇非基金开放日时，扣款是否顺延以销售机构的具体规定为准。</w:t>
      </w:r>
    </w:p>
    <w:p w:rsidR="00ED2D72" w:rsidRDefault="00596D7C">
      <w:pPr>
        <w:autoSpaceDE w:val="0"/>
        <w:autoSpaceDN w:val="0"/>
        <w:adjustRightInd w:val="0"/>
        <w:spacing w:before="29" w:line="360" w:lineRule="auto"/>
        <w:ind w:left="17" w:firstLineChars="200" w:firstLine="420"/>
      </w:pPr>
      <w:r>
        <w:t>2</w:t>
      </w:r>
      <w:r>
        <w:rPr>
          <w:rFonts w:hint="eastAsia"/>
        </w:rPr>
        <w:t>、</w:t>
      </w:r>
      <w:r>
        <w:t>投资者应与销售机构约定每期扣款金额，除另有公告外</w:t>
      </w:r>
      <w:r>
        <w:t>,</w:t>
      </w:r>
      <w:r>
        <w:t>该金额应不低于销售机构规定的最低申购金额。</w:t>
      </w:r>
      <w:r>
        <w:t xml:space="preserve"> </w:t>
      </w:r>
    </w:p>
    <w:p w:rsidR="00ED2D72" w:rsidRDefault="00596D7C">
      <w:pPr>
        <w:autoSpaceDE w:val="0"/>
        <w:autoSpaceDN w:val="0"/>
        <w:adjustRightInd w:val="0"/>
        <w:spacing w:before="29" w:line="360" w:lineRule="auto"/>
        <w:ind w:left="17" w:firstLineChars="200" w:firstLine="420"/>
      </w:pPr>
      <w:r>
        <w:t>3</w:t>
      </w:r>
      <w:r>
        <w:rPr>
          <w:rFonts w:hint="eastAsia"/>
        </w:rPr>
        <w:t>、</w:t>
      </w:r>
      <w:r>
        <w:t>除另有公告外，定期定额投资费率和计费方式与日常申购业务相同。基金定期定额投资起点金额与申购一致，销售机构开展本基金定额投资费率优惠活动的，以销售机构相关公告为准。</w:t>
      </w:r>
    </w:p>
    <w:p w:rsidR="00ED2D72" w:rsidRDefault="00596D7C">
      <w:pPr>
        <w:autoSpaceDE w:val="0"/>
        <w:autoSpaceDN w:val="0"/>
        <w:adjustRightInd w:val="0"/>
        <w:spacing w:before="29" w:line="360" w:lineRule="auto"/>
        <w:ind w:left="17" w:firstLineChars="200" w:firstLine="420"/>
      </w:pPr>
      <w:r>
        <w:t>4</w:t>
      </w:r>
      <w:r>
        <w:rPr>
          <w:rFonts w:hint="eastAsia"/>
        </w:rPr>
        <w:t>、</w:t>
      </w:r>
      <w:r>
        <w:t>本公司网上直销交易平台办理本基金的定期定额投资业务，并享受正常申购的费率优惠。具体的定期定额投资费率、业务规则与相关公告请登录本公司网站查询。</w:t>
      </w:r>
    </w:p>
    <w:p w:rsidR="00ED2D72" w:rsidRDefault="00596D7C">
      <w:pPr>
        <w:autoSpaceDE w:val="0"/>
        <w:autoSpaceDN w:val="0"/>
        <w:adjustRightInd w:val="0"/>
        <w:spacing w:before="29" w:line="360" w:lineRule="auto"/>
        <w:ind w:left="17" w:firstLineChars="200" w:firstLine="420"/>
        <w:rPr>
          <w:rFonts w:ascii="Times New Roman" w:hAnsi="Times New Roman" w:cs="Times New Roman"/>
          <w:b/>
          <w:bCs/>
          <w:color w:val="000000"/>
          <w:kern w:val="0"/>
        </w:rPr>
      </w:pPr>
      <w:r>
        <w:t>5</w:t>
      </w:r>
      <w:r>
        <w:rPr>
          <w:rFonts w:hint="eastAsia"/>
        </w:rPr>
        <w:t>、</w:t>
      </w:r>
      <w:r>
        <w:t>代销机构办理本基金定期定额投资业务及参加费率优惠活动的情况，详见该销售机构的相关公告或说明。</w:t>
      </w:r>
    </w:p>
    <w:p w:rsidR="00ED2D72" w:rsidRDefault="00ED2D72">
      <w:pPr>
        <w:autoSpaceDE w:val="0"/>
        <w:autoSpaceDN w:val="0"/>
        <w:adjustRightInd w:val="0"/>
        <w:spacing w:before="29" w:line="360" w:lineRule="auto"/>
        <w:ind w:left="15"/>
        <w:jc w:val="left"/>
        <w:rPr>
          <w:rFonts w:ascii="Times New Roman" w:hAnsi="Times New Roman" w:cs="Times New Roman"/>
          <w:b/>
          <w:bCs/>
          <w:color w:val="000000"/>
          <w:kern w:val="0"/>
        </w:rPr>
      </w:pPr>
    </w:p>
    <w:p w:rsidR="00ED2D72" w:rsidRDefault="00596D7C">
      <w:pPr>
        <w:autoSpaceDE w:val="0"/>
        <w:autoSpaceDN w:val="0"/>
        <w:adjustRightInd w:val="0"/>
        <w:spacing w:before="29" w:line="360" w:lineRule="auto"/>
        <w:ind w:left="15"/>
        <w:jc w:val="left"/>
        <w:rPr>
          <w:rFonts w:ascii="Times New Roman" w:hAnsi="Times New Roman" w:cs="Times New Roman"/>
          <w:b/>
          <w:bCs/>
          <w:color w:val="000000"/>
          <w:kern w:val="0"/>
        </w:rPr>
      </w:pPr>
      <w:r>
        <w:rPr>
          <w:rFonts w:ascii="Times New Roman" w:hAnsi="Times New Roman" w:cs="Times New Roman"/>
          <w:b/>
          <w:bCs/>
          <w:color w:val="000000"/>
          <w:kern w:val="0"/>
        </w:rPr>
        <w:t xml:space="preserve">6 </w:t>
      </w:r>
      <w:r>
        <w:rPr>
          <w:rFonts w:ascii="Times New Roman" w:hAnsi="Times New Roman" w:hint="eastAsia"/>
          <w:b/>
          <w:bCs/>
          <w:color w:val="000000"/>
          <w:kern w:val="0"/>
        </w:rPr>
        <w:t>基金销售机构</w:t>
      </w:r>
    </w:p>
    <w:p w:rsidR="00ED2D72" w:rsidRDefault="00596D7C">
      <w:pPr>
        <w:autoSpaceDE w:val="0"/>
        <w:autoSpaceDN w:val="0"/>
        <w:adjustRightInd w:val="0"/>
        <w:spacing w:before="29" w:line="360" w:lineRule="auto"/>
        <w:ind w:left="15"/>
        <w:jc w:val="left"/>
        <w:rPr>
          <w:rFonts w:ascii="Times New Roman" w:hAnsi="Times New Roman" w:cs="Times New Roman"/>
          <w:b/>
          <w:bCs/>
          <w:color w:val="000000"/>
          <w:kern w:val="0"/>
        </w:rPr>
      </w:pPr>
      <w:r>
        <w:rPr>
          <w:rFonts w:ascii="Times New Roman" w:hAnsi="Times New Roman" w:cs="Times New Roman"/>
          <w:b/>
          <w:bCs/>
          <w:color w:val="000000"/>
          <w:kern w:val="0"/>
        </w:rPr>
        <w:t xml:space="preserve">6.1 </w:t>
      </w:r>
      <w:r>
        <w:rPr>
          <w:rFonts w:ascii="Times New Roman" w:hAnsi="Times New Roman" w:hint="eastAsia"/>
          <w:b/>
          <w:bCs/>
          <w:color w:val="000000"/>
          <w:kern w:val="0"/>
        </w:rPr>
        <w:t>场外销售机构</w:t>
      </w:r>
    </w:p>
    <w:p w:rsidR="00ED2D72" w:rsidRDefault="00596D7C">
      <w:pPr>
        <w:autoSpaceDE w:val="0"/>
        <w:autoSpaceDN w:val="0"/>
        <w:adjustRightInd w:val="0"/>
        <w:spacing w:before="29" w:line="360" w:lineRule="auto"/>
        <w:ind w:left="15"/>
        <w:jc w:val="left"/>
        <w:rPr>
          <w:rFonts w:ascii="Times New Roman" w:hAnsi="Times New Roman" w:cs="Times New Roman"/>
          <w:b/>
          <w:bCs/>
          <w:color w:val="000000"/>
          <w:kern w:val="0"/>
        </w:rPr>
      </w:pPr>
      <w:r>
        <w:rPr>
          <w:rFonts w:ascii="Times New Roman" w:hAnsi="Times New Roman" w:cs="Times New Roman" w:hint="eastAsia"/>
          <w:b/>
          <w:bCs/>
          <w:color w:val="000000"/>
          <w:kern w:val="0"/>
        </w:rPr>
        <w:t>6</w:t>
      </w:r>
      <w:r>
        <w:rPr>
          <w:rFonts w:ascii="Times New Roman" w:hAnsi="Times New Roman" w:cs="Times New Roman"/>
          <w:b/>
          <w:bCs/>
          <w:color w:val="000000"/>
          <w:kern w:val="0"/>
        </w:rPr>
        <w:t xml:space="preserve">.1.1 </w:t>
      </w:r>
      <w:r>
        <w:rPr>
          <w:rFonts w:ascii="Times New Roman" w:hAnsi="Times New Roman" w:hint="eastAsia"/>
          <w:b/>
          <w:bCs/>
          <w:color w:val="000000"/>
          <w:kern w:val="0"/>
        </w:rPr>
        <w:t>直销机构</w:t>
      </w:r>
    </w:p>
    <w:p w:rsidR="00ED2D72" w:rsidRDefault="00596D7C">
      <w:pPr>
        <w:autoSpaceDE w:val="0"/>
        <w:autoSpaceDN w:val="0"/>
        <w:adjustRightInd w:val="0"/>
        <w:spacing w:line="360" w:lineRule="auto"/>
        <w:jc w:val="left"/>
        <w:rPr>
          <w:rFonts w:ascii="Times New Roman" w:hAnsi="Times New Roman" w:cs="Times New Roman"/>
          <w:b/>
          <w:bCs/>
          <w:color w:val="000000"/>
          <w:kern w:val="0"/>
        </w:rPr>
      </w:pPr>
      <w:r>
        <w:rPr>
          <w:rFonts w:hAnsi="宋体"/>
          <w:kern w:val="0"/>
        </w:rPr>
        <w:t xml:space="preserve">   </w:t>
      </w:r>
      <w:r>
        <w:rPr>
          <w:rFonts w:hAnsi="宋体" w:hint="eastAsia"/>
          <w:kern w:val="0"/>
        </w:rPr>
        <w:t>本基金直销机构为基金管理人直销柜台、基金管理人网上直销交易平台。</w:t>
      </w:r>
    </w:p>
    <w:p w:rsidR="00ED2D72" w:rsidRDefault="00596D7C">
      <w:pPr>
        <w:autoSpaceDE w:val="0"/>
        <w:autoSpaceDN w:val="0"/>
        <w:adjustRightInd w:val="0"/>
        <w:spacing w:before="29" w:line="360" w:lineRule="auto"/>
        <w:ind w:left="15"/>
        <w:jc w:val="left"/>
        <w:rPr>
          <w:rFonts w:ascii="Times New Roman" w:hAnsi="Times New Roman" w:cs="Times New Roman"/>
          <w:b/>
          <w:bCs/>
          <w:color w:val="000000"/>
          <w:kern w:val="0"/>
        </w:rPr>
      </w:pPr>
      <w:r>
        <w:rPr>
          <w:rFonts w:ascii="Times New Roman" w:hAnsi="Times New Roman" w:cs="Times New Roman" w:hint="eastAsia"/>
          <w:b/>
          <w:bCs/>
          <w:color w:val="000000"/>
          <w:kern w:val="0"/>
        </w:rPr>
        <w:t>6</w:t>
      </w:r>
      <w:r>
        <w:rPr>
          <w:rFonts w:ascii="Times New Roman" w:hAnsi="Times New Roman" w:cs="Times New Roman"/>
          <w:b/>
          <w:bCs/>
          <w:color w:val="000000"/>
          <w:kern w:val="0"/>
        </w:rPr>
        <w:t xml:space="preserve">.1.2 </w:t>
      </w:r>
      <w:r>
        <w:rPr>
          <w:rFonts w:ascii="Times New Roman" w:hAnsi="Times New Roman" w:cs="Times New Roman" w:hint="eastAsia"/>
          <w:b/>
          <w:bCs/>
          <w:color w:val="000000"/>
          <w:kern w:val="0"/>
        </w:rPr>
        <w:t>非直销机构</w:t>
      </w:r>
    </w:p>
    <w:p w:rsidR="00ED2D72" w:rsidRDefault="00596D7C">
      <w:pPr>
        <w:autoSpaceDE w:val="0"/>
        <w:autoSpaceDN w:val="0"/>
        <w:adjustRightInd w:val="0"/>
        <w:spacing w:before="29" w:line="360" w:lineRule="auto"/>
        <w:ind w:left="15"/>
        <w:jc w:val="left"/>
        <w:rPr>
          <w:rFonts w:ascii="Times New Roman" w:hAnsi="Times New Roman"/>
          <w:b/>
          <w:bCs/>
          <w:color w:val="000000"/>
          <w:kern w:val="0"/>
        </w:rPr>
      </w:pPr>
      <w:r>
        <w:rPr>
          <w:rFonts w:ascii="Times New Roman" w:hAnsi="Times New Roman" w:cs="Times New Roman"/>
          <w:b/>
          <w:bCs/>
          <w:color w:val="000000"/>
          <w:kern w:val="0"/>
        </w:rPr>
        <w:t xml:space="preserve">6.1.2.1 </w:t>
      </w:r>
      <w:r>
        <w:rPr>
          <w:b/>
        </w:rPr>
        <w:t>办理本基金</w:t>
      </w:r>
      <w:r>
        <w:rPr>
          <w:rFonts w:hint="eastAsia"/>
          <w:b/>
        </w:rPr>
        <w:t>日常申购、赎回业务</w:t>
      </w:r>
      <w:r>
        <w:rPr>
          <w:b/>
        </w:rPr>
        <w:t>的</w:t>
      </w:r>
      <w:r>
        <w:rPr>
          <w:rFonts w:ascii="Times New Roman" w:hAnsi="Times New Roman" w:hint="eastAsia"/>
          <w:b/>
          <w:bCs/>
          <w:color w:val="000000"/>
          <w:kern w:val="0"/>
        </w:rPr>
        <w:t>场外非直销机构</w:t>
      </w:r>
    </w:p>
    <w:tbl>
      <w:tblPr>
        <w:tblW w:w="4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55"/>
        <w:gridCol w:w="3981"/>
      </w:tblGrid>
      <w:tr w:rsidR="00ED2D72">
        <w:trPr>
          <w:trHeight w:val="290"/>
          <w:jc w:val="center"/>
        </w:trPr>
        <w:tc>
          <w:tcPr>
            <w:tcW w:w="855" w:type="dxa"/>
            <w:tcMar>
              <w:top w:w="0" w:type="dxa"/>
              <w:left w:w="108" w:type="dxa"/>
              <w:bottom w:w="0" w:type="dxa"/>
              <w:right w:w="108" w:type="dxa"/>
            </w:tcMar>
            <w:vAlign w:val="center"/>
          </w:tcPr>
          <w:p w:rsidR="00ED2D72" w:rsidRDefault="00596D7C">
            <w:pPr>
              <w:spacing w:line="360" w:lineRule="auto"/>
              <w:jc w:val="center"/>
              <w:rPr>
                <w:rFonts w:ascii="宋体"/>
                <w:color w:val="000000"/>
              </w:rPr>
            </w:pPr>
            <w:r>
              <w:rPr>
                <w:rFonts w:ascii="宋体" w:hAnsi="宋体" w:hint="eastAsia"/>
                <w:color w:val="000000"/>
              </w:rPr>
              <w:t>序号</w:t>
            </w:r>
          </w:p>
        </w:tc>
        <w:tc>
          <w:tcPr>
            <w:tcW w:w="3981" w:type="dxa"/>
            <w:tcMar>
              <w:top w:w="0" w:type="dxa"/>
              <w:left w:w="108" w:type="dxa"/>
              <w:bottom w:w="0" w:type="dxa"/>
              <w:right w:w="108" w:type="dxa"/>
            </w:tcMar>
            <w:vAlign w:val="center"/>
          </w:tcPr>
          <w:p w:rsidR="00ED2D72" w:rsidRDefault="00596D7C">
            <w:pPr>
              <w:spacing w:line="360" w:lineRule="auto"/>
              <w:jc w:val="center"/>
              <w:rPr>
                <w:rFonts w:ascii="宋体"/>
              </w:rPr>
            </w:pPr>
            <w:r>
              <w:rPr>
                <w:rFonts w:ascii="宋体" w:hAnsi="宋体" w:hint="eastAsia"/>
              </w:rPr>
              <w:t>代销机构</w:t>
            </w:r>
          </w:p>
        </w:tc>
      </w:tr>
      <w:tr w:rsidR="00ED2D72">
        <w:trPr>
          <w:trHeight w:val="480"/>
          <w:jc w:val="center"/>
        </w:trPr>
        <w:tc>
          <w:tcPr>
            <w:tcW w:w="855" w:type="dxa"/>
            <w:tcMar>
              <w:top w:w="0" w:type="dxa"/>
              <w:left w:w="108" w:type="dxa"/>
              <w:bottom w:w="0" w:type="dxa"/>
              <w:right w:w="108" w:type="dxa"/>
            </w:tcMar>
            <w:vAlign w:val="center"/>
          </w:tcPr>
          <w:p w:rsidR="00ED2D72" w:rsidRDefault="00596D7C">
            <w:pPr>
              <w:spacing w:line="360" w:lineRule="auto"/>
              <w:jc w:val="center"/>
              <w:rPr>
                <w:rFonts w:ascii="宋体" w:hAnsi="宋体"/>
                <w:color w:val="000000"/>
              </w:rPr>
            </w:pPr>
            <w:r>
              <w:rPr>
                <w:rFonts w:ascii="宋体" w:hAnsi="宋体"/>
                <w:color w:val="000000"/>
              </w:rPr>
              <w:t>1</w:t>
            </w:r>
          </w:p>
        </w:tc>
        <w:tc>
          <w:tcPr>
            <w:tcW w:w="3981" w:type="dxa"/>
            <w:tcMar>
              <w:top w:w="0" w:type="dxa"/>
              <w:left w:w="108" w:type="dxa"/>
              <w:bottom w:w="0" w:type="dxa"/>
              <w:right w:w="108" w:type="dxa"/>
            </w:tcMar>
            <w:vAlign w:val="center"/>
          </w:tcPr>
          <w:p w:rsidR="00ED2D72" w:rsidRDefault="00596D7C">
            <w:pPr>
              <w:spacing w:line="360" w:lineRule="auto"/>
              <w:jc w:val="center"/>
              <w:rPr>
                <w:rFonts w:ascii="宋体" w:hAnsi="宋体"/>
              </w:rPr>
            </w:pPr>
            <w:r>
              <w:rPr>
                <w:rFonts w:ascii="宋体" w:hAnsi="宋体" w:hint="eastAsia"/>
              </w:rPr>
              <w:t>中国农业银行股份有限公司</w:t>
            </w:r>
          </w:p>
        </w:tc>
      </w:tr>
      <w:tr w:rsidR="00ED2D72">
        <w:trPr>
          <w:trHeight w:val="480"/>
          <w:jc w:val="center"/>
        </w:trPr>
        <w:tc>
          <w:tcPr>
            <w:tcW w:w="855" w:type="dxa"/>
            <w:tcMar>
              <w:top w:w="0" w:type="dxa"/>
              <w:left w:w="108" w:type="dxa"/>
              <w:bottom w:w="0" w:type="dxa"/>
              <w:right w:w="108" w:type="dxa"/>
            </w:tcMar>
            <w:vAlign w:val="center"/>
          </w:tcPr>
          <w:p w:rsidR="00ED2D72" w:rsidRDefault="00596D7C">
            <w:pPr>
              <w:spacing w:line="360" w:lineRule="auto"/>
              <w:jc w:val="center"/>
              <w:rPr>
                <w:rFonts w:ascii="宋体" w:hAnsi="宋体"/>
                <w:color w:val="000000"/>
              </w:rPr>
            </w:pPr>
            <w:r>
              <w:rPr>
                <w:rFonts w:ascii="宋体" w:hAnsi="宋体"/>
                <w:color w:val="000000"/>
              </w:rPr>
              <w:t>2</w:t>
            </w:r>
          </w:p>
        </w:tc>
        <w:tc>
          <w:tcPr>
            <w:tcW w:w="3981" w:type="dxa"/>
            <w:tcMar>
              <w:top w:w="0" w:type="dxa"/>
              <w:left w:w="108" w:type="dxa"/>
              <w:bottom w:w="0" w:type="dxa"/>
              <w:right w:w="108" w:type="dxa"/>
            </w:tcMar>
            <w:vAlign w:val="center"/>
          </w:tcPr>
          <w:p w:rsidR="00ED2D72" w:rsidRDefault="00596D7C">
            <w:pPr>
              <w:spacing w:line="360" w:lineRule="auto"/>
              <w:jc w:val="center"/>
              <w:rPr>
                <w:rFonts w:ascii="宋体"/>
              </w:rPr>
            </w:pPr>
            <w:r>
              <w:rPr>
                <w:rFonts w:ascii="宋体" w:hAnsi="宋体" w:hint="eastAsia"/>
              </w:rPr>
              <w:t>财通证券股份有限公司</w:t>
            </w:r>
          </w:p>
        </w:tc>
      </w:tr>
      <w:tr w:rsidR="00ED2D72">
        <w:trPr>
          <w:trHeight w:val="480"/>
          <w:jc w:val="center"/>
        </w:trPr>
        <w:tc>
          <w:tcPr>
            <w:tcW w:w="855" w:type="dxa"/>
            <w:tcMar>
              <w:top w:w="0" w:type="dxa"/>
              <w:left w:w="108" w:type="dxa"/>
              <w:bottom w:w="0" w:type="dxa"/>
              <w:right w:w="108" w:type="dxa"/>
            </w:tcMar>
            <w:vAlign w:val="center"/>
          </w:tcPr>
          <w:p w:rsidR="00ED2D72" w:rsidRDefault="00596D7C">
            <w:pPr>
              <w:spacing w:line="360" w:lineRule="auto"/>
              <w:jc w:val="center"/>
              <w:rPr>
                <w:rFonts w:ascii="宋体" w:hAnsi="宋体"/>
                <w:color w:val="000000"/>
              </w:rPr>
            </w:pPr>
            <w:r>
              <w:rPr>
                <w:rFonts w:ascii="宋体" w:hAnsi="宋体" w:hint="eastAsia"/>
                <w:color w:val="000000"/>
              </w:rPr>
              <w:t>3</w:t>
            </w:r>
          </w:p>
        </w:tc>
        <w:tc>
          <w:tcPr>
            <w:tcW w:w="3981" w:type="dxa"/>
            <w:tcMar>
              <w:top w:w="0" w:type="dxa"/>
              <w:left w:w="108" w:type="dxa"/>
              <w:bottom w:w="0" w:type="dxa"/>
              <w:right w:w="108" w:type="dxa"/>
            </w:tcMar>
            <w:vAlign w:val="center"/>
          </w:tcPr>
          <w:p w:rsidR="00ED2D72" w:rsidRDefault="00596D7C">
            <w:pPr>
              <w:widowControl/>
              <w:jc w:val="center"/>
              <w:rPr>
                <w:rFonts w:ascii="宋体" w:hAnsi="宋体"/>
                <w:color w:val="000000"/>
                <w:kern w:val="0"/>
                <w:sz w:val="18"/>
                <w:szCs w:val="18"/>
              </w:rPr>
            </w:pPr>
            <w:r>
              <w:rPr>
                <w:rFonts w:hint="eastAsia"/>
                <w:color w:val="000000"/>
                <w:sz w:val="18"/>
                <w:szCs w:val="18"/>
              </w:rPr>
              <w:t>财咨道信息技术有限公司</w:t>
            </w:r>
          </w:p>
        </w:tc>
      </w:tr>
      <w:tr w:rsidR="00ED2D72">
        <w:trPr>
          <w:trHeight w:val="480"/>
          <w:jc w:val="center"/>
        </w:trPr>
        <w:tc>
          <w:tcPr>
            <w:tcW w:w="855" w:type="dxa"/>
            <w:tcMar>
              <w:top w:w="0" w:type="dxa"/>
              <w:left w:w="108" w:type="dxa"/>
              <w:bottom w:w="0" w:type="dxa"/>
              <w:right w:w="108" w:type="dxa"/>
            </w:tcMar>
            <w:vAlign w:val="center"/>
          </w:tcPr>
          <w:p w:rsidR="00ED2D72" w:rsidRDefault="00596D7C">
            <w:pPr>
              <w:spacing w:line="360" w:lineRule="auto"/>
              <w:jc w:val="center"/>
              <w:rPr>
                <w:rFonts w:ascii="宋体" w:hAnsi="宋体"/>
                <w:color w:val="000000"/>
              </w:rPr>
            </w:pPr>
            <w:r>
              <w:rPr>
                <w:rFonts w:ascii="宋体" w:hAnsi="宋体" w:hint="eastAsia"/>
                <w:color w:val="000000"/>
              </w:rPr>
              <w:t>4</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江苏汇林保大基金销售有限公司</w:t>
            </w:r>
          </w:p>
        </w:tc>
      </w:tr>
      <w:tr w:rsidR="00ED2D72">
        <w:trPr>
          <w:trHeight w:val="480"/>
          <w:jc w:val="center"/>
        </w:trPr>
        <w:tc>
          <w:tcPr>
            <w:tcW w:w="855" w:type="dxa"/>
            <w:tcMar>
              <w:top w:w="0" w:type="dxa"/>
              <w:left w:w="108" w:type="dxa"/>
              <w:bottom w:w="0" w:type="dxa"/>
              <w:right w:w="108" w:type="dxa"/>
            </w:tcMar>
            <w:vAlign w:val="center"/>
          </w:tcPr>
          <w:p w:rsidR="00ED2D72" w:rsidRDefault="00596D7C">
            <w:pPr>
              <w:spacing w:line="360" w:lineRule="auto"/>
              <w:jc w:val="center"/>
              <w:rPr>
                <w:rFonts w:ascii="宋体" w:hAnsi="宋体"/>
                <w:color w:val="000000"/>
              </w:rPr>
            </w:pPr>
            <w:r>
              <w:rPr>
                <w:rFonts w:ascii="宋体" w:hAnsi="宋体" w:hint="eastAsia"/>
                <w:color w:val="000000"/>
              </w:rPr>
              <w:t>5</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众惠基金销售有限公司</w:t>
            </w:r>
          </w:p>
        </w:tc>
      </w:tr>
      <w:tr w:rsidR="00ED2D72">
        <w:trPr>
          <w:trHeight w:val="480"/>
          <w:jc w:val="center"/>
        </w:trPr>
        <w:tc>
          <w:tcPr>
            <w:tcW w:w="855" w:type="dxa"/>
            <w:tcMar>
              <w:top w:w="0" w:type="dxa"/>
              <w:left w:w="108" w:type="dxa"/>
              <w:bottom w:w="0" w:type="dxa"/>
              <w:right w:w="108" w:type="dxa"/>
            </w:tcMar>
          </w:tcPr>
          <w:p w:rsidR="00ED2D72" w:rsidRDefault="00596D7C">
            <w:pPr>
              <w:spacing w:line="360" w:lineRule="auto"/>
              <w:jc w:val="center"/>
              <w:rPr>
                <w:rFonts w:ascii="宋体" w:hAnsi="宋体"/>
                <w:color w:val="000000"/>
              </w:rPr>
            </w:pPr>
            <w:r>
              <w:t>6</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贵州省贵文文化基金销售有限公司</w:t>
            </w:r>
          </w:p>
        </w:tc>
      </w:tr>
      <w:tr w:rsidR="00ED2D72">
        <w:trPr>
          <w:trHeight w:val="480"/>
          <w:jc w:val="center"/>
        </w:trPr>
        <w:tc>
          <w:tcPr>
            <w:tcW w:w="855" w:type="dxa"/>
            <w:tcMar>
              <w:top w:w="0" w:type="dxa"/>
              <w:left w:w="108" w:type="dxa"/>
              <w:bottom w:w="0" w:type="dxa"/>
              <w:right w:w="108" w:type="dxa"/>
            </w:tcMar>
          </w:tcPr>
          <w:p w:rsidR="00ED2D72" w:rsidRDefault="00596D7C">
            <w:pPr>
              <w:spacing w:line="360" w:lineRule="auto"/>
              <w:jc w:val="center"/>
              <w:rPr>
                <w:rFonts w:ascii="宋体" w:hAnsi="宋体"/>
                <w:color w:val="000000"/>
              </w:rPr>
            </w:pPr>
            <w:r>
              <w:t>7</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腾安基金销售（深圳）有限公司</w:t>
            </w:r>
          </w:p>
        </w:tc>
      </w:tr>
      <w:tr w:rsidR="00ED2D72">
        <w:trPr>
          <w:trHeight w:val="480"/>
          <w:jc w:val="center"/>
        </w:trPr>
        <w:tc>
          <w:tcPr>
            <w:tcW w:w="855" w:type="dxa"/>
            <w:tcMar>
              <w:top w:w="0" w:type="dxa"/>
              <w:left w:w="108" w:type="dxa"/>
              <w:bottom w:w="0" w:type="dxa"/>
              <w:right w:w="108" w:type="dxa"/>
            </w:tcMar>
          </w:tcPr>
          <w:p w:rsidR="00ED2D72" w:rsidRDefault="00596D7C">
            <w:pPr>
              <w:spacing w:line="360" w:lineRule="auto"/>
              <w:jc w:val="center"/>
            </w:pPr>
            <w:r>
              <w:rPr>
                <w:rFonts w:hint="eastAsia"/>
              </w:rPr>
              <w:t>8</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博时财富基金销售有限公司</w:t>
            </w:r>
          </w:p>
        </w:tc>
      </w:tr>
      <w:tr w:rsidR="00ED2D72">
        <w:trPr>
          <w:trHeight w:val="480"/>
          <w:jc w:val="center"/>
        </w:trPr>
        <w:tc>
          <w:tcPr>
            <w:tcW w:w="855" w:type="dxa"/>
            <w:tcMar>
              <w:top w:w="0" w:type="dxa"/>
              <w:left w:w="108" w:type="dxa"/>
              <w:bottom w:w="0" w:type="dxa"/>
              <w:right w:w="108" w:type="dxa"/>
            </w:tcMar>
          </w:tcPr>
          <w:p w:rsidR="00ED2D72" w:rsidRDefault="00596D7C">
            <w:pPr>
              <w:spacing w:line="360" w:lineRule="auto"/>
              <w:jc w:val="center"/>
            </w:pPr>
            <w:r>
              <w:rPr>
                <w:rFonts w:hint="eastAsia"/>
              </w:rPr>
              <w:t>9</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易方达财富管理基金销售（广州）有限公司</w:t>
            </w:r>
          </w:p>
        </w:tc>
      </w:tr>
      <w:tr w:rsidR="00ED2D72">
        <w:trPr>
          <w:trHeight w:val="480"/>
          <w:jc w:val="center"/>
        </w:trPr>
        <w:tc>
          <w:tcPr>
            <w:tcW w:w="855" w:type="dxa"/>
            <w:tcMar>
              <w:top w:w="0" w:type="dxa"/>
              <w:left w:w="108" w:type="dxa"/>
              <w:bottom w:w="0" w:type="dxa"/>
              <w:right w:w="108" w:type="dxa"/>
            </w:tcMar>
          </w:tcPr>
          <w:p w:rsidR="00ED2D72" w:rsidRDefault="00596D7C">
            <w:pPr>
              <w:spacing w:line="360" w:lineRule="auto"/>
              <w:jc w:val="center"/>
            </w:pPr>
            <w:r>
              <w:rPr>
                <w:rFonts w:hint="eastAsia"/>
              </w:rPr>
              <w:t>10</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诺亚正行基金销售有限公司</w:t>
            </w:r>
          </w:p>
        </w:tc>
      </w:tr>
      <w:tr w:rsidR="00ED2D72">
        <w:trPr>
          <w:trHeight w:val="480"/>
          <w:jc w:val="center"/>
        </w:trPr>
        <w:tc>
          <w:tcPr>
            <w:tcW w:w="855" w:type="dxa"/>
            <w:tcMar>
              <w:top w:w="0" w:type="dxa"/>
              <w:left w:w="108" w:type="dxa"/>
              <w:bottom w:w="0" w:type="dxa"/>
              <w:right w:w="108" w:type="dxa"/>
            </w:tcMar>
          </w:tcPr>
          <w:p w:rsidR="00ED2D72" w:rsidRDefault="00596D7C">
            <w:pPr>
              <w:spacing w:line="360" w:lineRule="auto"/>
              <w:jc w:val="center"/>
            </w:pPr>
            <w:r>
              <w:rPr>
                <w:rFonts w:hint="eastAsia"/>
              </w:rPr>
              <w:t>11</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深圳众禄基金销售股份有限公司</w:t>
            </w:r>
          </w:p>
        </w:tc>
      </w:tr>
      <w:tr w:rsidR="00ED2D72">
        <w:trPr>
          <w:trHeight w:val="480"/>
          <w:jc w:val="center"/>
        </w:trPr>
        <w:tc>
          <w:tcPr>
            <w:tcW w:w="855" w:type="dxa"/>
            <w:tcMar>
              <w:top w:w="0" w:type="dxa"/>
              <w:left w:w="108" w:type="dxa"/>
              <w:bottom w:w="0" w:type="dxa"/>
              <w:right w:w="108" w:type="dxa"/>
            </w:tcMar>
          </w:tcPr>
          <w:p w:rsidR="00ED2D72" w:rsidRDefault="00596D7C">
            <w:pPr>
              <w:spacing w:line="360" w:lineRule="auto"/>
              <w:jc w:val="center"/>
            </w:pPr>
            <w:r>
              <w:rPr>
                <w:rFonts w:hint="eastAsia"/>
              </w:rPr>
              <w:t>12</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上海天天基金销售有限公司</w:t>
            </w:r>
          </w:p>
        </w:tc>
      </w:tr>
      <w:tr w:rsidR="00ED2D72">
        <w:trPr>
          <w:trHeight w:val="480"/>
          <w:jc w:val="center"/>
        </w:trPr>
        <w:tc>
          <w:tcPr>
            <w:tcW w:w="855" w:type="dxa"/>
            <w:tcMar>
              <w:top w:w="0" w:type="dxa"/>
              <w:left w:w="108" w:type="dxa"/>
              <w:bottom w:w="0" w:type="dxa"/>
              <w:right w:w="108" w:type="dxa"/>
            </w:tcMar>
          </w:tcPr>
          <w:p w:rsidR="00ED2D72" w:rsidRDefault="00596D7C">
            <w:pPr>
              <w:spacing w:line="360" w:lineRule="auto"/>
              <w:jc w:val="center"/>
            </w:pPr>
            <w:r>
              <w:rPr>
                <w:rFonts w:hint="eastAsia"/>
              </w:rPr>
              <w:t>13</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上海好买基金销售有限公司</w:t>
            </w:r>
          </w:p>
        </w:tc>
      </w:tr>
      <w:tr w:rsidR="00ED2D72">
        <w:trPr>
          <w:trHeight w:val="480"/>
          <w:jc w:val="center"/>
        </w:trPr>
        <w:tc>
          <w:tcPr>
            <w:tcW w:w="855" w:type="dxa"/>
            <w:tcMar>
              <w:top w:w="0" w:type="dxa"/>
              <w:left w:w="108" w:type="dxa"/>
              <w:bottom w:w="0" w:type="dxa"/>
              <w:right w:w="108" w:type="dxa"/>
            </w:tcMar>
          </w:tcPr>
          <w:p w:rsidR="00ED2D72" w:rsidRDefault="00596D7C">
            <w:pPr>
              <w:spacing w:line="360" w:lineRule="auto"/>
              <w:jc w:val="center"/>
            </w:pPr>
            <w:r>
              <w:rPr>
                <w:rFonts w:hint="eastAsia"/>
              </w:rPr>
              <w:t>14</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蚂蚁（杭州）基金销售有限公司</w:t>
            </w:r>
          </w:p>
        </w:tc>
      </w:tr>
      <w:tr w:rsidR="00ED2D72">
        <w:trPr>
          <w:trHeight w:val="480"/>
          <w:jc w:val="center"/>
        </w:trPr>
        <w:tc>
          <w:tcPr>
            <w:tcW w:w="855" w:type="dxa"/>
            <w:tcMar>
              <w:top w:w="0" w:type="dxa"/>
              <w:left w:w="108" w:type="dxa"/>
              <w:bottom w:w="0" w:type="dxa"/>
              <w:right w:w="108" w:type="dxa"/>
            </w:tcMar>
          </w:tcPr>
          <w:p w:rsidR="00ED2D72" w:rsidRDefault="00596D7C">
            <w:pPr>
              <w:spacing w:line="360" w:lineRule="auto"/>
              <w:jc w:val="center"/>
            </w:pPr>
            <w:r>
              <w:rPr>
                <w:rFonts w:hint="eastAsia"/>
              </w:rPr>
              <w:t>15</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上海长量基金销售有限公司</w:t>
            </w:r>
          </w:p>
        </w:tc>
      </w:tr>
      <w:tr w:rsidR="00ED2D72">
        <w:trPr>
          <w:trHeight w:val="480"/>
          <w:jc w:val="center"/>
        </w:trPr>
        <w:tc>
          <w:tcPr>
            <w:tcW w:w="855" w:type="dxa"/>
            <w:tcMar>
              <w:top w:w="0" w:type="dxa"/>
              <w:left w:w="108" w:type="dxa"/>
              <w:bottom w:w="0" w:type="dxa"/>
              <w:right w:w="108" w:type="dxa"/>
            </w:tcMar>
          </w:tcPr>
          <w:p w:rsidR="00ED2D72" w:rsidRDefault="00596D7C">
            <w:pPr>
              <w:spacing w:line="360" w:lineRule="auto"/>
              <w:jc w:val="center"/>
            </w:pPr>
            <w:r>
              <w:rPr>
                <w:rFonts w:hint="eastAsia"/>
              </w:rPr>
              <w:t>16</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浙江同花顺基金销售有限公司</w:t>
            </w:r>
          </w:p>
        </w:tc>
      </w:tr>
      <w:tr w:rsidR="00ED2D72">
        <w:trPr>
          <w:trHeight w:val="480"/>
          <w:jc w:val="center"/>
        </w:trPr>
        <w:tc>
          <w:tcPr>
            <w:tcW w:w="855" w:type="dxa"/>
            <w:tcMar>
              <w:top w:w="0" w:type="dxa"/>
              <w:left w:w="108" w:type="dxa"/>
              <w:bottom w:w="0" w:type="dxa"/>
              <w:right w:w="108" w:type="dxa"/>
            </w:tcMar>
          </w:tcPr>
          <w:p w:rsidR="00ED2D72" w:rsidRDefault="00596D7C">
            <w:pPr>
              <w:spacing w:line="360" w:lineRule="auto"/>
              <w:jc w:val="center"/>
            </w:pPr>
            <w:r>
              <w:rPr>
                <w:rFonts w:hint="eastAsia"/>
              </w:rPr>
              <w:t>17</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嘉实财富管理有限公司</w:t>
            </w:r>
          </w:p>
        </w:tc>
      </w:tr>
      <w:tr w:rsidR="00ED2D72">
        <w:trPr>
          <w:trHeight w:val="480"/>
          <w:jc w:val="center"/>
        </w:trPr>
        <w:tc>
          <w:tcPr>
            <w:tcW w:w="855" w:type="dxa"/>
            <w:tcMar>
              <w:top w:w="0" w:type="dxa"/>
              <w:left w:w="108" w:type="dxa"/>
              <w:bottom w:w="0" w:type="dxa"/>
              <w:right w:w="108" w:type="dxa"/>
            </w:tcMar>
          </w:tcPr>
          <w:p w:rsidR="00ED2D72" w:rsidRDefault="00596D7C">
            <w:pPr>
              <w:spacing w:line="360" w:lineRule="auto"/>
              <w:jc w:val="center"/>
            </w:pPr>
            <w:r>
              <w:rPr>
                <w:rFonts w:hint="eastAsia"/>
              </w:rPr>
              <w:t>18</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泛华普益基金销售有限公司</w:t>
            </w:r>
          </w:p>
        </w:tc>
      </w:tr>
      <w:tr w:rsidR="00ED2D72">
        <w:trPr>
          <w:trHeight w:val="480"/>
          <w:jc w:val="center"/>
        </w:trPr>
        <w:tc>
          <w:tcPr>
            <w:tcW w:w="855" w:type="dxa"/>
            <w:tcMar>
              <w:top w:w="0" w:type="dxa"/>
              <w:left w:w="108" w:type="dxa"/>
              <w:bottom w:w="0" w:type="dxa"/>
              <w:right w:w="108" w:type="dxa"/>
            </w:tcMar>
          </w:tcPr>
          <w:p w:rsidR="00ED2D72" w:rsidRDefault="00596D7C">
            <w:pPr>
              <w:spacing w:line="360" w:lineRule="auto"/>
              <w:jc w:val="center"/>
            </w:pPr>
            <w:r>
              <w:rPr>
                <w:rFonts w:hint="eastAsia"/>
              </w:rPr>
              <w:t>19</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宜信普泽（北京）基金销售有限公司</w:t>
            </w:r>
          </w:p>
        </w:tc>
      </w:tr>
      <w:tr w:rsidR="00ED2D72">
        <w:trPr>
          <w:trHeight w:val="480"/>
          <w:jc w:val="center"/>
        </w:trPr>
        <w:tc>
          <w:tcPr>
            <w:tcW w:w="855" w:type="dxa"/>
            <w:tcMar>
              <w:top w:w="0" w:type="dxa"/>
              <w:left w:w="108" w:type="dxa"/>
              <w:bottom w:w="0" w:type="dxa"/>
              <w:right w:w="108" w:type="dxa"/>
            </w:tcMar>
          </w:tcPr>
          <w:p w:rsidR="00ED2D72" w:rsidRDefault="00596D7C">
            <w:pPr>
              <w:spacing w:line="360" w:lineRule="auto"/>
              <w:jc w:val="center"/>
            </w:pPr>
            <w:r>
              <w:rPr>
                <w:rFonts w:hint="eastAsia"/>
              </w:rPr>
              <w:t>20</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上海大智慧基金销售有限公司</w:t>
            </w:r>
          </w:p>
        </w:tc>
      </w:tr>
      <w:tr w:rsidR="00ED2D72">
        <w:trPr>
          <w:trHeight w:val="480"/>
          <w:jc w:val="center"/>
        </w:trPr>
        <w:tc>
          <w:tcPr>
            <w:tcW w:w="855" w:type="dxa"/>
            <w:tcMar>
              <w:top w:w="0" w:type="dxa"/>
              <w:left w:w="108" w:type="dxa"/>
              <w:bottom w:w="0" w:type="dxa"/>
              <w:right w:w="108" w:type="dxa"/>
            </w:tcMar>
          </w:tcPr>
          <w:p w:rsidR="00ED2D72" w:rsidRDefault="00596D7C">
            <w:pPr>
              <w:spacing w:line="360" w:lineRule="auto"/>
              <w:jc w:val="center"/>
            </w:pPr>
            <w:r>
              <w:rPr>
                <w:rFonts w:hint="eastAsia"/>
              </w:rPr>
              <w:t>21</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上海利得基金销售有限公司</w:t>
            </w:r>
          </w:p>
        </w:tc>
      </w:tr>
      <w:tr w:rsidR="00ED2D72">
        <w:trPr>
          <w:trHeight w:val="480"/>
          <w:jc w:val="center"/>
        </w:trPr>
        <w:tc>
          <w:tcPr>
            <w:tcW w:w="855" w:type="dxa"/>
            <w:tcMar>
              <w:top w:w="0" w:type="dxa"/>
              <w:left w:w="108" w:type="dxa"/>
              <w:bottom w:w="0" w:type="dxa"/>
              <w:right w:w="108" w:type="dxa"/>
            </w:tcMar>
          </w:tcPr>
          <w:p w:rsidR="00ED2D72" w:rsidRDefault="00596D7C">
            <w:pPr>
              <w:spacing w:line="360" w:lineRule="auto"/>
              <w:jc w:val="center"/>
            </w:pPr>
            <w:r>
              <w:rPr>
                <w:rFonts w:hint="eastAsia"/>
              </w:rPr>
              <w:t>22</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上海万得基金销售有限公司</w:t>
            </w:r>
          </w:p>
        </w:tc>
      </w:tr>
      <w:tr w:rsidR="00ED2D72">
        <w:trPr>
          <w:trHeight w:val="480"/>
          <w:jc w:val="center"/>
        </w:trPr>
        <w:tc>
          <w:tcPr>
            <w:tcW w:w="855" w:type="dxa"/>
            <w:tcMar>
              <w:top w:w="0" w:type="dxa"/>
              <w:left w:w="108" w:type="dxa"/>
              <w:bottom w:w="0" w:type="dxa"/>
              <w:right w:w="108" w:type="dxa"/>
            </w:tcMar>
          </w:tcPr>
          <w:p w:rsidR="00ED2D72" w:rsidRDefault="00596D7C">
            <w:pPr>
              <w:spacing w:line="360" w:lineRule="auto"/>
              <w:jc w:val="center"/>
            </w:pPr>
            <w:r>
              <w:rPr>
                <w:rFonts w:hint="eastAsia"/>
              </w:rPr>
              <w:t>23</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上海联泰基金销售有限公司</w:t>
            </w:r>
          </w:p>
        </w:tc>
      </w:tr>
      <w:tr w:rsidR="00ED2D72">
        <w:trPr>
          <w:trHeight w:val="480"/>
          <w:jc w:val="center"/>
        </w:trPr>
        <w:tc>
          <w:tcPr>
            <w:tcW w:w="855" w:type="dxa"/>
            <w:tcMar>
              <w:top w:w="0" w:type="dxa"/>
              <w:left w:w="108" w:type="dxa"/>
              <w:bottom w:w="0" w:type="dxa"/>
              <w:right w:w="108" w:type="dxa"/>
            </w:tcMar>
          </w:tcPr>
          <w:p w:rsidR="00ED2D72" w:rsidRDefault="00596D7C">
            <w:pPr>
              <w:spacing w:line="360" w:lineRule="auto"/>
              <w:jc w:val="center"/>
            </w:pPr>
            <w:r>
              <w:rPr>
                <w:rFonts w:hint="eastAsia"/>
              </w:rPr>
              <w:t>24</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上海中正达广基金销售有限公司</w:t>
            </w:r>
          </w:p>
        </w:tc>
      </w:tr>
      <w:tr w:rsidR="00ED2D72">
        <w:trPr>
          <w:trHeight w:val="480"/>
          <w:jc w:val="center"/>
        </w:trPr>
        <w:tc>
          <w:tcPr>
            <w:tcW w:w="855" w:type="dxa"/>
            <w:tcMar>
              <w:top w:w="0" w:type="dxa"/>
              <w:left w:w="108" w:type="dxa"/>
              <w:bottom w:w="0" w:type="dxa"/>
              <w:right w:w="108" w:type="dxa"/>
            </w:tcMar>
          </w:tcPr>
          <w:p w:rsidR="00ED2D72" w:rsidRDefault="00596D7C">
            <w:pPr>
              <w:spacing w:line="360" w:lineRule="auto"/>
              <w:jc w:val="center"/>
            </w:pPr>
            <w:r>
              <w:rPr>
                <w:rFonts w:hint="eastAsia"/>
              </w:rPr>
              <w:t>25</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上海陆金所基金销售有限公司</w:t>
            </w:r>
          </w:p>
        </w:tc>
      </w:tr>
      <w:tr w:rsidR="00ED2D72">
        <w:trPr>
          <w:trHeight w:val="480"/>
          <w:jc w:val="center"/>
        </w:trPr>
        <w:tc>
          <w:tcPr>
            <w:tcW w:w="855" w:type="dxa"/>
            <w:tcMar>
              <w:top w:w="0" w:type="dxa"/>
              <w:left w:w="108" w:type="dxa"/>
              <w:bottom w:w="0" w:type="dxa"/>
              <w:right w:w="108" w:type="dxa"/>
            </w:tcMar>
          </w:tcPr>
          <w:p w:rsidR="00ED2D72" w:rsidRDefault="00596D7C">
            <w:pPr>
              <w:spacing w:line="360" w:lineRule="auto"/>
              <w:jc w:val="center"/>
            </w:pPr>
            <w:r>
              <w:rPr>
                <w:rFonts w:hint="eastAsia"/>
              </w:rPr>
              <w:t>26</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珠海盈米基金销售有限公司</w:t>
            </w:r>
          </w:p>
        </w:tc>
      </w:tr>
      <w:tr w:rsidR="00ED2D72">
        <w:trPr>
          <w:trHeight w:val="480"/>
          <w:jc w:val="center"/>
        </w:trPr>
        <w:tc>
          <w:tcPr>
            <w:tcW w:w="855" w:type="dxa"/>
            <w:tcMar>
              <w:top w:w="0" w:type="dxa"/>
              <w:left w:w="108" w:type="dxa"/>
              <w:bottom w:w="0" w:type="dxa"/>
              <w:right w:w="108" w:type="dxa"/>
            </w:tcMar>
          </w:tcPr>
          <w:p w:rsidR="00ED2D72" w:rsidRDefault="00596D7C">
            <w:pPr>
              <w:spacing w:line="360" w:lineRule="auto"/>
              <w:jc w:val="center"/>
            </w:pPr>
            <w:r>
              <w:rPr>
                <w:rFonts w:hint="eastAsia"/>
              </w:rPr>
              <w:t>27</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上海爱建基金销售有限公司</w:t>
            </w:r>
          </w:p>
        </w:tc>
      </w:tr>
      <w:tr w:rsidR="00ED2D72">
        <w:trPr>
          <w:trHeight w:val="480"/>
          <w:jc w:val="center"/>
        </w:trPr>
        <w:tc>
          <w:tcPr>
            <w:tcW w:w="855" w:type="dxa"/>
            <w:tcMar>
              <w:top w:w="0" w:type="dxa"/>
              <w:left w:w="108" w:type="dxa"/>
              <w:bottom w:w="0" w:type="dxa"/>
              <w:right w:w="108" w:type="dxa"/>
            </w:tcMar>
          </w:tcPr>
          <w:p w:rsidR="00ED2D72" w:rsidRDefault="00596D7C">
            <w:pPr>
              <w:spacing w:line="360" w:lineRule="auto"/>
              <w:jc w:val="center"/>
            </w:pPr>
            <w:r>
              <w:rPr>
                <w:rFonts w:hint="eastAsia"/>
              </w:rPr>
              <w:t>28</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京东肯特瑞基金销售有限公司</w:t>
            </w:r>
          </w:p>
        </w:tc>
      </w:tr>
      <w:tr w:rsidR="00ED2D72">
        <w:trPr>
          <w:trHeight w:val="480"/>
          <w:jc w:val="center"/>
        </w:trPr>
        <w:tc>
          <w:tcPr>
            <w:tcW w:w="855" w:type="dxa"/>
            <w:tcMar>
              <w:top w:w="0" w:type="dxa"/>
              <w:left w:w="108" w:type="dxa"/>
              <w:bottom w:w="0" w:type="dxa"/>
              <w:right w:w="108" w:type="dxa"/>
            </w:tcMar>
          </w:tcPr>
          <w:p w:rsidR="00ED2D72" w:rsidRDefault="00596D7C">
            <w:pPr>
              <w:spacing w:line="360" w:lineRule="auto"/>
              <w:jc w:val="center"/>
            </w:pPr>
            <w:r>
              <w:rPr>
                <w:rFonts w:hint="eastAsia"/>
              </w:rPr>
              <w:t>29</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大连网金基金销售有限公司</w:t>
            </w:r>
          </w:p>
        </w:tc>
      </w:tr>
      <w:tr w:rsidR="00ED2D72">
        <w:trPr>
          <w:trHeight w:val="480"/>
          <w:jc w:val="center"/>
        </w:trPr>
        <w:tc>
          <w:tcPr>
            <w:tcW w:w="855" w:type="dxa"/>
            <w:tcMar>
              <w:top w:w="0" w:type="dxa"/>
              <w:left w:w="108" w:type="dxa"/>
              <w:bottom w:w="0" w:type="dxa"/>
              <w:right w:w="108" w:type="dxa"/>
            </w:tcMar>
          </w:tcPr>
          <w:p w:rsidR="00ED2D72" w:rsidRDefault="00596D7C">
            <w:pPr>
              <w:spacing w:line="360" w:lineRule="auto"/>
              <w:jc w:val="center"/>
            </w:pPr>
            <w:r>
              <w:rPr>
                <w:rFonts w:hint="eastAsia"/>
              </w:rPr>
              <w:t>30</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上海证达通基金销售有限公司</w:t>
            </w:r>
          </w:p>
        </w:tc>
      </w:tr>
      <w:tr w:rsidR="00ED2D72">
        <w:trPr>
          <w:trHeight w:val="480"/>
          <w:jc w:val="center"/>
        </w:trPr>
        <w:tc>
          <w:tcPr>
            <w:tcW w:w="855" w:type="dxa"/>
            <w:tcMar>
              <w:top w:w="0" w:type="dxa"/>
              <w:left w:w="108" w:type="dxa"/>
              <w:bottom w:w="0" w:type="dxa"/>
              <w:right w:w="108" w:type="dxa"/>
            </w:tcMar>
          </w:tcPr>
          <w:p w:rsidR="00ED2D72" w:rsidRDefault="00596D7C">
            <w:pPr>
              <w:spacing w:line="360" w:lineRule="auto"/>
              <w:jc w:val="center"/>
            </w:pPr>
            <w:r>
              <w:rPr>
                <w:rFonts w:hint="eastAsia"/>
              </w:rPr>
              <w:t>31</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北京雪球基金销售有限公司</w:t>
            </w:r>
          </w:p>
        </w:tc>
      </w:tr>
      <w:tr w:rsidR="00ED2D72">
        <w:trPr>
          <w:trHeight w:val="480"/>
          <w:jc w:val="center"/>
        </w:trPr>
        <w:tc>
          <w:tcPr>
            <w:tcW w:w="855" w:type="dxa"/>
            <w:tcMar>
              <w:top w:w="0" w:type="dxa"/>
              <w:left w:w="108" w:type="dxa"/>
              <w:bottom w:w="0" w:type="dxa"/>
              <w:right w:w="108" w:type="dxa"/>
            </w:tcMar>
          </w:tcPr>
          <w:p w:rsidR="00ED2D72" w:rsidRDefault="00596D7C">
            <w:pPr>
              <w:spacing w:line="360" w:lineRule="auto"/>
              <w:jc w:val="center"/>
            </w:pPr>
            <w:r>
              <w:rPr>
                <w:rFonts w:hint="eastAsia"/>
              </w:rPr>
              <w:t>32</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万家财富基金销售（天津）有限公司</w:t>
            </w:r>
          </w:p>
        </w:tc>
      </w:tr>
      <w:tr w:rsidR="00ED2D72">
        <w:trPr>
          <w:trHeight w:val="480"/>
          <w:jc w:val="center"/>
        </w:trPr>
        <w:tc>
          <w:tcPr>
            <w:tcW w:w="855" w:type="dxa"/>
            <w:tcMar>
              <w:top w:w="0" w:type="dxa"/>
              <w:left w:w="108" w:type="dxa"/>
              <w:bottom w:w="0" w:type="dxa"/>
              <w:right w:w="108" w:type="dxa"/>
            </w:tcMar>
          </w:tcPr>
          <w:p w:rsidR="00ED2D72" w:rsidRDefault="00596D7C">
            <w:pPr>
              <w:spacing w:line="360" w:lineRule="auto"/>
              <w:jc w:val="center"/>
            </w:pPr>
            <w:r>
              <w:rPr>
                <w:rFonts w:hint="eastAsia"/>
              </w:rPr>
              <w:t>33</w:t>
            </w:r>
          </w:p>
        </w:tc>
        <w:tc>
          <w:tcPr>
            <w:tcW w:w="3981" w:type="dxa"/>
            <w:tcMar>
              <w:top w:w="0" w:type="dxa"/>
              <w:left w:w="108" w:type="dxa"/>
              <w:bottom w:w="0" w:type="dxa"/>
              <w:right w:w="108" w:type="dxa"/>
            </w:tcMar>
            <w:vAlign w:val="center"/>
          </w:tcPr>
          <w:p w:rsidR="00ED2D72" w:rsidRDefault="00596D7C">
            <w:pPr>
              <w:widowControl/>
              <w:jc w:val="center"/>
              <w:rPr>
                <w:rFonts w:ascii="宋体" w:hAnsi="宋体"/>
                <w:color w:val="000000"/>
                <w:kern w:val="0"/>
                <w:sz w:val="18"/>
                <w:szCs w:val="18"/>
              </w:rPr>
            </w:pPr>
            <w:r>
              <w:rPr>
                <w:rFonts w:hint="eastAsia"/>
                <w:color w:val="000000"/>
                <w:sz w:val="18"/>
                <w:szCs w:val="18"/>
              </w:rPr>
              <w:t>玄元保险代理有限公司</w:t>
            </w:r>
          </w:p>
        </w:tc>
      </w:tr>
      <w:tr w:rsidR="00ED2D72">
        <w:trPr>
          <w:trHeight w:val="480"/>
          <w:jc w:val="center"/>
        </w:trPr>
        <w:tc>
          <w:tcPr>
            <w:tcW w:w="855" w:type="dxa"/>
            <w:tcMar>
              <w:top w:w="0" w:type="dxa"/>
              <w:left w:w="108" w:type="dxa"/>
              <w:bottom w:w="0" w:type="dxa"/>
              <w:right w:w="108" w:type="dxa"/>
            </w:tcMar>
          </w:tcPr>
          <w:p w:rsidR="00ED2D72" w:rsidRDefault="00596D7C">
            <w:pPr>
              <w:spacing w:line="360" w:lineRule="auto"/>
              <w:jc w:val="center"/>
            </w:pPr>
            <w:r>
              <w:rPr>
                <w:rFonts w:hint="eastAsia"/>
              </w:rPr>
              <w:t>34</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阳光人寿保险股份有限公司</w:t>
            </w:r>
          </w:p>
        </w:tc>
      </w:tr>
      <w:tr w:rsidR="00ED2D72">
        <w:trPr>
          <w:trHeight w:val="480"/>
          <w:jc w:val="center"/>
        </w:trPr>
        <w:tc>
          <w:tcPr>
            <w:tcW w:w="855" w:type="dxa"/>
            <w:tcMar>
              <w:top w:w="0" w:type="dxa"/>
              <w:left w:w="108" w:type="dxa"/>
              <w:bottom w:w="0" w:type="dxa"/>
              <w:right w:w="108" w:type="dxa"/>
            </w:tcMar>
          </w:tcPr>
          <w:p w:rsidR="00ED2D72" w:rsidRDefault="00596D7C">
            <w:pPr>
              <w:spacing w:line="360" w:lineRule="auto"/>
              <w:jc w:val="center"/>
            </w:pPr>
            <w:r>
              <w:rPr>
                <w:rFonts w:hint="eastAsia"/>
              </w:rPr>
              <w:t>35</w:t>
            </w:r>
          </w:p>
        </w:tc>
        <w:tc>
          <w:tcPr>
            <w:tcW w:w="3981" w:type="dxa"/>
            <w:tcMar>
              <w:top w:w="0" w:type="dxa"/>
              <w:left w:w="108" w:type="dxa"/>
              <w:bottom w:w="0" w:type="dxa"/>
              <w:right w:w="108" w:type="dxa"/>
            </w:tcMar>
            <w:vAlign w:val="center"/>
          </w:tcPr>
          <w:p w:rsidR="00ED2D72" w:rsidRDefault="00596D7C">
            <w:pPr>
              <w:jc w:val="center"/>
              <w:rPr>
                <w:color w:val="000000"/>
                <w:sz w:val="18"/>
                <w:szCs w:val="18"/>
              </w:rPr>
            </w:pPr>
            <w:r>
              <w:rPr>
                <w:rFonts w:hint="eastAsia"/>
                <w:color w:val="000000"/>
                <w:sz w:val="18"/>
                <w:szCs w:val="18"/>
              </w:rPr>
              <w:t>北京创金启富基金销售有限公司</w:t>
            </w:r>
          </w:p>
        </w:tc>
      </w:tr>
    </w:tbl>
    <w:p w:rsidR="00ED2D72" w:rsidRDefault="00ED2D72">
      <w:pPr>
        <w:autoSpaceDE w:val="0"/>
        <w:autoSpaceDN w:val="0"/>
        <w:adjustRightInd w:val="0"/>
        <w:spacing w:before="29" w:line="360" w:lineRule="auto"/>
        <w:ind w:left="15"/>
        <w:jc w:val="left"/>
      </w:pPr>
    </w:p>
    <w:p w:rsidR="00ED2D72" w:rsidRDefault="00596D7C">
      <w:pPr>
        <w:autoSpaceDE w:val="0"/>
        <w:autoSpaceDN w:val="0"/>
        <w:adjustRightInd w:val="0"/>
        <w:spacing w:before="29" w:line="360" w:lineRule="auto"/>
        <w:ind w:left="15"/>
        <w:jc w:val="left"/>
        <w:rPr>
          <w:rFonts w:ascii="Times New Roman" w:hAnsi="Times New Roman" w:cs="Times New Roman"/>
          <w:b/>
          <w:bCs/>
          <w:color w:val="000000"/>
          <w:kern w:val="0"/>
        </w:rPr>
      </w:pPr>
      <w:r>
        <w:rPr>
          <w:rFonts w:hint="eastAsia"/>
          <w:b/>
        </w:rPr>
        <w:t>6</w:t>
      </w:r>
      <w:r>
        <w:rPr>
          <w:b/>
        </w:rPr>
        <w:t xml:space="preserve">.1.2.2 </w:t>
      </w:r>
      <w:r>
        <w:rPr>
          <w:rFonts w:hint="eastAsia"/>
          <w:b/>
        </w:rPr>
        <w:t>办理本基金定期定额投资业务的非直销机构</w:t>
      </w:r>
    </w:p>
    <w:p w:rsidR="00ED2D72" w:rsidRDefault="00ED2D72">
      <w:pPr>
        <w:autoSpaceDE w:val="0"/>
        <w:autoSpaceDN w:val="0"/>
        <w:adjustRightInd w:val="0"/>
        <w:spacing w:before="29" w:line="360" w:lineRule="auto"/>
        <w:ind w:left="15"/>
        <w:jc w:val="left"/>
        <w:rPr>
          <w:rFonts w:ascii="Times New Roman" w:hAnsi="Times New Roman" w:cs="Times New Roman"/>
          <w:b/>
          <w:bCs/>
          <w:color w:val="000000"/>
          <w:kern w:val="0"/>
        </w:rPr>
      </w:pPr>
    </w:p>
    <w:tbl>
      <w:tblPr>
        <w:tblW w:w="4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55"/>
        <w:gridCol w:w="3981"/>
      </w:tblGrid>
      <w:tr w:rsidR="00596D7C">
        <w:trPr>
          <w:trHeight w:val="480"/>
          <w:jc w:val="center"/>
        </w:trPr>
        <w:tc>
          <w:tcPr>
            <w:tcW w:w="855" w:type="dxa"/>
            <w:vAlign w:val="center"/>
          </w:tcPr>
          <w:p w:rsidR="00596D7C" w:rsidRDefault="00596D7C">
            <w:pPr>
              <w:spacing w:line="360" w:lineRule="auto"/>
              <w:jc w:val="center"/>
              <w:rPr>
                <w:rFonts w:ascii="等线" w:eastAsia="等线" w:hAnsi="等线"/>
                <w:color w:val="000000"/>
                <w:sz w:val="22"/>
                <w:szCs w:val="22"/>
              </w:rPr>
            </w:pPr>
            <w:r>
              <w:rPr>
                <w:rFonts w:ascii="等线" w:eastAsia="等线" w:hAnsi="等线" w:hint="eastAsia"/>
                <w:color w:val="000000"/>
                <w:sz w:val="22"/>
                <w:szCs w:val="22"/>
              </w:rPr>
              <w:t>序号</w:t>
            </w:r>
          </w:p>
        </w:tc>
        <w:tc>
          <w:tcPr>
            <w:tcW w:w="3981" w:type="dxa"/>
            <w:vAlign w:val="center"/>
          </w:tcPr>
          <w:p w:rsidR="00596D7C" w:rsidRDefault="00596D7C">
            <w:pPr>
              <w:widowControl/>
              <w:jc w:val="center"/>
              <w:rPr>
                <w:color w:val="000000"/>
                <w:sz w:val="18"/>
                <w:szCs w:val="18"/>
              </w:rPr>
            </w:pPr>
            <w:r>
              <w:rPr>
                <w:rFonts w:hint="eastAsia"/>
                <w:color w:val="000000"/>
                <w:sz w:val="18"/>
                <w:szCs w:val="18"/>
              </w:rPr>
              <w:t>代销机构</w:t>
            </w:r>
            <w:bookmarkStart w:id="0" w:name="_GoBack"/>
            <w:bookmarkEnd w:id="0"/>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1</w:t>
            </w:r>
          </w:p>
        </w:tc>
        <w:tc>
          <w:tcPr>
            <w:tcW w:w="3981" w:type="dxa"/>
            <w:vAlign w:val="center"/>
          </w:tcPr>
          <w:p w:rsidR="00ED2D72" w:rsidRDefault="00596D7C">
            <w:pPr>
              <w:widowControl/>
              <w:jc w:val="center"/>
              <w:rPr>
                <w:rFonts w:ascii="宋体" w:hAnsi="宋体"/>
                <w:color w:val="000000"/>
                <w:kern w:val="0"/>
                <w:sz w:val="18"/>
                <w:szCs w:val="18"/>
              </w:rPr>
            </w:pPr>
            <w:r>
              <w:rPr>
                <w:rFonts w:hint="eastAsia"/>
                <w:color w:val="000000"/>
                <w:sz w:val="18"/>
                <w:szCs w:val="18"/>
              </w:rPr>
              <w:t>财咨道信息技术有限公司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2</w:t>
            </w:r>
          </w:p>
        </w:tc>
        <w:tc>
          <w:tcPr>
            <w:tcW w:w="3981" w:type="dxa"/>
            <w:vAlign w:val="center"/>
          </w:tcPr>
          <w:p w:rsidR="00ED2D72" w:rsidRDefault="00596D7C">
            <w:pPr>
              <w:jc w:val="center"/>
              <w:rPr>
                <w:color w:val="000000"/>
                <w:sz w:val="18"/>
                <w:szCs w:val="18"/>
              </w:rPr>
            </w:pPr>
            <w:r>
              <w:rPr>
                <w:rFonts w:hint="eastAsia"/>
                <w:color w:val="000000"/>
                <w:sz w:val="18"/>
                <w:szCs w:val="18"/>
              </w:rPr>
              <w:t>江苏汇林保大基金销售有限公司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3</w:t>
            </w:r>
          </w:p>
        </w:tc>
        <w:tc>
          <w:tcPr>
            <w:tcW w:w="3981" w:type="dxa"/>
            <w:vAlign w:val="center"/>
          </w:tcPr>
          <w:p w:rsidR="00ED2D72" w:rsidRDefault="00596D7C">
            <w:pPr>
              <w:jc w:val="center"/>
              <w:rPr>
                <w:color w:val="000000"/>
                <w:sz w:val="18"/>
                <w:szCs w:val="18"/>
              </w:rPr>
            </w:pPr>
            <w:r>
              <w:rPr>
                <w:rFonts w:hint="eastAsia"/>
                <w:color w:val="000000"/>
                <w:sz w:val="18"/>
                <w:szCs w:val="18"/>
              </w:rPr>
              <w:t>众惠基金销售有限公司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4</w:t>
            </w:r>
          </w:p>
        </w:tc>
        <w:tc>
          <w:tcPr>
            <w:tcW w:w="3981" w:type="dxa"/>
            <w:vAlign w:val="center"/>
          </w:tcPr>
          <w:p w:rsidR="00ED2D72" w:rsidRDefault="00596D7C">
            <w:pPr>
              <w:jc w:val="center"/>
              <w:rPr>
                <w:color w:val="000000"/>
                <w:sz w:val="18"/>
                <w:szCs w:val="18"/>
              </w:rPr>
            </w:pPr>
            <w:r>
              <w:rPr>
                <w:rFonts w:hint="eastAsia"/>
                <w:color w:val="000000"/>
                <w:sz w:val="18"/>
                <w:szCs w:val="18"/>
              </w:rPr>
              <w:t>贵州省贵文文化基金销售有限公司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5</w:t>
            </w:r>
          </w:p>
        </w:tc>
        <w:tc>
          <w:tcPr>
            <w:tcW w:w="3981" w:type="dxa"/>
            <w:vAlign w:val="center"/>
          </w:tcPr>
          <w:p w:rsidR="00ED2D72" w:rsidRDefault="00596D7C">
            <w:pPr>
              <w:jc w:val="center"/>
              <w:rPr>
                <w:color w:val="000000"/>
                <w:sz w:val="18"/>
                <w:szCs w:val="18"/>
              </w:rPr>
            </w:pPr>
            <w:r>
              <w:rPr>
                <w:rFonts w:hint="eastAsia"/>
                <w:color w:val="000000"/>
                <w:sz w:val="18"/>
                <w:szCs w:val="18"/>
              </w:rPr>
              <w:t>腾安基金销售（深圳）有限公司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6</w:t>
            </w:r>
          </w:p>
        </w:tc>
        <w:tc>
          <w:tcPr>
            <w:tcW w:w="3981" w:type="dxa"/>
            <w:vAlign w:val="center"/>
          </w:tcPr>
          <w:p w:rsidR="00ED2D72" w:rsidRDefault="00596D7C">
            <w:pPr>
              <w:jc w:val="center"/>
              <w:rPr>
                <w:color w:val="000000"/>
                <w:sz w:val="18"/>
                <w:szCs w:val="18"/>
              </w:rPr>
            </w:pPr>
            <w:r>
              <w:rPr>
                <w:rFonts w:hint="eastAsia"/>
                <w:color w:val="000000"/>
                <w:sz w:val="18"/>
                <w:szCs w:val="18"/>
              </w:rPr>
              <w:t>博时财富基金销售有限公司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7</w:t>
            </w:r>
          </w:p>
        </w:tc>
        <w:tc>
          <w:tcPr>
            <w:tcW w:w="3981" w:type="dxa"/>
            <w:vAlign w:val="center"/>
          </w:tcPr>
          <w:p w:rsidR="00ED2D72" w:rsidRDefault="00596D7C">
            <w:pPr>
              <w:jc w:val="center"/>
              <w:rPr>
                <w:color w:val="000000"/>
                <w:sz w:val="18"/>
                <w:szCs w:val="18"/>
              </w:rPr>
            </w:pPr>
            <w:r>
              <w:rPr>
                <w:rFonts w:hint="eastAsia"/>
                <w:color w:val="000000"/>
                <w:sz w:val="18"/>
                <w:szCs w:val="18"/>
              </w:rPr>
              <w:t>易方达财富管理基金销售（广州）有限公司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8</w:t>
            </w:r>
          </w:p>
        </w:tc>
        <w:tc>
          <w:tcPr>
            <w:tcW w:w="3981" w:type="dxa"/>
            <w:vAlign w:val="center"/>
          </w:tcPr>
          <w:p w:rsidR="00ED2D72" w:rsidRDefault="00596D7C">
            <w:pPr>
              <w:jc w:val="center"/>
              <w:rPr>
                <w:color w:val="000000"/>
                <w:sz w:val="18"/>
                <w:szCs w:val="18"/>
              </w:rPr>
            </w:pPr>
            <w:r>
              <w:rPr>
                <w:rFonts w:hint="eastAsia"/>
                <w:color w:val="000000"/>
                <w:sz w:val="18"/>
                <w:szCs w:val="18"/>
              </w:rPr>
              <w:t>诺亚正行基金销售有限公司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9</w:t>
            </w:r>
          </w:p>
        </w:tc>
        <w:tc>
          <w:tcPr>
            <w:tcW w:w="3981" w:type="dxa"/>
            <w:vAlign w:val="center"/>
          </w:tcPr>
          <w:p w:rsidR="00ED2D72" w:rsidRDefault="00596D7C">
            <w:pPr>
              <w:jc w:val="center"/>
              <w:rPr>
                <w:color w:val="000000"/>
                <w:sz w:val="18"/>
                <w:szCs w:val="18"/>
              </w:rPr>
            </w:pPr>
            <w:r>
              <w:rPr>
                <w:rFonts w:hint="eastAsia"/>
                <w:color w:val="000000"/>
                <w:sz w:val="18"/>
                <w:szCs w:val="18"/>
              </w:rPr>
              <w:t>深圳众禄基金销售股份有限公司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10</w:t>
            </w:r>
          </w:p>
        </w:tc>
        <w:tc>
          <w:tcPr>
            <w:tcW w:w="3981" w:type="dxa"/>
            <w:vAlign w:val="center"/>
          </w:tcPr>
          <w:p w:rsidR="00ED2D72" w:rsidRDefault="00596D7C">
            <w:pPr>
              <w:jc w:val="center"/>
              <w:rPr>
                <w:color w:val="000000"/>
                <w:sz w:val="18"/>
                <w:szCs w:val="18"/>
              </w:rPr>
            </w:pPr>
            <w:r>
              <w:rPr>
                <w:rFonts w:hint="eastAsia"/>
                <w:color w:val="000000"/>
                <w:sz w:val="18"/>
                <w:szCs w:val="18"/>
              </w:rPr>
              <w:t>上海天天基金销售有限公司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11</w:t>
            </w:r>
          </w:p>
        </w:tc>
        <w:tc>
          <w:tcPr>
            <w:tcW w:w="3981" w:type="dxa"/>
            <w:vAlign w:val="center"/>
          </w:tcPr>
          <w:p w:rsidR="00ED2D72" w:rsidRDefault="00596D7C">
            <w:pPr>
              <w:jc w:val="center"/>
              <w:rPr>
                <w:color w:val="000000"/>
                <w:sz w:val="18"/>
                <w:szCs w:val="18"/>
              </w:rPr>
            </w:pPr>
            <w:r>
              <w:rPr>
                <w:rFonts w:hint="eastAsia"/>
                <w:color w:val="000000"/>
                <w:sz w:val="18"/>
                <w:szCs w:val="18"/>
              </w:rPr>
              <w:t>上海好买基金销售有限公司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12</w:t>
            </w:r>
          </w:p>
        </w:tc>
        <w:tc>
          <w:tcPr>
            <w:tcW w:w="3981" w:type="dxa"/>
            <w:vAlign w:val="center"/>
          </w:tcPr>
          <w:p w:rsidR="00ED2D72" w:rsidRDefault="00596D7C">
            <w:pPr>
              <w:jc w:val="center"/>
              <w:rPr>
                <w:color w:val="000000"/>
                <w:sz w:val="18"/>
                <w:szCs w:val="18"/>
              </w:rPr>
            </w:pPr>
            <w:r>
              <w:rPr>
                <w:rFonts w:hint="eastAsia"/>
                <w:color w:val="000000"/>
                <w:sz w:val="18"/>
                <w:szCs w:val="18"/>
              </w:rPr>
              <w:t>蚂蚁（杭州）基金销售有限公司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13</w:t>
            </w:r>
          </w:p>
        </w:tc>
        <w:tc>
          <w:tcPr>
            <w:tcW w:w="3981" w:type="dxa"/>
            <w:vAlign w:val="center"/>
          </w:tcPr>
          <w:p w:rsidR="00ED2D72" w:rsidRDefault="00596D7C">
            <w:pPr>
              <w:jc w:val="center"/>
              <w:rPr>
                <w:color w:val="000000"/>
                <w:sz w:val="18"/>
                <w:szCs w:val="18"/>
              </w:rPr>
            </w:pPr>
            <w:r>
              <w:rPr>
                <w:rFonts w:hint="eastAsia"/>
                <w:color w:val="000000"/>
                <w:sz w:val="18"/>
                <w:szCs w:val="18"/>
              </w:rPr>
              <w:t>上海长量基金销售有限公司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14</w:t>
            </w:r>
          </w:p>
        </w:tc>
        <w:tc>
          <w:tcPr>
            <w:tcW w:w="3981" w:type="dxa"/>
            <w:vAlign w:val="center"/>
          </w:tcPr>
          <w:p w:rsidR="00ED2D72" w:rsidRDefault="00596D7C">
            <w:pPr>
              <w:jc w:val="center"/>
              <w:rPr>
                <w:color w:val="000000"/>
                <w:sz w:val="18"/>
                <w:szCs w:val="18"/>
              </w:rPr>
            </w:pPr>
            <w:r>
              <w:rPr>
                <w:rFonts w:hint="eastAsia"/>
                <w:color w:val="000000"/>
                <w:sz w:val="18"/>
                <w:szCs w:val="18"/>
              </w:rPr>
              <w:t>浙江同花顺基金销售有限公司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15</w:t>
            </w:r>
          </w:p>
        </w:tc>
        <w:tc>
          <w:tcPr>
            <w:tcW w:w="3981" w:type="dxa"/>
            <w:vAlign w:val="center"/>
          </w:tcPr>
          <w:p w:rsidR="00ED2D72" w:rsidRDefault="00596D7C">
            <w:pPr>
              <w:jc w:val="center"/>
              <w:rPr>
                <w:color w:val="000000"/>
                <w:sz w:val="18"/>
                <w:szCs w:val="18"/>
              </w:rPr>
            </w:pPr>
            <w:r>
              <w:rPr>
                <w:rFonts w:hint="eastAsia"/>
                <w:color w:val="000000"/>
                <w:sz w:val="18"/>
                <w:szCs w:val="18"/>
              </w:rPr>
              <w:t>嘉实财富管理有限公司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16</w:t>
            </w:r>
          </w:p>
        </w:tc>
        <w:tc>
          <w:tcPr>
            <w:tcW w:w="3981" w:type="dxa"/>
            <w:vAlign w:val="center"/>
          </w:tcPr>
          <w:p w:rsidR="00ED2D72" w:rsidRDefault="00596D7C">
            <w:pPr>
              <w:jc w:val="center"/>
              <w:rPr>
                <w:color w:val="000000"/>
                <w:sz w:val="18"/>
                <w:szCs w:val="18"/>
              </w:rPr>
            </w:pPr>
            <w:r>
              <w:rPr>
                <w:rFonts w:hint="eastAsia"/>
                <w:color w:val="000000"/>
                <w:sz w:val="18"/>
                <w:szCs w:val="18"/>
              </w:rPr>
              <w:t>泛华普益基金销售有限公司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17</w:t>
            </w:r>
          </w:p>
        </w:tc>
        <w:tc>
          <w:tcPr>
            <w:tcW w:w="3981" w:type="dxa"/>
            <w:vAlign w:val="center"/>
          </w:tcPr>
          <w:p w:rsidR="00ED2D72" w:rsidRDefault="00596D7C">
            <w:pPr>
              <w:jc w:val="center"/>
              <w:rPr>
                <w:color w:val="000000"/>
                <w:sz w:val="18"/>
                <w:szCs w:val="18"/>
              </w:rPr>
            </w:pPr>
            <w:r>
              <w:rPr>
                <w:rFonts w:hint="eastAsia"/>
                <w:color w:val="000000"/>
                <w:sz w:val="18"/>
                <w:szCs w:val="18"/>
              </w:rPr>
              <w:t>宜信普泽（北京）基金销售有限公司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18</w:t>
            </w:r>
          </w:p>
        </w:tc>
        <w:tc>
          <w:tcPr>
            <w:tcW w:w="3981" w:type="dxa"/>
            <w:vAlign w:val="center"/>
          </w:tcPr>
          <w:p w:rsidR="00ED2D72" w:rsidRDefault="00596D7C">
            <w:pPr>
              <w:jc w:val="center"/>
              <w:rPr>
                <w:color w:val="000000"/>
                <w:sz w:val="18"/>
                <w:szCs w:val="18"/>
              </w:rPr>
            </w:pPr>
            <w:r>
              <w:rPr>
                <w:rFonts w:hint="eastAsia"/>
                <w:color w:val="000000"/>
                <w:sz w:val="18"/>
                <w:szCs w:val="18"/>
              </w:rPr>
              <w:t>上海大智慧基金销售有限公司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19</w:t>
            </w:r>
          </w:p>
        </w:tc>
        <w:tc>
          <w:tcPr>
            <w:tcW w:w="3981" w:type="dxa"/>
            <w:vAlign w:val="center"/>
          </w:tcPr>
          <w:p w:rsidR="00ED2D72" w:rsidRDefault="00596D7C">
            <w:pPr>
              <w:jc w:val="center"/>
              <w:rPr>
                <w:color w:val="000000"/>
                <w:sz w:val="18"/>
                <w:szCs w:val="18"/>
              </w:rPr>
            </w:pPr>
            <w:r>
              <w:rPr>
                <w:rFonts w:hint="eastAsia"/>
                <w:color w:val="000000"/>
                <w:sz w:val="18"/>
                <w:szCs w:val="18"/>
              </w:rPr>
              <w:t>上海利得基金销售有限公司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20</w:t>
            </w:r>
          </w:p>
        </w:tc>
        <w:tc>
          <w:tcPr>
            <w:tcW w:w="3981" w:type="dxa"/>
            <w:vAlign w:val="center"/>
          </w:tcPr>
          <w:p w:rsidR="00ED2D72" w:rsidRDefault="00596D7C">
            <w:pPr>
              <w:jc w:val="center"/>
              <w:rPr>
                <w:color w:val="000000"/>
                <w:sz w:val="18"/>
                <w:szCs w:val="18"/>
              </w:rPr>
            </w:pPr>
            <w:r>
              <w:rPr>
                <w:rFonts w:hint="eastAsia"/>
                <w:color w:val="000000"/>
                <w:sz w:val="18"/>
                <w:szCs w:val="18"/>
              </w:rPr>
              <w:t>上海万得基金销售有限公司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21</w:t>
            </w:r>
          </w:p>
        </w:tc>
        <w:tc>
          <w:tcPr>
            <w:tcW w:w="3981" w:type="dxa"/>
            <w:vAlign w:val="center"/>
          </w:tcPr>
          <w:p w:rsidR="00ED2D72" w:rsidRDefault="00596D7C">
            <w:pPr>
              <w:jc w:val="center"/>
              <w:rPr>
                <w:color w:val="000000"/>
                <w:sz w:val="18"/>
                <w:szCs w:val="18"/>
              </w:rPr>
            </w:pPr>
            <w:r>
              <w:rPr>
                <w:rFonts w:hint="eastAsia"/>
                <w:color w:val="000000"/>
                <w:sz w:val="18"/>
                <w:szCs w:val="18"/>
              </w:rPr>
              <w:t>上海联泰基金销售有限公司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22</w:t>
            </w:r>
          </w:p>
        </w:tc>
        <w:tc>
          <w:tcPr>
            <w:tcW w:w="3981" w:type="dxa"/>
            <w:vAlign w:val="center"/>
          </w:tcPr>
          <w:p w:rsidR="00ED2D72" w:rsidRDefault="00596D7C">
            <w:pPr>
              <w:jc w:val="center"/>
              <w:rPr>
                <w:color w:val="000000"/>
                <w:sz w:val="18"/>
                <w:szCs w:val="18"/>
              </w:rPr>
            </w:pPr>
            <w:r>
              <w:rPr>
                <w:rFonts w:hint="eastAsia"/>
                <w:color w:val="000000"/>
                <w:sz w:val="18"/>
                <w:szCs w:val="18"/>
              </w:rPr>
              <w:t>上海中正达广基金销售有限公司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23</w:t>
            </w:r>
          </w:p>
        </w:tc>
        <w:tc>
          <w:tcPr>
            <w:tcW w:w="3981" w:type="dxa"/>
            <w:vAlign w:val="center"/>
          </w:tcPr>
          <w:p w:rsidR="00ED2D72" w:rsidRDefault="00596D7C">
            <w:pPr>
              <w:jc w:val="center"/>
              <w:rPr>
                <w:color w:val="000000"/>
                <w:sz w:val="18"/>
                <w:szCs w:val="18"/>
              </w:rPr>
            </w:pPr>
            <w:r>
              <w:rPr>
                <w:rFonts w:hint="eastAsia"/>
                <w:color w:val="000000"/>
                <w:sz w:val="18"/>
                <w:szCs w:val="18"/>
              </w:rPr>
              <w:t>上海陆金所基金销售有限公司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24</w:t>
            </w:r>
          </w:p>
        </w:tc>
        <w:tc>
          <w:tcPr>
            <w:tcW w:w="3981" w:type="dxa"/>
            <w:vAlign w:val="center"/>
          </w:tcPr>
          <w:p w:rsidR="00ED2D72" w:rsidRDefault="00596D7C">
            <w:pPr>
              <w:jc w:val="center"/>
              <w:rPr>
                <w:color w:val="000000"/>
                <w:sz w:val="18"/>
                <w:szCs w:val="18"/>
              </w:rPr>
            </w:pPr>
            <w:r>
              <w:rPr>
                <w:rFonts w:hint="eastAsia"/>
                <w:color w:val="000000"/>
                <w:sz w:val="18"/>
                <w:szCs w:val="18"/>
              </w:rPr>
              <w:t>珠海盈米基金销售有限公司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25</w:t>
            </w:r>
          </w:p>
        </w:tc>
        <w:tc>
          <w:tcPr>
            <w:tcW w:w="3981" w:type="dxa"/>
            <w:vAlign w:val="center"/>
          </w:tcPr>
          <w:p w:rsidR="00ED2D72" w:rsidRDefault="00596D7C">
            <w:pPr>
              <w:jc w:val="center"/>
              <w:rPr>
                <w:color w:val="000000"/>
                <w:sz w:val="18"/>
                <w:szCs w:val="18"/>
              </w:rPr>
            </w:pPr>
            <w:r>
              <w:rPr>
                <w:rFonts w:hint="eastAsia"/>
                <w:color w:val="000000"/>
                <w:sz w:val="18"/>
                <w:szCs w:val="18"/>
              </w:rPr>
              <w:t>上海爱建基金销售有限公司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26</w:t>
            </w:r>
          </w:p>
        </w:tc>
        <w:tc>
          <w:tcPr>
            <w:tcW w:w="3981" w:type="dxa"/>
            <w:vAlign w:val="center"/>
          </w:tcPr>
          <w:p w:rsidR="00ED2D72" w:rsidRDefault="00596D7C">
            <w:pPr>
              <w:jc w:val="center"/>
              <w:rPr>
                <w:color w:val="000000"/>
                <w:sz w:val="18"/>
                <w:szCs w:val="18"/>
              </w:rPr>
            </w:pPr>
            <w:r>
              <w:rPr>
                <w:rFonts w:hint="eastAsia"/>
                <w:color w:val="000000"/>
                <w:sz w:val="18"/>
                <w:szCs w:val="18"/>
              </w:rPr>
              <w:t>京东肯特瑞基金销售有限公司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27</w:t>
            </w:r>
          </w:p>
        </w:tc>
        <w:tc>
          <w:tcPr>
            <w:tcW w:w="3981" w:type="dxa"/>
            <w:vAlign w:val="center"/>
          </w:tcPr>
          <w:p w:rsidR="00ED2D72" w:rsidRDefault="00596D7C">
            <w:pPr>
              <w:jc w:val="center"/>
              <w:rPr>
                <w:color w:val="000000"/>
                <w:sz w:val="18"/>
                <w:szCs w:val="18"/>
              </w:rPr>
            </w:pPr>
            <w:r>
              <w:rPr>
                <w:rFonts w:hint="eastAsia"/>
                <w:color w:val="000000"/>
                <w:sz w:val="18"/>
                <w:szCs w:val="18"/>
              </w:rPr>
              <w:t>大连网金基金销售有限公司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28</w:t>
            </w:r>
          </w:p>
        </w:tc>
        <w:tc>
          <w:tcPr>
            <w:tcW w:w="3981" w:type="dxa"/>
            <w:vAlign w:val="center"/>
          </w:tcPr>
          <w:p w:rsidR="00ED2D72" w:rsidRDefault="00596D7C">
            <w:pPr>
              <w:jc w:val="center"/>
              <w:rPr>
                <w:color w:val="000000"/>
                <w:sz w:val="18"/>
                <w:szCs w:val="18"/>
              </w:rPr>
            </w:pPr>
            <w:r>
              <w:rPr>
                <w:rFonts w:hint="eastAsia"/>
                <w:color w:val="000000"/>
                <w:sz w:val="18"/>
                <w:szCs w:val="18"/>
              </w:rPr>
              <w:t>上海证达通基金销售有限公司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29</w:t>
            </w:r>
          </w:p>
        </w:tc>
        <w:tc>
          <w:tcPr>
            <w:tcW w:w="3981" w:type="dxa"/>
            <w:vAlign w:val="center"/>
          </w:tcPr>
          <w:p w:rsidR="00ED2D72" w:rsidRDefault="00596D7C">
            <w:pPr>
              <w:jc w:val="center"/>
              <w:rPr>
                <w:color w:val="000000"/>
                <w:sz w:val="18"/>
                <w:szCs w:val="18"/>
              </w:rPr>
            </w:pPr>
            <w:r>
              <w:rPr>
                <w:rFonts w:hint="eastAsia"/>
                <w:color w:val="000000"/>
                <w:sz w:val="18"/>
                <w:szCs w:val="18"/>
              </w:rPr>
              <w:t>北京雪球基金销售有限公司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30</w:t>
            </w:r>
          </w:p>
        </w:tc>
        <w:tc>
          <w:tcPr>
            <w:tcW w:w="3981" w:type="dxa"/>
            <w:vAlign w:val="center"/>
          </w:tcPr>
          <w:p w:rsidR="00ED2D72" w:rsidRDefault="00596D7C">
            <w:pPr>
              <w:jc w:val="center"/>
              <w:rPr>
                <w:color w:val="000000"/>
                <w:sz w:val="18"/>
                <w:szCs w:val="18"/>
              </w:rPr>
            </w:pPr>
            <w:r>
              <w:rPr>
                <w:rFonts w:hint="eastAsia"/>
                <w:color w:val="000000"/>
                <w:sz w:val="18"/>
                <w:szCs w:val="18"/>
              </w:rPr>
              <w:t>万家财富基金销售（天津）有限公司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31</w:t>
            </w:r>
          </w:p>
        </w:tc>
        <w:tc>
          <w:tcPr>
            <w:tcW w:w="3981" w:type="dxa"/>
            <w:vAlign w:val="center"/>
          </w:tcPr>
          <w:p w:rsidR="00ED2D72" w:rsidRDefault="00596D7C">
            <w:pPr>
              <w:widowControl/>
              <w:jc w:val="center"/>
              <w:rPr>
                <w:rFonts w:ascii="宋体" w:hAnsi="宋体"/>
                <w:color w:val="000000"/>
                <w:kern w:val="0"/>
                <w:sz w:val="18"/>
                <w:szCs w:val="18"/>
              </w:rPr>
            </w:pPr>
            <w:r>
              <w:rPr>
                <w:rFonts w:hint="eastAsia"/>
                <w:color w:val="000000"/>
                <w:sz w:val="18"/>
                <w:szCs w:val="18"/>
              </w:rPr>
              <w:t>玄元保险代理有限公司</w:t>
            </w:r>
          </w:p>
        </w:tc>
      </w:tr>
      <w:tr w:rsidR="00ED2D72">
        <w:trPr>
          <w:trHeight w:val="480"/>
          <w:jc w:val="center"/>
        </w:trPr>
        <w:tc>
          <w:tcPr>
            <w:tcW w:w="855" w:type="dxa"/>
            <w:vAlign w:val="center"/>
          </w:tcPr>
          <w:p w:rsidR="00ED2D72" w:rsidRDefault="00596D7C">
            <w:pPr>
              <w:spacing w:line="360" w:lineRule="auto"/>
              <w:jc w:val="center"/>
              <w:rPr>
                <w:rFonts w:ascii="宋体" w:hAnsi="宋体"/>
                <w:color w:val="000000"/>
              </w:rPr>
            </w:pPr>
            <w:r>
              <w:rPr>
                <w:rFonts w:ascii="等线" w:eastAsia="等线" w:hAnsi="等线" w:hint="eastAsia"/>
                <w:color w:val="000000"/>
                <w:sz w:val="22"/>
                <w:szCs w:val="22"/>
              </w:rPr>
              <w:t>32</w:t>
            </w:r>
          </w:p>
        </w:tc>
        <w:tc>
          <w:tcPr>
            <w:tcW w:w="3981" w:type="dxa"/>
            <w:vAlign w:val="center"/>
          </w:tcPr>
          <w:p w:rsidR="00ED2D72" w:rsidRDefault="00596D7C">
            <w:pPr>
              <w:jc w:val="center"/>
              <w:rPr>
                <w:color w:val="000000"/>
                <w:sz w:val="18"/>
                <w:szCs w:val="18"/>
              </w:rPr>
            </w:pPr>
            <w:r>
              <w:rPr>
                <w:rFonts w:hint="eastAsia"/>
                <w:color w:val="000000"/>
                <w:sz w:val="18"/>
                <w:szCs w:val="18"/>
              </w:rPr>
              <w:t>阳光人寿保险股份有限公司</w:t>
            </w:r>
          </w:p>
        </w:tc>
      </w:tr>
      <w:tr w:rsidR="00ED2D72">
        <w:trPr>
          <w:trHeight w:val="480"/>
          <w:jc w:val="center"/>
        </w:trPr>
        <w:tc>
          <w:tcPr>
            <w:tcW w:w="855" w:type="dxa"/>
            <w:vAlign w:val="center"/>
          </w:tcPr>
          <w:p w:rsidR="00ED2D72" w:rsidRDefault="00596D7C">
            <w:pPr>
              <w:spacing w:line="360" w:lineRule="auto"/>
              <w:jc w:val="center"/>
              <w:rPr>
                <w:rFonts w:ascii="等线" w:eastAsia="等线" w:hAnsi="等线"/>
                <w:color w:val="000000"/>
                <w:sz w:val="22"/>
                <w:szCs w:val="22"/>
              </w:rPr>
            </w:pPr>
            <w:r>
              <w:rPr>
                <w:rFonts w:ascii="等线" w:eastAsia="等线" w:hAnsi="等线" w:hint="eastAsia"/>
                <w:color w:val="000000"/>
                <w:sz w:val="22"/>
                <w:szCs w:val="22"/>
              </w:rPr>
              <w:t>33</w:t>
            </w:r>
          </w:p>
        </w:tc>
        <w:tc>
          <w:tcPr>
            <w:tcW w:w="3981" w:type="dxa"/>
            <w:vAlign w:val="center"/>
          </w:tcPr>
          <w:p w:rsidR="00ED2D72" w:rsidRDefault="00596D7C">
            <w:pPr>
              <w:jc w:val="center"/>
              <w:rPr>
                <w:color w:val="000000"/>
                <w:sz w:val="18"/>
                <w:szCs w:val="18"/>
              </w:rPr>
            </w:pPr>
            <w:r>
              <w:rPr>
                <w:rFonts w:hint="eastAsia"/>
                <w:color w:val="000000"/>
                <w:sz w:val="18"/>
                <w:szCs w:val="18"/>
              </w:rPr>
              <w:t>北京创金启富基金销售有限公司</w:t>
            </w:r>
          </w:p>
        </w:tc>
      </w:tr>
    </w:tbl>
    <w:p w:rsidR="00ED2D72" w:rsidRDefault="00ED2D72">
      <w:pPr>
        <w:autoSpaceDE w:val="0"/>
        <w:autoSpaceDN w:val="0"/>
        <w:adjustRightInd w:val="0"/>
        <w:spacing w:before="29" w:line="360" w:lineRule="auto"/>
        <w:ind w:left="15"/>
        <w:jc w:val="left"/>
        <w:rPr>
          <w:rFonts w:ascii="Times New Roman" w:hAnsi="Times New Roman" w:cs="Times New Roman"/>
          <w:b/>
          <w:bCs/>
          <w:color w:val="000000"/>
          <w:kern w:val="0"/>
        </w:rPr>
      </w:pPr>
    </w:p>
    <w:p w:rsidR="00ED2D72" w:rsidRDefault="00ED2D72">
      <w:pPr>
        <w:autoSpaceDE w:val="0"/>
        <w:autoSpaceDN w:val="0"/>
        <w:adjustRightInd w:val="0"/>
        <w:spacing w:before="29" w:line="360" w:lineRule="auto"/>
        <w:jc w:val="left"/>
        <w:rPr>
          <w:rFonts w:ascii="Times New Roman" w:hAnsi="Times New Roman" w:cs="Times New Roman"/>
          <w:b/>
          <w:bCs/>
          <w:color w:val="000000"/>
          <w:kern w:val="0"/>
        </w:rPr>
      </w:pPr>
    </w:p>
    <w:p w:rsidR="00ED2D72" w:rsidRDefault="00596D7C">
      <w:pPr>
        <w:autoSpaceDE w:val="0"/>
        <w:autoSpaceDN w:val="0"/>
        <w:adjustRightInd w:val="0"/>
        <w:spacing w:before="29" w:line="360" w:lineRule="auto"/>
        <w:ind w:left="15"/>
        <w:jc w:val="left"/>
        <w:rPr>
          <w:rFonts w:ascii="Times New Roman" w:hAnsi="Times New Roman" w:cs="Times New Roman"/>
          <w:b/>
          <w:bCs/>
          <w:color w:val="000000"/>
          <w:kern w:val="0"/>
        </w:rPr>
      </w:pPr>
      <w:r>
        <w:rPr>
          <w:rFonts w:ascii="Times New Roman" w:hAnsi="Times New Roman" w:cs="Times New Roman" w:hint="eastAsia"/>
          <w:b/>
          <w:bCs/>
          <w:color w:val="000000"/>
          <w:kern w:val="0"/>
        </w:rPr>
        <w:t>7</w:t>
      </w:r>
      <w:r>
        <w:rPr>
          <w:rFonts w:ascii="Times New Roman" w:hAnsi="Times New Roman" w:cs="Times New Roman"/>
          <w:b/>
          <w:bCs/>
          <w:color w:val="000000"/>
          <w:kern w:val="0"/>
        </w:rPr>
        <w:t xml:space="preserve"> </w:t>
      </w:r>
      <w:r>
        <w:rPr>
          <w:rFonts w:ascii="Times New Roman" w:hAnsi="Times New Roman" w:hint="eastAsia"/>
          <w:b/>
          <w:bCs/>
          <w:color w:val="000000"/>
          <w:kern w:val="0"/>
        </w:rPr>
        <w:t>基金份额净值公告的披露安排</w:t>
      </w:r>
    </w:p>
    <w:p w:rsidR="00ED2D72" w:rsidRDefault="00596D7C">
      <w:pPr>
        <w:pStyle w:val="11"/>
        <w:autoSpaceDE w:val="0"/>
        <w:autoSpaceDN w:val="0"/>
        <w:adjustRightInd w:val="0"/>
        <w:spacing w:line="360" w:lineRule="auto"/>
        <w:ind w:firstLineChars="0"/>
        <w:jc w:val="left"/>
        <w:rPr>
          <w:rFonts w:ascii="Arial" w:hAnsi="宋体" w:cs="Arial"/>
        </w:rPr>
      </w:pPr>
      <w:r>
        <w:rPr>
          <w:rFonts w:ascii="Arial" w:hAnsi="宋体" w:cs="Arial" w:hint="eastAsia"/>
        </w:rPr>
        <w:t>《基金合同》生效后，在开始办理基金份额申购或者赎回前，基金管理人应当至少每周在规定网站披露一次各类基金份额净值和基金份额累计净值。</w:t>
      </w:r>
    </w:p>
    <w:p w:rsidR="00ED2D72" w:rsidRDefault="00596D7C">
      <w:pPr>
        <w:pStyle w:val="11"/>
        <w:autoSpaceDE w:val="0"/>
        <w:autoSpaceDN w:val="0"/>
        <w:adjustRightInd w:val="0"/>
        <w:spacing w:line="360" w:lineRule="auto"/>
        <w:ind w:firstLineChars="0"/>
        <w:jc w:val="left"/>
        <w:rPr>
          <w:rFonts w:ascii="Arial" w:hAnsi="宋体" w:cs="Arial"/>
        </w:rPr>
      </w:pPr>
      <w:r>
        <w:rPr>
          <w:rFonts w:ascii="Arial" w:hAnsi="宋体" w:cs="Arial" w:hint="eastAsia"/>
        </w:rPr>
        <w:t>在开始办理基金份额申购或者赎回后，基金管理人应当在不晚于每个开放日的次日，通过规定网站、基金销售机构网站或者营业网点披露开放日的各类基金份额净值和基金份额累计净值。</w:t>
      </w:r>
    </w:p>
    <w:p w:rsidR="00ED2D72" w:rsidRDefault="00596D7C">
      <w:pPr>
        <w:pStyle w:val="11"/>
        <w:autoSpaceDE w:val="0"/>
        <w:autoSpaceDN w:val="0"/>
        <w:adjustRightInd w:val="0"/>
        <w:spacing w:line="360" w:lineRule="auto"/>
        <w:ind w:firstLineChars="0"/>
        <w:jc w:val="left"/>
        <w:rPr>
          <w:rFonts w:ascii="Arial" w:hAnsi="宋体" w:cs="Arial"/>
        </w:rPr>
      </w:pPr>
      <w:r>
        <w:rPr>
          <w:rFonts w:ascii="Arial" w:hAnsi="宋体" w:cs="Arial" w:hint="eastAsia"/>
        </w:rPr>
        <w:t>基金管理人应当在不晚于半年度和年度最后一日后的次日，在规定网站披露半年度和年度最后一日的各类基金份额净值和基金份额累计净值。</w:t>
      </w:r>
    </w:p>
    <w:p w:rsidR="00ED2D72" w:rsidRDefault="00ED2D72">
      <w:pPr>
        <w:pStyle w:val="11"/>
        <w:autoSpaceDE w:val="0"/>
        <w:autoSpaceDN w:val="0"/>
        <w:adjustRightInd w:val="0"/>
        <w:spacing w:line="360" w:lineRule="auto"/>
        <w:ind w:firstLineChars="0"/>
        <w:jc w:val="left"/>
        <w:rPr>
          <w:rFonts w:ascii="Arial" w:hAnsi="宋体" w:cs="Arial"/>
        </w:rPr>
      </w:pPr>
    </w:p>
    <w:p w:rsidR="00ED2D72" w:rsidRDefault="00596D7C">
      <w:pPr>
        <w:pStyle w:val="ae"/>
        <w:numPr>
          <w:ilvl w:val="255"/>
          <w:numId w:val="0"/>
        </w:numPr>
        <w:autoSpaceDE w:val="0"/>
        <w:autoSpaceDN w:val="0"/>
        <w:adjustRightInd w:val="0"/>
        <w:spacing w:line="360" w:lineRule="auto"/>
        <w:jc w:val="left"/>
        <w:rPr>
          <w:rFonts w:ascii="Arial" w:hAnsi="宋体" w:cs="Arial"/>
        </w:rPr>
      </w:pPr>
      <w:r>
        <w:rPr>
          <w:rFonts w:ascii="Times New Roman" w:hAnsi="Times New Roman" w:hint="eastAsia"/>
          <w:b/>
          <w:bCs/>
          <w:color w:val="000000"/>
          <w:kern w:val="0"/>
        </w:rPr>
        <w:t xml:space="preserve">8 </w:t>
      </w:r>
      <w:r>
        <w:rPr>
          <w:rFonts w:ascii="Times New Roman" w:hAnsi="Times New Roman" w:hint="eastAsia"/>
          <w:b/>
          <w:bCs/>
          <w:color w:val="000000"/>
          <w:kern w:val="0"/>
        </w:rPr>
        <w:t>其他需要提示的事项</w:t>
      </w:r>
    </w:p>
    <w:p w:rsidR="00ED2D72" w:rsidRDefault="00596D7C">
      <w:pPr>
        <w:pStyle w:val="11"/>
        <w:autoSpaceDE w:val="0"/>
        <w:autoSpaceDN w:val="0"/>
        <w:adjustRightInd w:val="0"/>
        <w:spacing w:line="360" w:lineRule="auto"/>
        <w:ind w:firstLineChars="0" w:firstLine="0"/>
        <w:jc w:val="left"/>
        <w:rPr>
          <w:rFonts w:ascii="宋体" w:hAnsi="宋体" w:cs="Arial"/>
        </w:rPr>
      </w:pPr>
      <w:r>
        <w:rPr>
          <w:rFonts w:ascii="宋体" w:hAnsi="宋体" w:cs="Arial" w:hint="eastAsia"/>
        </w:rPr>
        <w:t>（1）上述代销机构和直销机构均受理投资者的申购和赎回等业务。本基金若增加、调整直销机构或场外非直销机构，本公司将在官网上公示，敬请投资者留意。</w:t>
      </w:r>
    </w:p>
    <w:p w:rsidR="00ED2D72" w:rsidRDefault="00596D7C">
      <w:pPr>
        <w:pStyle w:val="11"/>
        <w:autoSpaceDE w:val="0"/>
        <w:autoSpaceDN w:val="0"/>
        <w:adjustRightInd w:val="0"/>
        <w:spacing w:line="360" w:lineRule="auto"/>
        <w:ind w:firstLineChars="0" w:firstLine="0"/>
        <w:jc w:val="left"/>
        <w:rPr>
          <w:rFonts w:ascii="宋体" w:hAnsi="宋体" w:cs="Arial"/>
        </w:rPr>
      </w:pPr>
      <w:r>
        <w:rPr>
          <w:rFonts w:ascii="宋体" w:hAnsi="宋体" w:cs="Arial" w:hint="eastAsia"/>
        </w:rPr>
        <w:t>（2）基金管理人可在法律法规允许的情况下，调整上述规定申购金额</w:t>
      </w:r>
      <w:r>
        <w:t>、赎回份额</w:t>
      </w:r>
      <w:r>
        <w:rPr>
          <w:rFonts w:ascii="宋体" w:hAnsi="宋体" w:cs="Arial" w:hint="eastAsia"/>
        </w:rPr>
        <w:t>和最低基金份额保留余额等数量限制。基金管理人必须在调整实施前依照《信息披露办法》的有关规定在规定媒介上公告。</w:t>
      </w:r>
    </w:p>
    <w:p w:rsidR="00ED2D72" w:rsidRDefault="00596D7C">
      <w:pPr>
        <w:pStyle w:val="11"/>
        <w:autoSpaceDE w:val="0"/>
        <w:autoSpaceDN w:val="0"/>
        <w:adjustRightInd w:val="0"/>
        <w:spacing w:line="360" w:lineRule="auto"/>
        <w:ind w:firstLineChars="0" w:firstLine="0"/>
        <w:jc w:val="left"/>
        <w:rPr>
          <w:rFonts w:ascii="宋体" w:hAnsi="宋体"/>
        </w:rPr>
      </w:pPr>
      <w:r>
        <w:rPr>
          <w:rFonts w:ascii="宋体" w:hAnsi="宋体" w:hint="eastAsia"/>
          <w:color w:val="000000"/>
          <w:kern w:val="0"/>
        </w:rPr>
        <w:t>（</w:t>
      </w:r>
      <w:r>
        <w:rPr>
          <w:rFonts w:ascii="宋体" w:hAnsi="宋体"/>
          <w:color w:val="000000"/>
          <w:kern w:val="0"/>
        </w:rPr>
        <w:t>3</w:t>
      </w:r>
      <w:r>
        <w:rPr>
          <w:rFonts w:ascii="宋体" w:hAnsi="宋体" w:hint="eastAsia"/>
          <w:color w:val="000000"/>
          <w:kern w:val="0"/>
        </w:rPr>
        <w:t>）</w:t>
      </w:r>
      <w:r>
        <w:rPr>
          <w:rFonts w:ascii="宋体" w:hAnsi="宋体"/>
        </w:rPr>
        <w:t>本公告仅对本基金开放日常申购</w:t>
      </w:r>
      <w:r>
        <w:rPr>
          <w:rFonts w:ascii="宋体" w:hAnsi="宋体" w:hint="eastAsia"/>
        </w:rPr>
        <w:t>、赎回和定期定额投资业务</w:t>
      </w:r>
      <w:r>
        <w:rPr>
          <w:rFonts w:ascii="宋体" w:hAnsi="宋体"/>
        </w:rPr>
        <w:t>相关事项予以说明。投资者欲了解本基金的详细情况，请详细阅读</w:t>
      </w:r>
      <w:r>
        <w:rPr>
          <w:rFonts w:ascii="Times New Roman" w:hAnsi="Times New Roman" w:hint="eastAsia"/>
          <w:color w:val="000000"/>
          <w:kern w:val="0"/>
        </w:rPr>
        <w:t>《财通资管鸿曜</w:t>
      </w:r>
      <w:r>
        <w:rPr>
          <w:rFonts w:ascii="Times New Roman" w:hAnsi="Times New Roman" w:hint="eastAsia"/>
          <w:color w:val="000000"/>
          <w:kern w:val="0"/>
        </w:rPr>
        <w:t>9</w:t>
      </w:r>
      <w:r>
        <w:rPr>
          <w:rFonts w:ascii="Times New Roman" w:hAnsi="Times New Roman"/>
          <w:color w:val="000000"/>
          <w:kern w:val="0"/>
        </w:rPr>
        <w:t>0</w:t>
      </w:r>
      <w:r>
        <w:rPr>
          <w:rFonts w:ascii="Times New Roman" w:hAnsi="Times New Roman" w:hint="eastAsia"/>
          <w:color w:val="000000"/>
          <w:kern w:val="0"/>
        </w:rPr>
        <w:t>天持有期债券型证券投资基金基金合同》、《财通资管鸿曜</w:t>
      </w:r>
      <w:r>
        <w:rPr>
          <w:rFonts w:ascii="Times New Roman" w:hAnsi="Times New Roman" w:hint="eastAsia"/>
          <w:color w:val="000000"/>
          <w:kern w:val="0"/>
        </w:rPr>
        <w:t>9</w:t>
      </w:r>
      <w:r>
        <w:rPr>
          <w:rFonts w:ascii="Times New Roman" w:hAnsi="Times New Roman"/>
          <w:color w:val="000000"/>
          <w:kern w:val="0"/>
        </w:rPr>
        <w:t>0</w:t>
      </w:r>
      <w:r>
        <w:rPr>
          <w:rFonts w:ascii="Times New Roman" w:hAnsi="Times New Roman" w:hint="eastAsia"/>
          <w:color w:val="000000"/>
          <w:kern w:val="0"/>
        </w:rPr>
        <w:t>天持有期债券型证券投资基金招募说明书》</w:t>
      </w:r>
      <w:r>
        <w:rPr>
          <w:rFonts w:ascii="宋体" w:hAnsi="宋体"/>
        </w:rPr>
        <w:t>等法律文件。</w:t>
      </w:r>
    </w:p>
    <w:p w:rsidR="00ED2D72" w:rsidRDefault="00596D7C">
      <w:pPr>
        <w:pStyle w:val="11"/>
        <w:autoSpaceDE w:val="0"/>
        <w:autoSpaceDN w:val="0"/>
        <w:adjustRightInd w:val="0"/>
        <w:spacing w:line="360" w:lineRule="auto"/>
        <w:ind w:firstLineChars="0" w:firstLine="0"/>
        <w:jc w:val="left"/>
        <w:rPr>
          <w:rFonts w:ascii="宋体" w:hAnsi="宋体"/>
          <w:color w:val="000000"/>
          <w:kern w:val="0"/>
        </w:rPr>
      </w:pPr>
      <w:r>
        <w:rPr>
          <w:rFonts w:ascii="宋体" w:hAnsi="宋体" w:hint="eastAsia"/>
          <w:color w:val="000000"/>
          <w:kern w:val="0"/>
        </w:rPr>
        <w:t>（</w:t>
      </w:r>
      <w:r>
        <w:rPr>
          <w:rFonts w:ascii="宋体" w:hAnsi="宋体"/>
          <w:color w:val="000000"/>
          <w:kern w:val="0"/>
        </w:rPr>
        <w:t>4</w:t>
      </w:r>
      <w:r>
        <w:rPr>
          <w:rFonts w:ascii="宋体" w:hAnsi="宋体" w:hint="eastAsia"/>
          <w:color w:val="000000"/>
          <w:kern w:val="0"/>
        </w:rPr>
        <w:t>）有关本基金开放申购、赎回</w:t>
      </w:r>
      <w:r>
        <w:rPr>
          <w:rFonts w:ascii="宋体" w:hAnsi="宋体" w:hint="eastAsia"/>
        </w:rPr>
        <w:t>和定期定额投资业务</w:t>
      </w:r>
      <w:r>
        <w:rPr>
          <w:rFonts w:ascii="宋体" w:hAnsi="宋体" w:hint="eastAsia"/>
          <w:color w:val="000000"/>
          <w:kern w:val="0"/>
        </w:rPr>
        <w:t>的具体规定若有变化，本公司将另行公告。</w:t>
      </w:r>
    </w:p>
    <w:p w:rsidR="00ED2D72" w:rsidRDefault="00596D7C">
      <w:pPr>
        <w:pStyle w:val="11"/>
        <w:autoSpaceDE w:val="0"/>
        <w:autoSpaceDN w:val="0"/>
        <w:adjustRightInd w:val="0"/>
        <w:spacing w:line="360" w:lineRule="auto"/>
        <w:ind w:firstLineChars="0" w:firstLine="0"/>
        <w:jc w:val="left"/>
        <w:rPr>
          <w:rFonts w:ascii="宋体" w:hAnsi="宋体" w:cs="Arial"/>
        </w:rPr>
      </w:pPr>
      <w:r>
        <w:rPr>
          <w:rFonts w:ascii="宋体" w:hAnsi="宋体" w:cs="Arial" w:hint="eastAsia"/>
        </w:rPr>
        <w:t>（</w:t>
      </w:r>
      <w:r>
        <w:rPr>
          <w:rFonts w:ascii="宋体" w:hAnsi="宋体" w:cs="Arial"/>
        </w:rPr>
        <w:t>5</w:t>
      </w:r>
      <w:r>
        <w:rPr>
          <w:rFonts w:ascii="宋体" w:hAnsi="宋体" w:cs="Arial" w:hint="eastAsia"/>
        </w:rPr>
        <w:t>）投资者应及时通过本基金销售网点或致电本基金管理人客服热线</w:t>
      </w:r>
      <w:r>
        <w:rPr>
          <w:rFonts w:ascii="宋体" w:hAnsi="宋体" w:cs="Arial"/>
        </w:rPr>
        <w:t>400</w:t>
      </w:r>
      <w:r>
        <w:rPr>
          <w:rFonts w:ascii="宋体" w:hAnsi="宋体" w:cs="Arial" w:hint="eastAsia"/>
        </w:rPr>
        <w:t>-</w:t>
      </w:r>
      <w:r>
        <w:rPr>
          <w:rFonts w:ascii="宋体" w:hAnsi="宋体" w:cs="Arial"/>
        </w:rPr>
        <w:t>116</w:t>
      </w:r>
      <w:r>
        <w:rPr>
          <w:rFonts w:ascii="宋体" w:hAnsi="宋体" w:cs="Arial" w:hint="eastAsia"/>
        </w:rPr>
        <w:t>-</w:t>
      </w:r>
      <w:r>
        <w:rPr>
          <w:rFonts w:ascii="宋体" w:hAnsi="宋体" w:cs="Arial"/>
        </w:rPr>
        <w:t>7888</w:t>
      </w:r>
      <w:r>
        <w:rPr>
          <w:rFonts w:ascii="宋体" w:hAnsi="宋体" w:cs="Arial" w:hint="eastAsia"/>
        </w:rPr>
        <w:t>（免长途话费）或登录本公司网站</w:t>
      </w:r>
      <w:r>
        <w:rPr>
          <w:rFonts w:ascii="宋体" w:hAnsi="宋体" w:cs="Arial"/>
        </w:rPr>
        <w:t>www.ctzg.com</w:t>
      </w:r>
      <w:r>
        <w:rPr>
          <w:rFonts w:ascii="宋体" w:hAnsi="宋体" w:cs="Arial" w:hint="eastAsia"/>
        </w:rPr>
        <w:t>查询其申购、赎回申请的确认情况。</w:t>
      </w:r>
    </w:p>
    <w:p w:rsidR="00ED2D72" w:rsidRDefault="00596D7C">
      <w:pPr>
        <w:pStyle w:val="11"/>
        <w:autoSpaceDE w:val="0"/>
        <w:autoSpaceDN w:val="0"/>
        <w:adjustRightInd w:val="0"/>
        <w:spacing w:line="360" w:lineRule="auto"/>
        <w:ind w:firstLineChars="0" w:firstLine="0"/>
        <w:jc w:val="left"/>
        <w:rPr>
          <w:rFonts w:ascii="宋体" w:hAnsi="宋体" w:cs="Times New Roman"/>
          <w:color w:val="000000"/>
          <w:kern w:val="0"/>
        </w:rPr>
      </w:pPr>
      <w:r>
        <w:rPr>
          <w:rFonts w:ascii="宋体" w:hAnsi="宋体" w:cs="Times New Roman" w:hint="eastAsia"/>
          <w:color w:val="000000"/>
          <w:kern w:val="0"/>
        </w:rPr>
        <w:t>（</w:t>
      </w:r>
      <w:r>
        <w:rPr>
          <w:rFonts w:ascii="宋体" w:hAnsi="宋体" w:cs="Times New Roman"/>
          <w:color w:val="000000"/>
          <w:kern w:val="0"/>
        </w:rPr>
        <w:t>6</w:t>
      </w:r>
      <w:r>
        <w:rPr>
          <w:rFonts w:ascii="宋体" w:hAnsi="宋体" w:cs="Times New Roman" w:hint="eastAsia"/>
          <w:color w:val="000000"/>
          <w:kern w:val="0"/>
        </w:rPr>
        <w:t>）风险提示：</w:t>
      </w:r>
    </w:p>
    <w:p w:rsidR="00ED2D72" w:rsidRDefault="00596D7C">
      <w:pPr>
        <w:pStyle w:val="11"/>
        <w:autoSpaceDE w:val="0"/>
        <w:autoSpaceDN w:val="0"/>
        <w:adjustRightInd w:val="0"/>
        <w:spacing w:line="360" w:lineRule="auto"/>
        <w:jc w:val="left"/>
        <w:rPr>
          <w:rFonts w:ascii="宋体" w:hAnsi="宋体"/>
        </w:rPr>
      </w:pPr>
      <w:r>
        <w:rPr>
          <w:rFonts w:ascii="宋体" w:hAnsi="宋体" w:cs="Times New Roman"/>
          <w:color w:val="000000"/>
          <w:kern w:val="0"/>
        </w:rPr>
        <w:t>1</w:t>
      </w:r>
      <w:r>
        <w:rPr>
          <w:rFonts w:ascii="宋体" w:hAnsi="宋体" w:cs="Times New Roman" w:hint="eastAsia"/>
          <w:color w:val="000000"/>
          <w:kern w:val="0"/>
        </w:rPr>
        <w:t>、基金管理人承诺以诚实信用、勤勉尽责的原则管理和运用基金资产，但不保证基金一定盈利，也不保证最低收益。投资者投资于本基金前应认真阅读本基金的合同、招募说明书及基金产品资料概要等法律文件。</w:t>
      </w:r>
      <w:r>
        <w:rPr>
          <w:rFonts w:ascii="宋体" w:hAnsi="宋体"/>
        </w:rPr>
        <w:t>基金的过往业绩不预示未来表现，基金管理人管理的其他基金的业绩并不构成基金业绩表现的保证。</w:t>
      </w:r>
      <w:r>
        <w:rPr>
          <w:rFonts w:ascii="宋体" w:hAnsi="宋体" w:hint="eastAsia"/>
        </w:rPr>
        <w:t>本基金设置最短持有期，每份基金份额的最短持有期为90天。在每份基金份额的最短持有期到期日前（不含当日），基金份额持有人不能对该基金份额提出赎回申请。每份基金份额的最短持有期到期日起（含当日），基金份额持有人可对该基金份额提出赎回申请。</w:t>
      </w:r>
      <w:r>
        <w:rPr>
          <w:rFonts w:ascii="宋体" w:hAnsi="宋体"/>
        </w:rPr>
        <w:t>请投资者合理安排资金进行投资。</w:t>
      </w:r>
    </w:p>
    <w:p w:rsidR="00ED2D72" w:rsidRDefault="00596D7C">
      <w:pPr>
        <w:pStyle w:val="11"/>
        <w:autoSpaceDE w:val="0"/>
        <w:autoSpaceDN w:val="0"/>
        <w:adjustRightInd w:val="0"/>
        <w:spacing w:line="360" w:lineRule="auto"/>
        <w:jc w:val="left"/>
        <w:rPr>
          <w:rFonts w:ascii="宋体" w:hAnsi="宋体" w:cs="Times New Roman"/>
          <w:color w:val="000000"/>
          <w:kern w:val="0"/>
        </w:rPr>
      </w:pPr>
      <w:r>
        <w:rPr>
          <w:rFonts w:ascii="宋体" w:hAnsi="宋体" w:cs="Times New Roman" w:hint="eastAsia"/>
          <w:color w:val="000000"/>
          <w:kern w:val="0"/>
        </w:rPr>
        <w:t>2、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ED2D72" w:rsidRDefault="00ED2D72">
      <w:pPr>
        <w:autoSpaceDE w:val="0"/>
        <w:autoSpaceDN w:val="0"/>
        <w:adjustRightInd w:val="0"/>
        <w:spacing w:line="360" w:lineRule="auto"/>
        <w:ind w:firstLine="435"/>
        <w:jc w:val="left"/>
        <w:rPr>
          <w:rFonts w:ascii="Times New Roman" w:hAnsi="Times New Roman" w:cs="Times New Roman"/>
          <w:color w:val="000000"/>
          <w:kern w:val="0"/>
        </w:rPr>
      </w:pPr>
    </w:p>
    <w:p w:rsidR="00ED2D72" w:rsidRDefault="00596D7C">
      <w:pPr>
        <w:autoSpaceDE w:val="0"/>
        <w:autoSpaceDN w:val="0"/>
        <w:adjustRightInd w:val="0"/>
        <w:spacing w:line="360" w:lineRule="auto"/>
        <w:ind w:firstLine="435"/>
        <w:jc w:val="left"/>
        <w:rPr>
          <w:rFonts w:ascii="Times New Roman" w:hAnsi="Times New Roman"/>
          <w:color w:val="000000"/>
          <w:kern w:val="0"/>
        </w:rPr>
      </w:pPr>
      <w:r>
        <w:rPr>
          <w:rFonts w:ascii="Times New Roman" w:hAnsi="Times New Roman" w:hint="eastAsia"/>
          <w:color w:val="000000"/>
          <w:kern w:val="0"/>
        </w:rPr>
        <w:t>特此公告。</w:t>
      </w:r>
    </w:p>
    <w:p w:rsidR="00ED2D72" w:rsidRDefault="00ED2D72">
      <w:pPr>
        <w:autoSpaceDE w:val="0"/>
        <w:autoSpaceDN w:val="0"/>
        <w:adjustRightInd w:val="0"/>
        <w:spacing w:line="360" w:lineRule="auto"/>
        <w:ind w:firstLine="435"/>
        <w:jc w:val="left"/>
        <w:rPr>
          <w:rFonts w:ascii="Times New Roman" w:hAnsi="Times New Roman"/>
          <w:color w:val="000000"/>
          <w:kern w:val="0"/>
        </w:rPr>
      </w:pPr>
    </w:p>
    <w:p w:rsidR="00ED2D72" w:rsidRDefault="00596D7C">
      <w:pPr>
        <w:autoSpaceDE w:val="0"/>
        <w:autoSpaceDN w:val="0"/>
        <w:adjustRightInd w:val="0"/>
        <w:spacing w:line="360" w:lineRule="auto"/>
        <w:ind w:firstLine="435"/>
        <w:jc w:val="right"/>
        <w:rPr>
          <w:rFonts w:ascii="Times New Roman" w:hAnsi="Times New Roman"/>
          <w:color w:val="000000"/>
          <w:kern w:val="0"/>
        </w:rPr>
      </w:pPr>
      <w:r>
        <w:rPr>
          <w:rFonts w:ascii="Times New Roman" w:hAnsi="Times New Roman" w:hint="eastAsia"/>
          <w:color w:val="000000"/>
          <w:kern w:val="0"/>
        </w:rPr>
        <w:t>财通证券资产管理有限公司</w:t>
      </w:r>
    </w:p>
    <w:p w:rsidR="00ED2D72" w:rsidRDefault="00596D7C">
      <w:pPr>
        <w:autoSpaceDE w:val="0"/>
        <w:autoSpaceDN w:val="0"/>
        <w:adjustRightInd w:val="0"/>
        <w:spacing w:line="360" w:lineRule="auto"/>
        <w:ind w:firstLine="435"/>
        <w:jc w:val="right"/>
        <w:rPr>
          <w:rFonts w:ascii="Times New Roman" w:hAnsi="Times New Roman" w:cs="Times New Roman"/>
          <w:color w:val="000000"/>
          <w:kern w:val="0"/>
        </w:rPr>
      </w:pPr>
      <w:r>
        <w:rPr>
          <w:rFonts w:ascii="Times New Roman" w:hAnsi="Times New Roman" w:cs="Times New Roman"/>
          <w:color w:val="000000"/>
          <w:kern w:val="0"/>
        </w:rPr>
        <w:t>20</w:t>
      </w:r>
      <w:r>
        <w:rPr>
          <w:rFonts w:ascii="Times New Roman" w:hAnsi="Times New Roman" w:cs="Times New Roman" w:hint="eastAsia"/>
          <w:color w:val="000000"/>
          <w:kern w:val="0"/>
        </w:rPr>
        <w:t>26</w:t>
      </w:r>
      <w:r>
        <w:rPr>
          <w:rFonts w:ascii="Times New Roman" w:hAnsi="Times New Roman" w:cs="Times New Roman" w:hint="eastAsia"/>
          <w:color w:val="000000"/>
          <w:kern w:val="0"/>
        </w:rPr>
        <w:t>年</w:t>
      </w:r>
      <w:r>
        <w:rPr>
          <w:rFonts w:ascii="Times New Roman" w:hAnsi="Times New Roman" w:cs="Times New Roman"/>
          <w:color w:val="000000"/>
          <w:kern w:val="0"/>
        </w:rPr>
        <w:t>1</w:t>
      </w:r>
      <w:r>
        <w:rPr>
          <w:rFonts w:ascii="Times New Roman" w:hAnsi="Times New Roman" w:cs="Times New Roman" w:hint="eastAsia"/>
          <w:color w:val="000000"/>
          <w:kern w:val="0"/>
        </w:rPr>
        <w:t>月</w:t>
      </w:r>
      <w:r>
        <w:rPr>
          <w:rFonts w:ascii="Times New Roman" w:hAnsi="Times New Roman" w:cs="Times New Roman" w:hint="eastAsia"/>
          <w:color w:val="000000"/>
          <w:kern w:val="0"/>
        </w:rPr>
        <w:t>16</w:t>
      </w:r>
      <w:r>
        <w:rPr>
          <w:rFonts w:ascii="Times New Roman" w:hAnsi="Times New Roman" w:cs="Times New Roman" w:hint="eastAsia"/>
          <w:color w:val="000000"/>
          <w:kern w:val="0"/>
        </w:rPr>
        <w:t>日</w:t>
      </w:r>
    </w:p>
    <w:sectPr w:rsidR="00ED2D72" w:rsidSect="00CC54ED">
      <w:headerReference w:type="default" r:id="rId7"/>
      <w:footerReference w:type="default" r:id="rId8"/>
      <w:pgSz w:w="11926" w:h="16867"/>
      <w:pgMar w:top="1420" w:right="1420" w:bottom="852" w:left="142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4ED" w:rsidRDefault="00596D7C">
      <w:r>
        <w:separator/>
      </w:r>
    </w:p>
  </w:endnote>
  <w:endnote w:type="continuationSeparator" w:id="0">
    <w:p w:rsidR="00CC54ED" w:rsidRDefault="00596D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D72" w:rsidRDefault="00ED2D72">
    <w:pPr>
      <w:autoSpaceDE w:val="0"/>
      <w:autoSpaceDN w:val="0"/>
      <w:adjustRightInd w:val="0"/>
      <w:jc w:val="left"/>
      <w:rPr>
        <w:rFonts w:ascii="Arial" w:cs="Arial"/>
        <w:kern w:val="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4ED" w:rsidRDefault="00596D7C">
      <w:r>
        <w:separator/>
      </w:r>
    </w:p>
  </w:footnote>
  <w:footnote w:type="continuationSeparator" w:id="0">
    <w:p w:rsidR="00CC54ED" w:rsidRDefault="00596D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D72" w:rsidRDefault="00596D7C">
    <w:pPr>
      <w:autoSpaceDE w:val="0"/>
      <w:autoSpaceDN w:val="0"/>
      <w:adjustRightInd w:val="0"/>
      <w:jc w:val="left"/>
      <w:rPr>
        <w:rFonts w:ascii="Arial" w:cs="Arial"/>
        <w:kern w:val="0"/>
        <w:sz w:val="24"/>
        <w:szCs w:val="24"/>
      </w:rPr>
    </w:pPr>
    <w:r>
      <w:rPr>
        <w:rFonts w:ascii="宋体" w:hAnsi="宋体"/>
        <w:noProof/>
      </w:rPr>
      <w:drawing>
        <wp:inline distT="0" distB="0" distL="0" distR="0">
          <wp:extent cx="2066925" cy="352425"/>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073022" cy="353402"/>
                  </a:xfrm>
                  <a:prstGeom prst="rect">
                    <a:avLst/>
                  </a:prstGeom>
                  <a:noFill/>
                  <a:ln>
                    <a:noFill/>
                  </a:ln>
                </pic:spPr>
              </pic:pic>
            </a:graphicData>
          </a:graphic>
        </wp:inline>
      </w:drawing>
    </w:r>
  </w:p>
  <w:tbl>
    <w:tblPr>
      <w:tblW w:w="9030" w:type="dxa"/>
      <w:tblInd w:w="108" w:type="dxa"/>
      <w:tblLayout w:type="fixed"/>
      <w:tblLook w:val="04A0"/>
    </w:tblPr>
    <w:tblGrid>
      <w:gridCol w:w="9030"/>
    </w:tblGrid>
    <w:tr w:rsidR="00ED2D72">
      <w:tc>
        <w:tcPr>
          <w:tcW w:w="9030" w:type="dxa"/>
          <w:tcBorders>
            <w:top w:val="single" w:sz="8" w:space="0" w:color="000000"/>
            <w:left w:val="nil"/>
            <w:bottom w:val="nil"/>
            <w:right w:val="nil"/>
          </w:tcBorders>
        </w:tcPr>
        <w:p w:rsidR="00ED2D72" w:rsidRDefault="00ED2D72">
          <w:pPr>
            <w:autoSpaceDE w:val="0"/>
            <w:autoSpaceDN w:val="0"/>
            <w:adjustRightInd w:val="0"/>
            <w:jc w:val="left"/>
            <w:rPr>
              <w:rFonts w:ascii="Arial" w:cs="Arial"/>
              <w:color w:val="000000"/>
              <w:kern w:val="0"/>
              <w:sz w:val="24"/>
              <w:szCs w:val="24"/>
            </w:rPr>
          </w:pPr>
        </w:p>
      </w:tc>
    </w:tr>
  </w:tbl>
  <w:p w:rsidR="00ED2D72" w:rsidRDefault="00ED2D72"/>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4930BC"/>
    <w:rsid w:val="000069BE"/>
    <w:rsid w:val="00014665"/>
    <w:rsid w:val="00032C0C"/>
    <w:rsid w:val="000479CF"/>
    <w:rsid w:val="0006322D"/>
    <w:rsid w:val="000659E9"/>
    <w:rsid w:val="0007254E"/>
    <w:rsid w:val="0007572F"/>
    <w:rsid w:val="00083494"/>
    <w:rsid w:val="00094535"/>
    <w:rsid w:val="00095159"/>
    <w:rsid w:val="00096492"/>
    <w:rsid w:val="000A28A1"/>
    <w:rsid w:val="000A78B8"/>
    <w:rsid w:val="000C6144"/>
    <w:rsid w:val="000C6868"/>
    <w:rsid w:val="000C6A19"/>
    <w:rsid w:val="000C7B0A"/>
    <w:rsid w:val="000C7F46"/>
    <w:rsid w:val="000D3A19"/>
    <w:rsid w:val="000E18E9"/>
    <w:rsid w:val="000E1E00"/>
    <w:rsid w:val="001016FC"/>
    <w:rsid w:val="00101DCF"/>
    <w:rsid w:val="0013128A"/>
    <w:rsid w:val="001519EC"/>
    <w:rsid w:val="00172215"/>
    <w:rsid w:val="00172481"/>
    <w:rsid w:val="00174472"/>
    <w:rsid w:val="00177C62"/>
    <w:rsid w:val="00181DE1"/>
    <w:rsid w:val="00187336"/>
    <w:rsid w:val="001A27BA"/>
    <w:rsid w:val="001C67B8"/>
    <w:rsid w:val="001D263D"/>
    <w:rsid w:val="001E6327"/>
    <w:rsid w:val="001F24AB"/>
    <w:rsid w:val="00211123"/>
    <w:rsid w:val="00214104"/>
    <w:rsid w:val="002315CB"/>
    <w:rsid w:val="00251789"/>
    <w:rsid w:val="002664D4"/>
    <w:rsid w:val="00275399"/>
    <w:rsid w:val="00287751"/>
    <w:rsid w:val="002A13AF"/>
    <w:rsid w:val="002A283E"/>
    <w:rsid w:val="002B609E"/>
    <w:rsid w:val="002C455D"/>
    <w:rsid w:val="002C63A4"/>
    <w:rsid w:val="002D71E0"/>
    <w:rsid w:val="002E255D"/>
    <w:rsid w:val="002E4960"/>
    <w:rsid w:val="002E7B97"/>
    <w:rsid w:val="002F0FBD"/>
    <w:rsid w:val="002F6731"/>
    <w:rsid w:val="00311C6D"/>
    <w:rsid w:val="00313184"/>
    <w:rsid w:val="0032245B"/>
    <w:rsid w:val="00327355"/>
    <w:rsid w:val="0033479F"/>
    <w:rsid w:val="003421F5"/>
    <w:rsid w:val="003451C2"/>
    <w:rsid w:val="0034550A"/>
    <w:rsid w:val="0035779D"/>
    <w:rsid w:val="003806E6"/>
    <w:rsid w:val="00381477"/>
    <w:rsid w:val="00391077"/>
    <w:rsid w:val="00391BFF"/>
    <w:rsid w:val="003A032A"/>
    <w:rsid w:val="003B54D9"/>
    <w:rsid w:val="003E3428"/>
    <w:rsid w:val="003F6719"/>
    <w:rsid w:val="003F729E"/>
    <w:rsid w:val="003F74AA"/>
    <w:rsid w:val="004179D3"/>
    <w:rsid w:val="004345E6"/>
    <w:rsid w:val="00436964"/>
    <w:rsid w:val="0044037C"/>
    <w:rsid w:val="00455FD9"/>
    <w:rsid w:val="00464FE7"/>
    <w:rsid w:val="00477385"/>
    <w:rsid w:val="004907F0"/>
    <w:rsid w:val="004930BC"/>
    <w:rsid w:val="00496795"/>
    <w:rsid w:val="004A09F4"/>
    <w:rsid w:val="004A6575"/>
    <w:rsid w:val="004A7CD6"/>
    <w:rsid w:val="004B5D5A"/>
    <w:rsid w:val="004B7682"/>
    <w:rsid w:val="004C307B"/>
    <w:rsid w:val="004D6E45"/>
    <w:rsid w:val="004E4191"/>
    <w:rsid w:val="00533A5F"/>
    <w:rsid w:val="0054124D"/>
    <w:rsid w:val="005509DC"/>
    <w:rsid w:val="00557562"/>
    <w:rsid w:val="00563042"/>
    <w:rsid w:val="00563899"/>
    <w:rsid w:val="00570127"/>
    <w:rsid w:val="00586238"/>
    <w:rsid w:val="0058630F"/>
    <w:rsid w:val="005930E4"/>
    <w:rsid w:val="0059505D"/>
    <w:rsid w:val="00596D7C"/>
    <w:rsid w:val="005A6E03"/>
    <w:rsid w:val="005B23DE"/>
    <w:rsid w:val="005B5DBC"/>
    <w:rsid w:val="005D1D55"/>
    <w:rsid w:val="005D651A"/>
    <w:rsid w:val="005E23E2"/>
    <w:rsid w:val="005E479C"/>
    <w:rsid w:val="005F0EA0"/>
    <w:rsid w:val="005F25C5"/>
    <w:rsid w:val="00604966"/>
    <w:rsid w:val="006050EE"/>
    <w:rsid w:val="006117D0"/>
    <w:rsid w:val="006154E9"/>
    <w:rsid w:val="0063649C"/>
    <w:rsid w:val="00654EB9"/>
    <w:rsid w:val="00663546"/>
    <w:rsid w:val="006651ED"/>
    <w:rsid w:val="0067289C"/>
    <w:rsid w:val="00680C9A"/>
    <w:rsid w:val="00695ABA"/>
    <w:rsid w:val="006B5F28"/>
    <w:rsid w:val="006F4E29"/>
    <w:rsid w:val="006F502D"/>
    <w:rsid w:val="00730588"/>
    <w:rsid w:val="007377C7"/>
    <w:rsid w:val="007523A8"/>
    <w:rsid w:val="007670CB"/>
    <w:rsid w:val="007A3DAF"/>
    <w:rsid w:val="007A4C22"/>
    <w:rsid w:val="007D1FD1"/>
    <w:rsid w:val="007F6D57"/>
    <w:rsid w:val="008039FB"/>
    <w:rsid w:val="00813DF7"/>
    <w:rsid w:val="00817119"/>
    <w:rsid w:val="00820D5C"/>
    <w:rsid w:val="0084677F"/>
    <w:rsid w:val="008556CF"/>
    <w:rsid w:val="00855C0C"/>
    <w:rsid w:val="008659F0"/>
    <w:rsid w:val="00880520"/>
    <w:rsid w:val="00886085"/>
    <w:rsid w:val="00895BC5"/>
    <w:rsid w:val="008B0A4D"/>
    <w:rsid w:val="008B6D6F"/>
    <w:rsid w:val="008C5514"/>
    <w:rsid w:val="008D3656"/>
    <w:rsid w:val="008F1931"/>
    <w:rsid w:val="008F19DB"/>
    <w:rsid w:val="009006F3"/>
    <w:rsid w:val="00907428"/>
    <w:rsid w:val="0092516B"/>
    <w:rsid w:val="00934E15"/>
    <w:rsid w:val="009565A5"/>
    <w:rsid w:val="00957893"/>
    <w:rsid w:val="009679CB"/>
    <w:rsid w:val="009771ED"/>
    <w:rsid w:val="00985E0F"/>
    <w:rsid w:val="009873EE"/>
    <w:rsid w:val="009972C7"/>
    <w:rsid w:val="00997434"/>
    <w:rsid w:val="009A2A4A"/>
    <w:rsid w:val="009A50A9"/>
    <w:rsid w:val="009A6704"/>
    <w:rsid w:val="009B440E"/>
    <w:rsid w:val="009C2D2B"/>
    <w:rsid w:val="009D24FC"/>
    <w:rsid w:val="009E1125"/>
    <w:rsid w:val="009E1C95"/>
    <w:rsid w:val="009E45E8"/>
    <w:rsid w:val="00A00714"/>
    <w:rsid w:val="00A026D9"/>
    <w:rsid w:val="00A0380C"/>
    <w:rsid w:val="00A22C95"/>
    <w:rsid w:val="00A22F50"/>
    <w:rsid w:val="00A236C7"/>
    <w:rsid w:val="00A31074"/>
    <w:rsid w:val="00A445E9"/>
    <w:rsid w:val="00A765D1"/>
    <w:rsid w:val="00A77DC6"/>
    <w:rsid w:val="00A86167"/>
    <w:rsid w:val="00AC0596"/>
    <w:rsid w:val="00AC0972"/>
    <w:rsid w:val="00AC4010"/>
    <w:rsid w:val="00AD03A3"/>
    <w:rsid w:val="00AD79F9"/>
    <w:rsid w:val="00B14314"/>
    <w:rsid w:val="00B259D4"/>
    <w:rsid w:val="00B348D0"/>
    <w:rsid w:val="00B35F7A"/>
    <w:rsid w:val="00B36409"/>
    <w:rsid w:val="00B62603"/>
    <w:rsid w:val="00B72F52"/>
    <w:rsid w:val="00B758BE"/>
    <w:rsid w:val="00B8223B"/>
    <w:rsid w:val="00B85DED"/>
    <w:rsid w:val="00B913B7"/>
    <w:rsid w:val="00B9225B"/>
    <w:rsid w:val="00B939A8"/>
    <w:rsid w:val="00B97682"/>
    <w:rsid w:val="00BA4E02"/>
    <w:rsid w:val="00BD5AD9"/>
    <w:rsid w:val="00BF1544"/>
    <w:rsid w:val="00C00851"/>
    <w:rsid w:val="00C03BE4"/>
    <w:rsid w:val="00C03C4F"/>
    <w:rsid w:val="00C15D4E"/>
    <w:rsid w:val="00C467AC"/>
    <w:rsid w:val="00C52B09"/>
    <w:rsid w:val="00C52F02"/>
    <w:rsid w:val="00C5391B"/>
    <w:rsid w:val="00C736B7"/>
    <w:rsid w:val="00C85A73"/>
    <w:rsid w:val="00C8776B"/>
    <w:rsid w:val="00C90BEC"/>
    <w:rsid w:val="00C945E6"/>
    <w:rsid w:val="00CB4FA1"/>
    <w:rsid w:val="00CC54ED"/>
    <w:rsid w:val="00CE1015"/>
    <w:rsid w:val="00CE43E7"/>
    <w:rsid w:val="00CE7D95"/>
    <w:rsid w:val="00CF5A28"/>
    <w:rsid w:val="00D04371"/>
    <w:rsid w:val="00D0596C"/>
    <w:rsid w:val="00D268D4"/>
    <w:rsid w:val="00D445AF"/>
    <w:rsid w:val="00D515CE"/>
    <w:rsid w:val="00D71FA9"/>
    <w:rsid w:val="00DC1412"/>
    <w:rsid w:val="00DF0B2C"/>
    <w:rsid w:val="00DF0E0A"/>
    <w:rsid w:val="00DF177E"/>
    <w:rsid w:val="00DF1F78"/>
    <w:rsid w:val="00DF5039"/>
    <w:rsid w:val="00E03536"/>
    <w:rsid w:val="00E06327"/>
    <w:rsid w:val="00E20257"/>
    <w:rsid w:val="00E22207"/>
    <w:rsid w:val="00E249D6"/>
    <w:rsid w:val="00E30521"/>
    <w:rsid w:val="00E36BF1"/>
    <w:rsid w:val="00E40B3B"/>
    <w:rsid w:val="00E564EE"/>
    <w:rsid w:val="00E676C3"/>
    <w:rsid w:val="00E7568A"/>
    <w:rsid w:val="00E81C27"/>
    <w:rsid w:val="00E95DBE"/>
    <w:rsid w:val="00EA1AD6"/>
    <w:rsid w:val="00EC019E"/>
    <w:rsid w:val="00ED2D72"/>
    <w:rsid w:val="00ED5896"/>
    <w:rsid w:val="00F07700"/>
    <w:rsid w:val="00F15B21"/>
    <w:rsid w:val="00F2098B"/>
    <w:rsid w:val="00F20C88"/>
    <w:rsid w:val="00F35E9A"/>
    <w:rsid w:val="00F40750"/>
    <w:rsid w:val="00F564D6"/>
    <w:rsid w:val="00F60833"/>
    <w:rsid w:val="00F627F3"/>
    <w:rsid w:val="00F72547"/>
    <w:rsid w:val="00F87284"/>
    <w:rsid w:val="00F9744F"/>
    <w:rsid w:val="00FA415C"/>
    <w:rsid w:val="00FA5EB1"/>
    <w:rsid w:val="00FB2B1D"/>
    <w:rsid w:val="00FB317E"/>
    <w:rsid w:val="00FB62AA"/>
    <w:rsid w:val="00FC1C79"/>
    <w:rsid w:val="00FC343B"/>
    <w:rsid w:val="00FD39C0"/>
    <w:rsid w:val="00FE74D9"/>
    <w:rsid w:val="00FF3A6E"/>
    <w:rsid w:val="01C347BA"/>
    <w:rsid w:val="061165F0"/>
    <w:rsid w:val="075A6B02"/>
    <w:rsid w:val="076F15B7"/>
    <w:rsid w:val="085B3CC8"/>
    <w:rsid w:val="0C9B3D38"/>
    <w:rsid w:val="0CFE397C"/>
    <w:rsid w:val="0F7947AC"/>
    <w:rsid w:val="10714C24"/>
    <w:rsid w:val="131658ED"/>
    <w:rsid w:val="14C26638"/>
    <w:rsid w:val="14E16FC4"/>
    <w:rsid w:val="183124A5"/>
    <w:rsid w:val="186B1C52"/>
    <w:rsid w:val="1C1C76D8"/>
    <w:rsid w:val="1DF75120"/>
    <w:rsid w:val="2042195B"/>
    <w:rsid w:val="20563753"/>
    <w:rsid w:val="22E82E33"/>
    <w:rsid w:val="23D656F1"/>
    <w:rsid w:val="242E14D2"/>
    <w:rsid w:val="25125311"/>
    <w:rsid w:val="28650375"/>
    <w:rsid w:val="2B605322"/>
    <w:rsid w:val="2D823E72"/>
    <w:rsid w:val="2DAB21B9"/>
    <w:rsid w:val="2FEC7E92"/>
    <w:rsid w:val="3136160D"/>
    <w:rsid w:val="31A007D6"/>
    <w:rsid w:val="35127E80"/>
    <w:rsid w:val="37826455"/>
    <w:rsid w:val="38894BCD"/>
    <w:rsid w:val="3C853843"/>
    <w:rsid w:val="3F3F35E6"/>
    <w:rsid w:val="46281130"/>
    <w:rsid w:val="46D226F3"/>
    <w:rsid w:val="491B5ED3"/>
    <w:rsid w:val="49777AB0"/>
    <w:rsid w:val="4B3B7FB4"/>
    <w:rsid w:val="4E561AC0"/>
    <w:rsid w:val="53C06B21"/>
    <w:rsid w:val="543D0CD0"/>
    <w:rsid w:val="545E68EB"/>
    <w:rsid w:val="54F46459"/>
    <w:rsid w:val="56B65B12"/>
    <w:rsid w:val="57C540DC"/>
    <w:rsid w:val="5F464C32"/>
    <w:rsid w:val="5FAC0FC5"/>
    <w:rsid w:val="639A01CB"/>
    <w:rsid w:val="69127F39"/>
    <w:rsid w:val="6D8D3903"/>
    <w:rsid w:val="74402462"/>
    <w:rsid w:val="769A36D3"/>
    <w:rsid w:val="77E72419"/>
    <w:rsid w:val="7E5A61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1"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lsdException w:name="footer" w:semiHidden="0"/>
    <w:lsdException w:name="caption" w:uiPriority="35"/>
    <w:lsdException w:name="annotation reference" w:semiHidden="0" w:unhideWhenUsed="0"/>
    <w:lsdException w:name="toa heading" w:semiHidden="0" w:unhideWhenUsed="0"/>
    <w:lsdException w:name="List Number" w:semiHidden="0" w:unhideWhenUsed="0"/>
    <w:lsdException w:name="List 2" w:semiHidden="0" w:unhideWhenUsed="0"/>
    <w:lsdException w:name="Title" w:semiHidden="0" w:uiPriority="10" w:unhideWhenUsed="0"/>
    <w:lsdException w:name="Default Paragraph Font" w:uiPriority="1" w:qFormat="0"/>
    <w:lsdException w:name="List Continue 4" w:semiHidden="0" w:unhideWhenUsed="0"/>
    <w:lsdException w:name="List Continue 5" w:semiHidden="0" w:unhideWhenUsed="0"/>
    <w:lsdException w:name="Message Header" w:semiHidden="0" w:unhideWhenUsed="0"/>
    <w:lsdException w:name="Subtitle" w:semiHidden="0" w:uiPriority="11" w:unhideWhenUsed="0"/>
    <w:lsdException w:name="Strong" w:semiHidden="0" w:uiPriority="22" w:unhideWhenUsed="0"/>
    <w:lsdException w:name="Emphasis" w:semiHidden="0" w:uiPriority="20" w:unhideWhenUsed="0"/>
    <w:lsdException w:name="HTML Top of Form" w:qFormat="0"/>
    <w:lsdException w:name="HTML Bottom of Form" w:qFormat="0"/>
    <w:lsdException w:name="annotation subject" w:semiHidden="0" w:unhideWhenUsed="0"/>
    <w:lsdException w:name="No List" w:qFormat="0"/>
    <w:lsdException w:name="Outline List 1" w:qFormat="0"/>
    <w:lsdException w:name="Outline List 2" w:qFormat="0"/>
    <w:lsdException w:name="Outline List 3" w:qFormat="0"/>
    <w:lsdException w:name="Balloon Text" w:semiHidden="0" w:unhideWhenUsed="0"/>
    <w:lsdException w:name="Table Grid" w:semiHidden="0" w:uiPriority="59"/>
    <w:lsdException w:name="Placeholder Text" w:qFormat="0"/>
    <w:lsdException w:name="No Spacing" w:qFormat="0"/>
    <w:lsdException w:name="Light Shading" w:semiHidden="0" w:uiPriority="60" w:unhideWhenUsed="0" w:qFormat="0"/>
    <w:lsdException w:name="Light List" w:semiHidden="0" w:uiPriority="61" w:unhideWhenUsed="0" w:qFormat="0"/>
    <w:lsdException w:name="Light Grid" w:semiHidden="0" w:uiPriority="62" w:unhideWhenUsed="0" w:qFormat="0"/>
    <w:lsdException w:name="Medium Shading 1" w:semiHidden="0" w:uiPriority="63" w:unhideWhenUsed="0" w:qFormat="0"/>
    <w:lsdException w:name="Medium Shading 2" w:semiHidden="0" w:uiPriority="64" w:unhideWhenUsed="0" w:qFormat="0"/>
    <w:lsdException w:name="Medium List 1" w:semiHidden="0" w:uiPriority="65" w:unhideWhenUsed="0" w:qFormat="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qFormat="0"/>
    <w:lsdException w:name="Colorful List" w:semiHidden="0" w:uiPriority="72" w:unhideWhenUsed="0" w:qFormat="0"/>
    <w:lsdException w:name="Colorful Grid" w:semiHidden="0" w:uiPriority="73" w:unhideWhenUsed="0" w:qFormat="0"/>
    <w:lsdException w:name="Light Shading Accent 1" w:semiHidden="0" w:uiPriority="60" w:unhideWhenUsed="0" w:qFormat="0"/>
    <w:lsdException w:name="Light List Accent 1" w:semiHidden="0" w:uiPriority="61" w:unhideWhenUsed="0" w:qFormat="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qFormat="0"/>
    <w:lsdException w:name="List Paragraph" w:semiHidden="0" w:unhideWhenUsed="0"/>
    <w:lsdException w:name="Quote" w:qFormat="0"/>
    <w:lsdException w:name="Intense Quote" w:qFormat="0"/>
    <w:lsdException w:name="Medium List 2 Accent 1" w:semiHidden="0" w:uiPriority="66" w:unhideWhenUsed="0" w:qFormat="0"/>
    <w:lsdException w:name="Medium Grid 1 Accent 1" w:semiHidden="0" w:uiPriority="67" w:unhideWhenUsed="0" w:qFormat="0"/>
    <w:lsdException w:name="Medium Grid 2 Accent 1" w:semiHidden="0" w:uiPriority="68" w:unhideWhenUsed="0" w:qFormat="0"/>
    <w:lsdException w:name="Medium Grid 3 Accent 1" w:semiHidden="0" w:uiPriority="69" w:unhideWhenUsed="0" w:qFormat="0"/>
    <w:lsdException w:name="Dark List Accent 1" w:semiHidden="0" w:uiPriority="70" w:unhideWhenUsed="0" w:qFormat="0"/>
    <w:lsdException w:name="Colorful Shading Accent 1" w:semiHidden="0" w:uiPriority="71" w:unhideWhenUsed="0" w:qFormat="0"/>
    <w:lsdException w:name="Colorful List Accent 1" w:semiHidden="0" w:uiPriority="72" w:unhideWhenUsed="0" w:qFormat="0"/>
    <w:lsdException w:name="Colorful Grid Accent 1" w:semiHidden="0" w:uiPriority="73" w:unhideWhenUsed="0" w:qFormat="0"/>
    <w:lsdException w:name="Light Shading Accent 2" w:semiHidden="0" w:uiPriority="60" w:unhideWhenUsed="0" w:qFormat="0"/>
    <w:lsdException w:name="Light List Accent 2" w:semiHidden="0" w:uiPriority="61" w:unhideWhenUsed="0" w:qFormat="0"/>
    <w:lsdException w:name="Light Grid Accent 2" w:semiHidden="0" w:uiPriority="62" w:unhideWhenUsed="0" w:qFormat="0"/>
    <w:lsdException w:name="Medium Shading 1 Accent 2" w:semiHidden="0" w:uiPriority="63" w:unhideWhenUsed="0" w:qFormat="0"/>
    <w:lsdException w:name="Medium Shading 2 Accent 2" w:semiHidden="0" w:uiPriority="64" w:unhideWhenUsed="0" w:qFormat="0"/>
    <w:lsdException w:name="Medium List 1 Accent 2" w:semiHidden="0" w:uiPriority="65" w:unhideWhenUsed="0" w:qFormat="0"/>
    <w:lsdException w:name="Medium List 2 Accent 2" w:semiHidden="0" w:uiPriority="66" w:unhideWhenUsed="0" w:qFormat="0"/>
    <w:lsdException w:name="Medium Grid 1 Accent 2" w:semiHidden="0" w:uiPriority="67" w:unhideWhenUsed="0" w:qFormat="0"/>
    <w:lsdException w:name="Medium Grid 2 Accent 2" w:semiHidden="0" w:uiPriority="68" w:unhideWhenUsed="0" w:qFormat="0"/>
    <w:lsdException w:name="Medium Grid 3 Accent 2" w:semiHidden="0" w:uiPriority="69" w:unhideWhenUsed="0" w:qFormat="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qFormat="0"/>
    <w:lsdException w:name="Colorful Grid Accent 2" w:semiHidden="0" w:uiPriority="73" w:unhideWhenUsed="0" w:qFormat="0"/>
    <w:lsdException w:name="Light Shading Accent 3" w:semiHidden="0" w:uiPriority="60" w:unhideWhenUsed="0" w:qFormat="0"/>
    <w:lsdException w:name="Light List Accent 3" w:semiHidden="0" w:uiPriority="61" w:unhideWhenUsed="0" w:qFormat="0"/>
    <w:lsdException w:name="Light Grid Accent 3" w:semiHidden="0" w:uiPriority="62" w:unhideWhenUsed="0" w:qFormat="0"/>
    <w:lsdException w:name="Medium Shading 1 Accent 3" w:semiHidden="0" w:uiPriority="63" w:unhideWhenUsed="0" w:qFormat="0"/>
    <w:lsdException w:name="Medium Shading 2 Accent 3" w:semiHidden="0" w:uiPriority="64" w:unhideWhenUsed="0" w:qFormat="0"/>
    <w:lsdException w:name="Medium List 1 Accent 3" w:semiHidden="0" w:uiPriority="65" w:unhideWhenUsed="0" w:qFormat="0"/>
    <w:lsdException w:name="Medium List 2 Accent 3" w:semiHidden="0" w:uiPriority="66" w:unhideWhenUsed="0" w:qFormat="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qFormat="0"/>
    <w:lsdException w:name="Dark List Accent 3" w:semiHidden="0" w:uiPriority="70" w:unhideWhenUsed="0" w:qFormat="0"/>
    <w:lsdException w:name="Colorful Shading Accent 3" w:semiHidden="0" w:uiPriority="71" w:unhideWhenUsed="0" w:qFormat="0"/>
    <w:lsdException w:name="Colorful List Accent 3" w:semiHidden="0" w:uiPriority="72" w:unhideWhenUsed="0" w:qFormat="0"/>
    <w:lsdException w:name="Colorful Grid Accent 3" w:semiHidden="0" w:uiPriority="73" w:unhideWhenUsed="0" w:qFormat="0"/>
    <w:lsdException w:name="Light Shading Accent 4" w:semiHidden="0" w:uiPriority="60" w:unhideWhenUsed="0" w:qFormat="0"/>
    <w:lsdException w:name="Light List Accent 4" w:semiHidden="0" w:uiPriority="61" w:unhideWhenUsed="0" w:qFormat="0"/>
    <w:lsdException w:name="Light Grid Accent 4" w:semiHidden="0" w:uiPriority="62" w:unhideWhenUsed="0" w:qFormat="0"/>
    <w:lsdException w:name="Medium Shading 1 Accent 4" w:semiHidden="0" w:uiPriority="63" w:unhideWhenUsed="0" w:qFormat="0"/>
    <w:lsdException w:name="Medium Shading 2 Accent 4" w:semiHidden="0" w:uiPriority="64" w:unhideWhenUsed="0" w:qFormat="0"/>
    <w:lsdException w:name="Medium List 1 Accent 4" w:semiHidden="0" w:uiPriority="65" w:unhideWhenUsed="0" w:qFormat="0"/>
    <w:lsdException w:name="Medium List 2 Accent 4" w:semiHidden="0" w:uiPriority="66" w:unhideWhenUsed="0" w:qFormat="0"/>
    <w:lsdException w:name="Medium Grid 1 Accent 4" w:semiHidden="0" w:uiPriority="67" w:unhideWhenUsed="0" w:qFormat="0"/>
    <w:lsdException w:name="Medium Grid 2 Accent 4" w:semiHidden="0" w:uiPriority="68" w:unhideWhenUsed="0" w:qFormat="0"/>
    <w:lsdException w:name="Medium Grid 3 Accent 4" w:semiHidden="0" w:uiPriority="69" w:unhideWhenUsed="0" w:qFormat="0"/>
    <w:lsdException w:name="Dark List Accent 4" w:semiHidden="0" w:uiPriority="70" w:unhideWhenUsed="0" w:qFormat="0"/>
    <w:lsdException w:name="Colorful Shading Accent 4" w:semiHidden="0" w:uiPriority="71" w:unhideWhenUsed="0" w:qFormat="0"/>
    <w:lsdException w:name="Colorful List Accent 4" w:semiHidden="0" w:uiPriority="72" w:unhideWhenUsed="0" w:qFormat="0"/>
    <w:lsdException w:name="Colorful Grid Accent 4" w:semiHidden="0" w:uiPriority="73" w:unhideWhenUsed="0" w:qFormat="0"/>
    <w:lsdException w:name="Light Shading Accent 5" w:semiHidden="0" w:uiPriority="60" w:unhideWhenUsed="0" w:qFormat="0"/>
    <w:lsdException w:name="Light List Accent 5" w:semiHidden="0" w:uiPriority="61" w:unhideWhenUsed="0" w:qFormat="0"/>
    <w:lsdException w:name="Light Grid Accent 5" w:semiHidden="0" w:uiPriority="62" w:unhideWhenUsed="0" w:qFormat="0"/>
    <w:lsdException w:name="Medium Shading 1 Accent 5" w:semiHidden="0" w:uiPriority="63" w:unhideWhenUsed="0" w:qFormat="0"/>
    <w:lsdException w:name="Medium Shading 2 Accent 5" w:semiHidden="0" w:uiPriority="64" w:unhideWhenUsed="0" w:qFormat="0"/>
    <w:lsdException w:name="Medium List 1 Accent 5" w:semiHidden="0" w:uiPriority="65" w:unhideWhenUsed="0" w:qFormat="0"/>
    <w:lsdException w:name="Medium List 2 Accent 5" w:semiHidden="0" w:uiPriority="66" w:unhideWhenUsed="0" w:qFormat="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qFormat="0"/>
    <w:lsdException w:name="Colorful Shading Accent 5" w:semiHidden="0" w:uiPriority="71" w:unhideWhenUsed="0" w:qFormat="0"/>
    <w:lsdException w:name="Colorful List Accent 5" w:semiHidden="0" w:uiPriority="72" w:unhideWhenUsed="0" w:qFormat="0"/>
    <w:lsdException w:name="Colorful Grid Accent 5" w:semiHidden="0" w:uiPriority="73" w:unhideWhenUsed="0" w:qFormat="0"/>
    <w:lsdException w:name="Light Shading Accent 6" w:semiHidden="0" w:uiPriority="60" w:unhideWhenUsed="0" w:qFormat="0"/>
    <w:lsdException w:name="Light List Accent 6" w:semiHidden="0" w:uiPriority="61" w:unhideWhenUsed="0" w:qFormat="0"/>
    <w:lsdException w:name="Light Grid Accent 6" w:semiHidden="0" w:uiPriority="62" w:unhideWhenUsed="0" w:qFormat="0"/>
    <w:lsdException w:name="Medium Shading 1 Accent 6" w:semiHidden="0" w:uiPriority="63" w:unhideWhenUsed="0" w:qFormat="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qFormat="0"/>
    <w:lsdException w:name="Medium Grid 2 Accent 6" w:semiHidden="0" w:uiPriority="68" w:unhideWhenUsed="0" w:qFormat="0"/>
    <w:lsdException w:name="Medium Grid 3 Accent 6" w:semiHidden="0" w:uiPriority="69" w:unhideWhenUsed="0" w:qFormat="0"/>
    <w:lsdException w:name="Dark List Accent 6" w:semiHidden="0" w:uiPriority="70" w:unhideWhenUsed="0" w:qFormat="0"/>
    <w:lsdException w:name="Colorful Shading Accent 6" w:semiHidden="0" w:uiPriority="71" w:unhideWhenUsed="0" w:qFormat="0"/>
    <w:lsdException w:name="Colorful List Accent 6" w:semiHidden="0" w:uiPriority="72" w:unhideWhenUsed="0" w:qFormat="0"/>
    <w:lsdException w:name="Colorful Grid Accent 6" w:semiHidden="0" w:uiPriority="73" w:unhideWhenUsed="0" w:qFormat="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a">
    <w:name w:val="Normal"/>
    <w:qFormat/>
    <w:rsid w:val="00CC54ED"/>
    <w:pPr>
      <w:widowControl w:val="0"/>
      <w:jc w:val="both"/>
    </w:pPr>
    <w:rPr>
      <w:rFonts w:ascii="Calibri" w:hAnsi="Calibri"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CC54ED"/>
    <w:pPr>
      <w:jc w:val="left"/>
    </w:pPr>
  </w:style>
  <w:style w:type="paragraph" w:styleId="a4">
    <w:name w:val="Date"/>
    <w:basedOn w:val="a"/>
    <w:next w:val="a"/>
    <w:link w:val="Char0"/>
    <w:uiPriority w:val="99"/>
    <w:semiHidden/>
    <w:unhideWhenUsed/>
    <w:qFormat/>
    <w:rsid w:val="00CC54ED"/>
    <w:pPr>
      <w:ind w:leftChars="2500" w:left="100"/>
    </w:pPr>
  </w:style>
  <w:style w:type="paragraph" w:styleId="a5">
    <w:name w:val="Balloon Text"/>
    <w:basedOn w:val="a"/>
    <w:link w:val="Char1"/>
    <w:uiPriority w:val="99"/>
    <w:qFormat/>
    <w:rsid w:val="00CC54ED"/>
    <w:rPr>
      <w:sz w:val="18"/>
      <w:szCs w:val="18"/>
    </w:rPr>
  </w:style>
  <w:style w:type="paragraph" w:styleId="a6">
    <w:name w:val="footer"/>
    <w:basedOn w:val="a"/>
    <w:link w:val="Char5"/>
    <w:uiPriority w:val="99"/>
    <w:unhideWhenUsed/>
    <w:qFormat/>
    <w:rsid w:val="00CC54ED"/>
    <w:pPr>
      <w:tabs>
        <w:tab w:val="center" w:pos="4153"/>
        <w:tab w:val="right" w:pos="8306"/>
      </w:tabs>
      <w:snapToGrid w:val="0"/>
      <w:jc w:val="left"/>
    </w:pPr>
    <w:rPr>
      <w:sz w:val="18"/>
      <w:szCs w:val="18"/>
    </w:rPr>
  </w:style>
  <w:style w:type="paragraph" w:styleId="a7">
    <w:name w:val="header"/>
    <w:basedOn w:val="a"/>
    <w:link w:val="Char50"/>
    <w:uiPriority w:val="99"/>
    <w:unhideWhenUsed/>
    <w:qFormat/>
    <w:rsid w:val="00CC54ED"/>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2"/>
    <w:uiPriority w:val="99"/>
    <w:qFormat/>
    <w:rsid w:val="00CC54ED"/>
    <w:rPr>
      <w:b/>
      <w:bCs/>
    </w:rPr>
  </w:style>
  <w:style w:type="table" w:styleId="a9">
    <w:name w:val="Table Grid"/>
    <w:basedOn w:val="a1"/>
    <w:uiPriority w:val="59"/>
    <w:unhideWhenUsed/>
    <w:qFormat/>
    <w:rsid w:val="00CC54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sid w:val="00CC54ED"/>
    <w:rPr>
      <w:i/>
      <w:iCs/>
    </w:rPr>
  </w:style>
  <w:style w:type="character" w:styleId="ab">
    <w:name w:val="annotation reference"/>
    <w:basedOn w:val="a0"/>
    <w:uiPriority w:val="99"/>
    <w:qFormat/>
    <w:rsid w:val="00CC54ED"/>
    <w:rPr>
      <w:rFonts w:cs="Times New Roman"/>
      <w:sz w:val="21"/>
      <w:szCs w:val="21"/>
    </w:rPr>
  </w:style>
  <w:style w:type="character" w:customStyle="1" w:styleId="Char50">
    <w:name w:val="页眉 Char5"/>
    <w:basedOn w:val="a0"/>
    <w:link w:val="a7"/>
    <w:uiPriority w:val="99"/>
    <w:unhideWhenUsed/>
    <w:qFormat/>
    <w:locked/>
    <w:rsid w:val="00CC54ED"/>
    <w:rPr>
      <w:rFonts w:cs="Times New Roman"/>
      <w:sz w:val="18"/>
      <w:szCs w:val="18"/>
    </w:rPr>
  </w:style>
  <w:style w:type="character" w:customStyle="1" w:styleId="Char5">
    <w:name w:val="页脚 Char5"/>
    <w:basedOn w:val="a0"/>
    <w:link w:val="a6"/>
    <w:uiPriority w:val="99"/>
    <w:unhideWhenUsed/>
    <w:qFormat/>
    <w:locked/>
    <w:rsid w:val="00CC54ED"/>
    <w:rPr>
      <w:rFonts w:cs="Times New Roman"/>
      <w:sz w:val="18"/>
      <w:szCs w:val="18"/>
    </w:rPr>
  </w:style>
  <w:style w:type="character" w:customStyle="1" w:styleId="Char3">
    <w:name w:val="页脚 Char"/>
    <w:basedOn w:val="a0"/>
    <w:uiPriority w:val="99"/>
    <w:semiHidden/>
    <w:qFormat/>
    <w:rsid w:val="00CC54ED"/>
    <w:rPr>
      <w:rFonts w:ascii="Calibri" w:hAnsi="Calibri" w:cs="宋体"/>
      <w:sz w:val="18"/>
      <w:szCs w:val="18"/>
    </w:rPr>
  </w:style>
  <w:style w:type="character" w:customStyle="1" w:styleId="ac">
    <w:name w:val="页脚 字符"/>
    <w:basedOn w:val="a0"/>
    <w:uiPriority w:val="99"/>
    <w:semiHidden/>
    <w:qFormat/>
    <w:rsid w:val="00CC54ED"/>
    <w:rPr>
      <w:rFonts w:ascii="Calibri" w:hAnsi="Calibri" w:cs="宋体"/>
      <w:sz w:val="18"/>
      <w:szCs w:val="18"/>
    </w:rPr>
  </w:style>
  <w:style w:type="character" w:customStyle="1" w:styleId="Char20">
    <w:name w:val="页脚 Char2"/>
    <w:basedOn w:val="a0"/>
    <w:uiPriority w:val="99"/>
    <w:semiHidden/>
    <w:qFormat/>
    <w:rsid w:val="00CC54ED"/>
    <w:rPr>
      <w:rFonts w:ascii="Calibri" w:hAnsi="Calibri" w:cs="宋体"/>
      <w:sz w:val="18"/>
      <w:szCs w:val="18"/>
    </w:rPr>
  </w:style>
  <w:style w:type="character" w:customStyle="1" w:styleId="Char4">
    <w:name w:val="页脚 Char4"/>
    <w:basedOn w:val="a0"/>
    <w:uiPriority w:val="99"/>
    <w:semiHidden/>
    <w:qFormat/>
    <w:rsid w:val="00CC54ED"/>
    <w:rPr>
      <w:rFonts w:ascii="Calibri" w:hAnsi="Calibri" w:cs="宋体"/>
      <w:sz w:val="18"/>
      <w:szCs w:val="18"/>
    </w:rPr>
  </w:style>
  <w:style w:type="character" w:customStyle="1" w:styleId="Char30">
    <w:name w:val="页脚 Char3"/>
    <w:basedOn w:val="a0"/>
    <w:uiPriority w:val="99"/>
    <w:semiHidden/>
    <w:qFormat/>
    <w:rsid w:val="00CC54ED"/>
    <w:rPr>
      <w:rFonts w:ascii="Calibri" w:hAnsi="Calibri" w:cs="宋体"/>
      <w:sz w:val="18"/>
      <w:szCs w:val="18"/>
    </w:rPr>
  </w:style>
  <w:style w:type="character" w:customStyle="1" w:styleId="1">
    <w:name w:val="页脚 字符1"/>
    <w:basedOn w:val="a0"/>
    <w:uiPriority w:val="99"/>
    <w:semiHidden/>
    <w:qFormat/>
    <w:rsid w:val="00CC54ED"/>
    <w:rPr>
      <w:rFonts w:ascii="Calibri" w:hAnsi="Calibri" w:cs="宋体"/>
      <w:sz w:val="18"/>
      <w:szCs w:val="18"/>
    </w:rPr>
  </w:style>
  <w:style w:type="character" w:customStyle="1" w:styleId="Char10">
    <w:name w:val="页脚 Char1"/>
    <w:basedOn w:val="a0"/>
    <w:uiPriority w:val="99"/>
    <w:semiHidden/>
    <w:qFormat/>
    <w:rsid w:val="00CC54ED"/>
    <w:rPr>
      <w:rFonts w:ascii="Calibri" w:hAnsi="Calibri" w:cs="宋体"/>
      <w:sz w:val="18"/>
      <w:szCs w:val="18"/>
    </w:rPr>
  </w:style>
  <w:style w:type="character" w:customStyle="1" w:styleId="Char11">
    <w:name w:val="页脚 Char11"/>
    <w:basedOn w:val="a0"/>
    <w:uiPriority w:val="99"/>
    <w:semiHidden/>
    <w:qFormat/>
    <w:rsid w:val="00CC54ED"/>
    <w:rPr>
      <w:rFonts w:ascii="Calibri" w:hAnsi="Calibri" w:cs="宋体"/>
      <w:sz w:val="18"/>
      <w:szCs w:val="18"/>
    </w:rPr>
  </w:style>
  <w:style w:type="character" w:customStyle="1" w:styleId="Char6">
    <w:name w:val="页眉 Char"/>
    <w:basedOn w:val="a0"/>
    <w:uiPriority w:val="99"/>
    <w:semiHidden/>
    <w:qFormat/>
    <w:rsid w:val="00CC54ED"/>
    <w:rPr>
      <w:rFonts w:ascii="Calibri" w:hAnsi="Calibri" w:cs="宋体"/>
      <w:sz w:val="18"/>
      <w:szCs w:val="18"/>
    </w:rPr>
  </w:style>
  <w:style w:type="character" w:customStyle="1" w:styleId="ad">
    <w:name w:val="页眉 字符"/>
    <w:basedOn w:val="a0"/>
    <w:uiPriority w:val="99"/>
    <w:semiHidden/>
    <w:qFormat/>
    <w:rsid w:val="00CC54ED"/>
    <w:rPr>
      <w:rFonts w:ascii="Calibri" w:hAnsi="Calibri" w:cs="宋体"/>
      <w:sz w:val="18"/>
      <w:szCs w:val="18"/>
    </w:rPr>
  </w:style>
  <w:style w:type="character" w:customStyle="1" w:styleId="Char21">
    <w:name w:val="页眉 Char2"/>
    <w:basedOn w:val="a0"/>
    <w:uiPriority w:val="99"/>
    <w:semiHidden/>
    <w:qFormat/>
    <w:rsid w:val="00CC54ED"/>
    <w:rPr>
      <w:rFonts w:ascii="Calibri" w:hAnsi="Calibri" w:cs="宋体"/>
      <w:sz w:val="18"/>
      <w:szCs w:val="18"/>
    </w:rPr>
  </w:style>
  <w:style w:type="character" w:customStyle="1" w:styleId="Char40">
    <w:name w:val="页眉 Char4"/>
    <w:basedOn w:val="a0"/>
    <w:uiPriority w:val="99"/>
    <w:semiHidden/>
    <w:qFormat/>
    <w:rsid w:val="00CC54ED"/>
    <w:rPr>
      <w:rFonts w:ascii="Calibri" w:hAnsi="Calibri" w:cs="宋体"/>
      <w:sz w:val="18"/>
      <w:szCs w:val="18"/>
    </w:rPr>
  </w:style>
  <w:style w:type="character" w:customStyle="1" w:styleId="Char31">
    <w:name w:val="页眉 Char3"/>
    <w:basedOn w:val="a0"/>
    <w:uiPriority w:val="99"/>
    <w:semiHidden/>
    <w:qFormat/>
    <w:rsid w:val="00CC54ED"/>
    <w:rPr>
      <w:rFonts w:ascii="Calibri" w:hAnsi="Calibri" w:cs="宋体"/>
      <w:sz w:val="18"/>
      <w:szCs w:val="18"/>
    </w:rPr>
  </w:style>
  <w:style w:type="character" w:customStyle="1" w:styleId="10">
    <w:name w:val="页眉 字符1"/>
    <w:basedOn w:val="a0"/>
    <w:uiPriority w:val="99"/>
    <w:semiHidden/>
    <w:qFormat/>
    <w:rsid w:val="00CC54ED"/>
    <w:rPr>
      <w:rFonts w:ascii="Calibri" w:hAnsi="Calibri" w:cs="宋体"/>
      <w:sz w:val="18"/>
      <w:szCs w:val="18"/>
    </w:rPr>
  </w:style>
  <w:style w:type="character" w:customStyle="1" w:styleId="Char12">
    <w:name w:val="页眉 Char1"/>
    <w:basedOn w:val="a0"/>
    <w:uiPriority w:val="99"/>
    <w:semiHidden/>
    <w:qFormat/>
    <w:rsid w:val="00CC54ED"/>
    <w:rPr>
      <w:rFonts w:ascii="Calibri" w:hAnsi="Calibri" w:cs="宋体"/>
      <w:sz w:val="18"/>
      <w:szCs w:val="18"/>
    </w:rPr>
  </w:style>
  <w:style w:type="character" w:customStyle="1" w:styleId="Char110">
    <w:name w:val="页眉 Char11"/>
    <w:basedOn w:val="a0"/>
    <w:uiPriority w:val="99"/>
    <w:semiHidden/>
    <w:qFormat/>
    <w:rsid w:val="00CC54ED"/>
    <w:rPr>
      <w:rFonts w:ascii="Calibri" w:hAnsi="Calibri" w:cs="宋体"/>
      <w:sz w:val="18"/>
      <w:szCs w:val="18"/>
    </w:rPr>
  </w:style>
  <w:style w:type="character" w:customStyle="1" w:styleId="Char2">
    <w:name w:val="批注主题 Char"/>
    <w:basedOn w:val="Char"/>
    <w:link w:val="a8"/>
    <w:uiPriority w:val="99"/>
    <w:qFormat/>
    <w:locked/>
    <w:rsid w:val="00CC54ED"/>
    <w:rPr>
      <w:rFonts w:ascii="Calibri" w:hAnsi="Calibri" w:cs="宋体"/>
      <w:b/>
      <w:bCs/>
      <w:sz w:val="21"/>
      <w:szCs w:val="21"/>
    </w:rPr>
  </w:style>
  <w:style w:type="character" w:customStyle="1" w:styleId="Char">
    <w:name w:val="批注文字 Char"/>
    <w:basedOn w:val="a0"/>
    <w:link w:val="a3"/>
    <w:uiPriority w:val="99"/>
    <w:qFormat/>
    <w:locked/>
    <w:rsid w:val="00CC54ED"/>
    <w:rPr>
      <w:rFonts w:ascii="Calibri" w:hAnsi="Calibri" w:cs="宋体"/>
      <w:sz w:val="21"/>
      <w:szCs w:val="21"/>
    </w:rPr>
  </w:style>
  <w:style w:type="character" w:customStyle="1" w:styleId="Char1">
    <w:name w:val="批注框文本 Char"/>
    <w:basedOn w:val="a0"/>
    <w:link w:val="a5"/>
    <w:uiPriority w:val="99"/>
    <w:qFormat/>
    <w:locked/>
    <w:rsid w:val="00CC54ED"/>
    <w:rPr>
      <w:rFonts w:ascii="Calibri" w:hAnsi="Calibri" w:cs="宋体"/>
      <w:sz w:val="18"/>
      <w:szCs w:val="18"/>
    </w:rPr>
  </w:style>
  <w:style w:type="paragraph" w:customStyle="1" w:styleId="11">
    <w:name w:val="列出段落1"/>
    <w:basedOn w:val="a"/>
    <w:uiPriority w:val="99"/>
    <w:qFormat/>
    <w:rsid w:val="00CC54ED"/>
    <w:pPr>
      <w:ind w:firstLineChars="200" w:firstLine="420"/>
    </w:pPr>
  </w:style>
  <w:style w:type="paragraph" w:styleId="ae">
    <w:name w:val="List Paragraph"/>
    <w:basedOn w:val="a"/>
    <w:uiPriority w:val="99"/>
    <w:qFormat/>
    <w:rsid w:val="00CC54ED"/>
    <w:pPr>
      <w:ind w:firstLineChars="200" w:firstLine="420"/>
    </w:pPr>
  </w:style>
  <w:style w:type="paragraph" w:customStyle="1" w:styleId="12">
    <w:name w:val="修订1"/>
    <w:hidden/>
    <w:uiPriority w:val="99"/>
    <w:semiHidden/>
    <w:qFormat/>
    <w:rsid w:val="00CC54ED"/>
    <w:rPr>
      <w:rFonts w:ascii="Calibri" w:hAnsi="Calibri" w:cs="宋体"/>
      <w:kern w:val="2"/>
      <w:sz w:val="21"/>
      <w:szCs w:val="21"/>
    </w:rPr>
  </w:style>
  <w:style w:type="paragraph" w:customStyle="1" w:styleId="2">
    <w:name w:val="修订2"/>
    <w:hidden/>
    <w:uiPriority w:val="99"/>
    <w:semiHidden/>
    <w:qFormat/>
    <w:rsid w:val="00CC54ED"/>
    <w:rPr>
      <w:rFonts w:ascii="Calibri" w:hAnsi="Calibri" w:cs="宋体"/>
      <w:kern w:val="2"/>
      <w:sz w:val="21"/>
      <w:szCs w:val="21"/>
    </w:rPr>
  </w:style>
  <w:style w:type="character" w:customStyle="1" w:styleId="Char0">
    <w:name w:val="日期 Char"/>
    <w:basedOn w:val="a0"/>
    <w:link w:val="a4"/>
    <w:uiPriority w:val="99"/>
    <w:semiHidden/>
    <w:qFormat/>
    <w:rsid w:val="00CC54ED"/>
    <w:rPr>
      <w:rFonts w:ascii="Calibri" w:hAnsi="Calibri" w:cs="宋体"/>
      <w:kern w:val="2"/>
      <w:sz w:val="21"/>
      <w:szCs w:val="21"/>
    </w:rPr>
  </w:style>
  <w:style w:type="paragraph" w:customStyle="1" w:styleId="3">
    <w:name w:val="修订3"/>
    <w:hidden/>
    <w:uiPriority w:val="99"/>
    <w:semiHidden/>
    <w:qFormat/>
    <w:rsid w:val="00CC54ED"/>
    <w:rPr>
      <w:rFonts w:ascii="Calibri" w:hAnsi="Calibri" w:cs="宋体"/>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1"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lsdException w:name="footer" w:semiHidden="0"/>
    <w:lsdException w:name="caption" w:uiPriority="35"/>
    <w:lsdException w:name="annotation reference" w:semiHidden="0" w:unhideWhenUsed="0"/>
    <w:lsdException w:name="toa heading" w:semiHidden="0" w:unhideWhenUsed="0"/>
    <w:lsdException w:name="List Number" w:semiHidden="0" w:unhideWhenUsed="0"/>
    <w:lsdException w:name="List 2" w:semiHidden="0" w:unhideWhenUsed="0"/>
    <w:lsdException w:name="Title" w:semiHidden="0" w:uiPriority="10" w:unhideWhenUsed="0"/>
    <w:lsdException w:name="Default Paragraph Font" w:uiPriority="1" w:qFormat="0"/>
    <w:lsdException w:name="List Continue 4" w:semiHidden="0" w:unhideWhenUsed="0"/>
    <w:lsdException w:name="List Continue 5" w:semiHidden="0" w:unhideWhenUsed="0"/>
    <w:lsdException w:name="Message Header" w:semiHidden="0" w:unhideWhenUsed="0"/>
    <w:lsdException w:name="Subtitle" w:semiHidden="0" w:uiPriority="11" w:unhideWhenUsed="0"/>
    <w:lsdException w:name="Strong" w:semiHidden="0" w:uiPriority="22" w:unhideWhenUsed="0"/>
    <w:lsdException w:name="Emphasis" w:semiHidden="0" w:uiPriority="20" w:unhideWhenUsed="0"/>
    <w:lsdException w:name="HTML Top of Form" w:qFormat="0"/>
    <w:lsdException w:name="HTML Bottom of Form" w:qFormat="0"/>
    <w:lsdException w:name="annotation subject" w:semiHidden="0" w:unhideWhenUsed="0"/>
    <w:lsdException w:name="No List" w:qFormat="0"/>
    <w:lsdException w:name="Outline List 1" w:qFormat="0"/>
    <w:lsdException w:name="Outline List 2" w:qFormat="0"/>
    <w:lsdException w:name="Outline List 3" w:qFormat="0"/>
    <w:lsdException w:name="Balloon Text" w:semiHidden="0" w:unhideWhenUsed="0"/>
    <w:lsdException w:name="Table Grid" w:semiHidden="0" w:uiPriority="59"/>
    <w:lsdException w:name="Placeholder Text" w:qFormat="0"/>
    <w:lsdException w:name="No Spacing" w:qFormat="0"/>
    <w:lsdException w:name="Light Shading" w:semiHidden="0" w:uiPriority="60" w:unhideWhenUsed="0" w:qFormat="0"/>
    <w:lsdException w:name="Light List" w:semiHidden="0" w:uiPriority="61" w:unhideWhenUsed="0" w:qFormat="0"/>
    <w:lsdException w:name="Light Grid" w:semiHidden="0" w:uiPriority="62" w:unhideWhenUsed="0" w:qFormat="0"/>
    <w:lsdException w:name="Medium Shading 1" w:semiHidden="0" w:uiPriority="63" w:unhideWhenUsed="0" w:qFormat="0"/>
    <w:lsdException w:name="Medium Shading 2" w:semiHidden="0" w:uiPriority="64" w:unhideWhenUsed="0" w:qFormat="0"/>
    <w:lsdException w:name="Medium List 1" w:semiHidden="0" w:uiPriority="65" w:unhideWhenUsed="0" w:qFormat="0"/>
    <w:lsdException w:name="Medium List 2" w:semiHidden="0" w:uiPriority="66" w:unhideWhenUsed="0" w:qFormat="0"/>
    <w:lsdException w:name="Medium Grid 1" w:semiHidden="0" w:uiPriority="67" w:unhideWhenUsed="0" w:qFormat="0"/>
    <w:lsdException w:name="Medium Grid 2" w:semiHidden="0" w:uiPriority="68" w:unhideWhenUsed="0" w:qFormat="0"/>
    <w:lsdException w:name="Medium Grid 3" w:semiHidden="0" w:uiPriority="69" w:unhideWhenUsed="0" w:qFormat="0"/>
    <w:lsdException w:name="Dark List" w:semiHidden="0" w:uiPriority="70" w:unhideWhenUsed="0" w:qFormat="0"/>
    <w:lsdException w:name="Colorful Shading" w:semiHidden="0" w:uiPriority="71" w:unhideWhenUsed="0" w:qFormat="0"/>
    <w:lsdException w:name="Colorful List" w:semiHidden="0" w:uiPriority="72" w:unhideWhenUsed="0" w:qFormat="0"/>
    <w:lsdException w:name="Colorful Grid" w:semiHidden="0" w:uiPriority="73" w:unhideWhenUsed="0" w:qFormat="0"/>
    <w:lsdException w:name="Light Shading Accent 1" w:semiHidden="0" w:uiPriority="60" w:unhideWhenUsed="0" w:qFormat="0"/>
    <w:lsdException w:name="Light List Accent 1" w:semiHidden="0" w:uiPriority="61" w:unhideWhenUsed="0" w:qFormat="0"/>
    <w:lsdException w:name="Light Grid Accent 1" w:semiHidden="0" w:uiPriority="62" w:unhideWhenUsed="0" w:qFormat="0"/>
    <w:lsdException w:name="Medium Shading 1 Accent 1" w:semiHidden="0" w:uiPriority="63" w:unhideWhenUsed="0" w:qFormat="0"/>
    <w:lsdException w:name="Medium Shading 2 Accent 1" w:semiHidden="0" w:uiPriority="64" w:unhideWhenUsed="0" w:qFormat="0"/>
    <w:lsdException w:name="Medium List 1 Accent 1" w:semiHidden="0" w:uiPriority="65" w:unhideWhenUsed="0" w:qFormat="0"/>
    <w:lsdException w:name="Revision" w:qFormat="0"/>
    <w:lsdException w:name="List Paragraph" w:semiHidden="0" w:unhideWhenUsed="0"/>
    <w:lsdException w:name="Quote" w:qFormat="0"/>
    <w:lsdException w:name="Intense Quote" w:qFormat="0"/>
    <w:lsdException w:name="Medium List 2 Accent 1" w:semiHidden="0" w:uiPriority="66" w:unhideWhenUsed="0" w:qFormat="0"/>
    <w:lsdException w:name="Medium Grid 1 Accent 1" w:semiHidden="0" w:uiPriority="67" w:unhideWhenUsed="0" w:qFormat="0"/>
    <w:lsdException w:name="Medium Grid 2 Accent 1" w:semiHidden="0" w:uiPriority="68" w:unhideWhenUsed="0" w:qFormat="0"/>
    <w:lsdException w:name="Medium Grid 3 Accent 1" w:semiHidden="0" w:uiPriority="69" w:unhideWhenUsed="0" w:qFormat="0"/>
    <w:lsdException w:name="Dark List Accent 1" w:semiHidden="0" w:uiPriority="70" w:unhideWhenUsed="0" w:qFormat="0"/>
    <w:lsdException w:name="Colorful Shading Accent 1" w:semiHidden="0" w:uiPriority="71" w:unhideWhenUsed="0" w:qFormat="0"/>
    <w:lsdException w:name="Colorful List Accent 1" w:semiHidden="0" w:uiPriority="72" w:unhideWhenUsed="0" w:qFormat="0"/>
    <w:lsdException w:name="Colorful Grid Accent 1" w:semiHidden="0" w:uiPriority="73" w:unhideWhenUsed="0" w:qFormat="0"/>
    <w:lsdException w:name="Light Shading Accent 2" w:semiHidden="0" w:uiPriority="60" w:unhideWhenUsed="0" w:qFormat="0"/>
    <w:lsdException w:name="Light List Accent 2" w:semiHidden="0" w:uiPriority="61" w:unhideWhenUsed="0" w:qFormat="0"/>
    <w:lsdException w:name="Light Grid Accent 2" w:semiHidden="0" w:uiPriority="62" w:unhideWhenUsed="0" w:qFormat="0"/>
    <w:lsdException w:name="Medium Shading 1 Accent 2" w:semiHidden="0" w:uiPriority="63" w:unhideWhenUsed="0" w:qFormat="0"/>
    <w:lsdException w:name="Medium Shading 2 Accent 2" w:semiHidden="0" w:uiPriority="64" w:unhideWhenUsed="0" w:qFormat="0"/>
    <w:lsdException w:name="Medium List 1 Accent 2" w:semiHidden="0" w:uiPriority="65" w:unhideWhenUsed="0" w:qFormat="0"/>
    <w:lsdException w:name="Medium List 2 Accent 2" w:semiHidden="0" w:uiPriority="66" w:unhideWhenUsed="0" w:qFormat="0"/>
    <w:lsdException w:name="Medium Grid 1 Accent 2" w:semiHidden="0" w:uiPriority="67" w:unhideWhenUsed="0" w:qFormat="0"/>
    <w:lsdException w:name="Medium Grid 2 Accent 2" w:semiHidden="0" w:uiPriority="68" w:unhideWhenUsed="0" w:qFormat="0"/>
    <w:lsdException w:name="Medium Grid 3 Accent 2" w:semiHidden="0" w:uiPriority="69" w:unhideWhenUsed="0" w:qFormat="0"/>
    <w:lsdException w:name="Dark List Accent 2" w:semiHidden="0" w:uiPriority="70" w:unhideWhenUsed="0" w:qFormat="0"/>
    <w:lsdException w:name="Colorful Shading Accent 2" w:semiHidden="0" w:uiPriority="71" w:unhideWhenUsed="0" w:qFormat="0"/>
    <w:lsdException w:name="Colorful List Accent 2" w:semiHidden="0" w:uiPriority="72" w:unhideWhenUsed="0" w:qFormat="0"/>
    <w:lsdException w:name="Colorful Grid Accent 2" w:semiHidden="0" w:uiPriority="73" w:unhideWhenUsed="0" w:qFormat="0"/>
    <w:lsdException w:name="Light Shading Accent 3" w:semiHidden="0" w:uiPriority="60" w:unhideWhenUsed="0" w:qFormat="0"/>
    <w:lsdException w:name="Light List Accent 3" w:semiHidden="0" w:uiPriority="61" w:unhideWhenUsed="0" w:qFormat="0"/>
    <w:lsdException w:name="Light Grid Accent 3" w:semiHidden="0" w:uiPriority="62" w:unhideWhenUsed="0" w:qFormat="0"/>
    <w:lsdException w:name="Medium Shading 1 Accent 3" w:semiHidden="0" w:uiPriority="63" w:unhideWhenUsed="0" w:qFormat="0"/>
    <w:lsdException w:name="Medium Shading 2 Accent 3" w:semiHidden="0" w:uiPriority="64" w:unhideWhenUsed="0" w:qFormat="0"/>
    <w:lsdException w:name="Medium List 1 Accent 3" w:semiHidden="0" w:uiPriority="65" w:unhideWhenUsed="0" w:qFormat="0"/>
    <w:lsdException w:name="Medium List 2 Accent 3" w:semiHidden="0" w:uiPriority="66" w:unhideWhenUsed="0" w:qFormat="0"/>
    <w:lsdException w:name="Medium Grid 1 Accent 3" w:semiHidden="0" w:uiPriority="67" w:unhideWhenUsed="0" w:qFormat="0"/>
    <w:lsdException w:name="Medium Grid 2 Accent 3" w:semiHidden="0" w:uiPriority="68" w:unhideWhenUsed="0" w:qFormat="0"/>
    <w:lsdException w:name="Medium Grid 3 Accent 3" w:semiHidden="0" w:uiPriority="69" w:unhideWhenUsed="0" w:qFormat="0"/>
    <w:lsdException w:name="Dark List Accent 3" w:semiHidden="0" w:uiPriority="70" w:unhideWhenUsed="0" w:qFormat="0"/>
    <w:lsdException w:name="Colorful Shading Accent 3" w:semiHidden="0" w:uiPriority="71" w:unhideWhenUsed="0" w:qFormat="0"/>
    <w:lsdException w:name="Colorful List Accent 3" w:semiHidden="0" w:uiPriority="72" w:unhideWhenUsed="0" w:qFormat="0"/>
    <w:lsdException w:name="Colorful Grid Accent 3" w:semiHidden="0" w:uiPriority="73" w:unhideWhenUsed="0" w:qFormat="0"/>
    <w:lsdException w:name="Light Shading Accent 4" w:semiHidden="0" w:uiPriority="60" w:unhideWhenUsed="0" w:qFormat="0"/>
    <w:lsdException w:name="Light List Accent 4" w:semiHidden="0" w:uiPriority="61" w:unhideWhenUsed="0" w:qFormat="0"/>
    <w:lsdException w:name="Light Grid Accent 4" w:semiHidden="0" w:uiPriority="62" w:unhideWhenUsed="0" w:qFormat="0"/>
    <w:lsdException w:name="Medium Shading 1 Accent 4" w:semiHidden="0" w:uiPriority="63" w:unhideWhenUsed="0" w:qFormat="0"/>
    <w:lsdException w:name="Medium Shading 2 Accent 4" w:semiHidden="0" w:uiPriority="64" w:unhideWhenUsed="0" w:qFormat="0"/>
    <w:lsdException w:name="Medium List 1 Accent 4" w:semiHidden="0" w:uiPriority="65" w:unhideWhenUsed="0" w:qFormat="0"/>
    <w:lsdException w:name="Medium List 2 Accent 4" w:semiHidden="0" w:uiPriority="66" w:unhideWhenUsed="0" w:qFormat="0"/>
    <w:lsdException w:name="Medium Grid 1 Accent 4" w:semiHidden="0" w:uiPriority="67" w:unhideWhenUsed="0" w:qFormat="0"/>
    <w:lsdException w:name="Medium Grid 2 Accent 4" w:semiHidden="0" w:uiPriority="68" w:unhideWhenUsed="0" w:qFormat="0"/>
    <w:lsdException w:name="Medium Grid 3 Accent 4" w:semiHidden="0" w:uiPriority="69" w:unhideWhenUsed="0" w:qFormat="0"/>
    <w:lsdException w:name="Dark List Accent 4" w:semiHidden="0" w:uiPriority="70" w:unhideWhenUsed="0" w:qFormat="0"/>
    <w:lsdException w:name="Colorful Shading Accent 4" w:semiHidden="0" w:uiPriority="71" w:unhideWhenUsed="0" w:qFormat="0"/>
    <w:lsdException w:name="Colorful List Accent 4" w:semiHidden="0" w:uiPriority="72" w:unhideWhenUsed="0" w:qFormat="0"/>
    <w:lsdException w:name="Colorful Grid Accent 4" w:semiHidden="0" w:uiPriority="73" w:unhideWhenUsed="0" w:qFormat="0"/>
    <w:lsdException w:name="Light Shading Accent 5" w:semiHidden="0" w:uiPriority="60" w:unhideWhenUsed="0" w:qFormat="0"/>
    <w:lsdException w:name="Light List Accent 5" w:semiHidden="0" w:uiPriority="61" w:unhideWhenUsed="0" w:qFormat="0"/>
    <w:lsdException w:name="Light Grid Accent 5" w:semiHidden="0" w:uiPriority="62" w:unhideWhenUsed="0" w:qFormat="0"/>
    <w:lsdException w:name="Medium Shading 1 Accent 5" w:semiHidden="0" w:uiPriority="63" w:unhideWhenUsed="0" w:qFormat="0"/>
    <w:lsdException w:name="Medium Shading 2 Accent 5" w:semiHidden="0" w:uiPriority="64" w:unhideWhenUsed="0" w:qFormat="0"/>
    <w:lsdException w:name="Medium List 1 Accent 5" w:semiHidden="0" w:uiPriority="65" w:unhideWhenUsed="0" w:qFormat="0"/>
    <w:lsdException w:name="Medium List 2 Accent 5" w:semiHidden="0" w:uiPriority="66" w:unhideWhenUsed="0" w:qFormat="0"/>
    <w:lsdException w:name="Medium Grid 1 Accent 5" w:semiHidden="0" w:uiPriority="67" w:unhideWhenUsed="0" w:qFormat="0"/>
    <w:lsdException w:name="Medium Grid 2 Accent 5" w:semiHidden="0" w:uiPriority="68" w:unhideWhenUsed="0" w:qFormat="0"/>
    <w:lsdException w:name="Medium Grid 3 Accent 5" w:semiHidden="0" w:uiPriority="69" w:unhideWhenUsed="0" w:qFormat="0"/>
    <w:lsdException w:name="Dark List Accent 5" w:semiHidden="0" w:uiPriority="70" w:unhideWhenUsed="0" w:qFormat="0"/>
    <w:lsdException w:name="Colorful Shading Accent 5" w:semiHidden="0" w:uiPriority="71" w:unhideWhenUsed="0" w:qFormat="0"/>
    <w:lsdException w:name="Colorful List Accent 5" w:semiHidden="0" w:uiPriority="72" w:unhideWhenUsed="0" w:qFormat="0"/>
    <w:lsdException w:name="Colorful Grid Accent 5" w:semiHidden="0" w:uiPriority="73" w:unhideWhenUsed="0" w:qFormat="0"/>
    <w:lsdException w:name="Light Shading Accent 6" w:semiHidden="0" w:uiPriority="60" w:unhideWhenUsed="0" w:qFormat="0"/>
    <w:lsdException w:name="Light List Accent 6" w:semiHidden="0" w:uiPriority="61" w:unhideWhenUsed="0" w:qFormat="0"/>
    <w:lsdException w:name="Light Grid Accent 6" w:semiHidden="0" w:uiPriority="62" w:unhideWhenUsed="0" w:qFormat="0"/>
    <w:lsdException w:name="Medium Shading 1 Accent 6" w:semiHidden="0" w:uiPriority="63" w:unhideWhenUsed="0" w:qFormat="0"/>
    <w:lsdException w:name="Medium Shading 2 Accent 6" w:semiHidden="0" w:uiPriority="64" w:unhideWhenUsed="0" w:qFormat="0"/>
    <w:lsdException w:name="Medium List 1 Accent 6" w:semiHidden="0" w:uiPriority="65" w:unhideWhenUsed="0" w:qFormat="0"/>
    <w:lsdException w:name="Medium List 2 Accent 6" w:semiHidden="0" w:uiPriority="66" w:unhideWhenUsed="0" w:qFormat="0"/>
    <w:lsdException w:name="Medium Grid 1 Accent 6" w:semiHidden="0" w:uiPriority="67" w:unhideWhenUsed="0" w:qFormat="0"/>
    <w:lsdException w:name="Medium Grid 2 Accent 6" w:semiHidden="0" w:uiPriority="68" w:unhideWhenUsed="0" w:qFormat="0"/>
    <w:lsdException w:name="Medium Grid 3 Accent 6" w:semiHidden="0" w:uiPriority="69" w:unhideWhenUsed="0" w:qFormat="0"/>
    <w:lsdException w:name="Dark List Accent 6" w:semiHidden="0" w:uiPriority="70" w:unhideWhenUsed="0" w:qFormat="0"/>
    <w:lsdException w:name="Colorful Shading Accent 6" w:semiHidden="0" w:uiPriority="71" w:unhideWhenUsed="0" w:qFormat="0"/>
    <w:lsdException w:name="Colorful List Accent 6" w:semiHidden="0" w:uiPriority="72" w:unhideWhenUsed="0" w:qFormat="0"/>
    <w:lsdException w:name="Colorful Grid Accent 6" w:semiHidden="0" w:uiPriority="73" w:unhideWhenUsed="0" w:qFormat="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qFormat="0"/>
    <w:lsdException w:name="TOC Heading" w:uiPriority="39"/>
  </w:latentStyles>
  <w:style w:type="paragraph" w:default="1" w:styleId="a">
    <w:name w:val="Normal"/>
    <w:qFormat/>
    <w:pPr>
      <w:widowControl w:val="0"/>
      <w:jc w:val="both"/>
    </w:pPr>
    <w:rPr>
      <w:rFonts w:ascii="Calibri" w:hAnsi="Calibri" w:cs="宋体"/>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style>
  <w:style w:type="paragraph" w:styleId="a4">
    <w:name w:val="Date"/>
    <w:basedOn w:val="a"/>
    <w:next w:val="a"/>
    <w:link w:val="Char0"/>
    <w:uiPriority w:val="99"/>
    <w:semiHidden/>
    <w:unhideWhenUsed/>
    <w:qFormat/>
    <w:pPr>
      <w:ind w:leftChars="2500" w:left="100"/>
    </w:pPr>
  </w:style>
  <w:style w:type="paragraph" w:styleId="a5">
    <w:name w:val="Balloon Text"/>
    <w:basedOn w:val="a"/>
    <w:link w:val="Char1"/>
    <w:uiPriority w:val="99"/>
    <w:qFormat/>
    <w:rPr>
      <w:sz w:val="18"/>
      <w:szCs w:val="18"/>
    </w:rPr>
  </w:style>
  <w:style w:type="paragraph" w:styleId="a6">
    <w:name w:val="footer"/>
    <w:basedOn w:val="a"/>
    <w:link w:val="Char5"/>
    <w:uiPriority w:val="99"/>
    <w:unhideWhenUsed/>
    <w:qFormat/>
    <w:pPr>
      <w:tabs>
        <w:tab w:val="center" w:pos="4153"/>
        <w:tab w:val="right" w:pos="8306"/>
      </w:tabs>
      <w:snapToGrid w:val="0"/>
      <w:jc w:val="left"/>
    </w:pPr>
    <w:rPr>
      <w:sz w:val="18"/>
      <w:szCs w:val="18"/>
    </w:rPr>
  </w:style>
  <w:style w:type="paragraph" w:styleId="a7">
    <w:name w:val="header"/>
    <w:basedOn w:val="a"/>
    <w:link w:val="Char50"/>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2"/>
    <w:uiPriority w:val="99"/>
    <w:qFormat/>
    <w:rPr>
      <w:b/>
      <w:bCs/>
    </w:rPr>
  </w:style>
  <w:style w:type="table" w:styleId="a9">
    <w:name w:val="Table Grid"/>
    <w:basedOn w:val="a1"/>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Pr>
      <w:i/>
      <w:iCs/>
    </w:rPr>
  </w:style>
  <w:style w:type="character" w:styleId="ab">
    <w:name w:val="annotation reference"/>
    <w:basedOn w:val="a0"/>
    <w:uiPriority w:val="99"/>
    <w:qFormat/>
    <w:rPr>
      <w:rFonts w:cs="Times New Roman"/>
      <w:sz w:val="21"/>
      <w:szCs w:val="21"/>
    </w:rPr>
  </w:style>
  <w:style w:type="character" w:customStyle="1" w:styleId="Char50">
    <w:name w:val="页眉 Char5"/>
    <w:basedOn w:val="a0"/>
    <w:link w:val="a7"/>
    <w:uiPriority w:val="99"/>
    <w:unhideWhenUsed/>
    <w:qFormat/>
    <w:locked/>
    <w:rPr>
      <w:rFonts w:cs="Times New Roman"/>
      <w:sz w:val="18"/>
      <w:szCs w:val="18"/>
    </w:rPr>
  </w:style>
  <w:style w:type="character" w:customStyle="1" w:styleId="Char5">
    <w:name w:val="页脚 Char5"/>
    <w:basedOn w:val="a0"/>
    <w:link w:val="a6"/>
    <w:uiPriority w:val="99"/>
    <w:unhideWhenUsed/>
    <w:qFormat/>
    <w:locked/>
    <w:rPr>
      <w:rFonts w:cs="Times New Roman"/>
      <w:sz w:val="18"/>
      <w:szCs w:val="18"/>
    </w:rPr>
  </w:style>
  <w:style w:type="character" w:customStyle="1" w:styleId="Char3">
    <w:name w:val="页脚 Char"/>
    <w:basedOn w:val="a0"/>
    <w:uiPriority w:val="99"/>
    <w:semiHidden/>
    <w:qFormat/>
    <w:rPr>
      <w:rFonts w:ascii="Calibri" w:hAnsi="Calibri" w:cs="宋体"/>
      <w:sz w:val="18"/>
      <w:szCs w:val="18"/>
    </w:rPr>
  </w:style>
  <w:style w:type="character" w:customStyle="1" w:styleId="ac">
    <w:name w:val="页脚 字符"/>
    <w:basedOn w:val="a0"/>
    <w:uiPriority w:val="99"/>
    <w:semiHidden/>
    <w:qFormat/>
    <w:rPr>
      <w:rFonts w:ascii="Calibri" w:hAnsi="Calibri" w:cs="宋体"/>
      <w:sz w:val="18"/>
      <w:szCs w:val="18"/>
    </w:rPr>
  </w:style>
  <w:style w:type="character" w:customStyle="1" w:styleId="Char20">
    <w:name w:val="页脚 Char2"/>
    <w:basedOn w:val="a0"/>
    <w:uiPriority w:val="99"/>
    <w:semiHidden/>
    <w:qFormat/>
    <w:rPr>
      <w:rFonts w:ascii="Calibri" w:hAnsi="Calibri" w:cs="宋体"/>
      <w:sz w:val="18"/>
      <w:szCs w:val="18"/>
    </w:rPr>
  </w:style>
  <w:style w:type="character" w:customStyle="1" w:styleId="Char4">
    <w:name w:val="页脚 Char4"/>
    <w:basedOn w:val="a0"/>
    <w:uiPriority w:val="99"/>
    <w:semiHidden/>
    <w:qFormat/>
    <w:rPr>
      <w:rFonts w:ascii="Calibri" w:hAnsi="Calibri" w:cs="宋体"/>
      <w:sz w:val="18"/>
      <w:szCs w:val="18"/>
    </w:rPr>
  </w:style>
  <w:style w:type="character" w:customStyle="1" w:styleId="Char30">
    <w:name w:val="页脚 Char3"/>
    <w:basedOn w:val="a0"/>
    <w:uiPriority w:val="99"/>
    <w:semiHidden/>
    <w:qFormat/>
    <w:rPr>
      <w:rFonts w:ascii="Calibri" w:hAnsi="Calibri" w:cs="宋体"/>
      <w:sz w:val="18"/>
      <w:szCs w:val="18"/>
    </w:rPr>
  </w:style>
  <w:style w:type="character" w:customStyle="1" w:styleId="1">
    <w:name w:val="页脚 字符1"/>
    <w:basedOn w:val="a0"/>
    <w:uiPriority w:val="99"/>
    <w:semiHidden/>
    <w:qFormat/>
    <w:rPr>
      <w:rFonts w:ascii="Calibri" w:hAnsi="Calibri" w:cs="宋体"/>
      <w:sz w:val="18"/>
      <w:szCs w:val="18"/>
    </w:rPr>
  </w:style>
  <w:style w:type="character" w:customStyle="1" w:styleId="Char10">
    <w:name w:val="页脚 Char1"/>
    <w:basedOn w:val="a0"/>
    <w:uiPriority w:val="99"/>
    <w:semiHidden/>
    <w:qFormat/>
    <w:rPr>
      <w:rFonts w:ascii="Calibri" w:hAnsi="Calibri" w:cs="宋体"/>
      <w:sz w:val="18"/>
      <w:szCs w:val="18"/>
    </w:rPr>
  </w:style>
  <w:style w:type="character" w:customStyle="1" w:styleId="Char11">
    <w:name w:val="页脚 Char11"/>
    <w:basedOn w:val="a0"/>
    <w:uiPriority w:val="99"/>
    <w:semiHidden/>
    <w:qFormat/>
    <w:rPr>
      <w:rFonts w:ascii="Calibri" w:hAnsi="Calibri" w:cs="宋体"/>
      <w:sz w:val="18"/>
      <w:szCs w:val="18"/>
    </w:rPr>
  </w:style>
  <w:style w:type="character" w:customStyle="1" w:styleId="Char6">
    <w:name w:val="页眉 Char"/>
    <w:basedOn w:val="a0"/>
    <w:uiPriority w:val="99"/>
    <w:semiHidden/>
    <w:qFormat/>
    <w:rPr>
      <w:rFonts w:ascii="Calibri" w:hAnsi="Calibri" w:cs="宋体"/>
      <w:sz w:val="18"/>
      <w:szCs w:val="18"/>
    </w:rPr>
  </w:style>
  <w:style w:type="character" w:customStyle="1" w:styleId="ad">
    <w:name w:val="页眉 字符"/>
    <w:basedOn w:val="a0"/>
    <w:uiPriority w:val="99"/>
    <w:semiHidden/>
    <w:qFormat/>
    <w:rPr>
      <w:rFonts w:ascii="Calibri" w:hAnsi="Calibri" w:cs="宋体"/>
      <w:sz w:val="18"/>
      <w:szCs w:val="18"/>
    </w:rPr>
  </w:style>
  <w:style w:type="character" w:customStyle="1" w:styleId="Char21">
    <w:name w:val="页眉 Char2"/>
    <w:basedOn w:val="a0"/>
    <w:uiPriority w:val="99"/>
    <w:semiHidden/>
    <w:qFormat/>
    <w:rPr>
      <w:rFonts w:ascii="Calibri" w:hAnsi="Calibri" w:cs="宋体"/>
      <w:sz w:val="18"/>
      <w:szCs w:val="18"/>
    </w:rPr>
  </w:style>
  <w:style w:type="character" w:customStyle="1" w:styleId="Char40">
    <w:name w:val="页眉 Char4"/>
    <w:basedOn w:val="a0"/>
    <w:uiPriority w:val="99"/>
    <w:semiHidden/>
    <w:qFormat/>
    <w:rPr>
      <w:rFonts w:ascii="Calibri" w:hAnsi="Calibri" w:cs="宋体"/>
      <w:sz w:val="18"/>
      <w:szCs w:val="18"/>
    </w:rPr>
  </w:style>
  <w:style w:type="character" w:customStyle="1" w:styleId="Char31">
    <w:name w:val="页眉 Char3"/>
    <w:basedOn w:val="a0"/>
    <w:uiPriority w:val="99"/>
    <w:semiHidden/>
    <w:qFormat/>
    <w:rPr>
      <w:rFonts w:ascii="Calibri" w:hAnsi="Calibri" w:cs="宋体"/>
      <w:sz w:val="18"/>
      <w:szCs w:val="18"/>
    </w:rPr>
  </w:style>
  <w:style w:type="character" w:customStyle="1" w:styleId="10">
    <w:name w:val="页眉 字符1"/>
    <w:basedOn w:val="a0"/>
    <w:uiPriority w:val="99"/>
    <w:semiHidden/>
    <w:qFormat/>
    <w:rPr>
      <w:rFonts w:ascii="Calibri" w:hAnsi="Calibri" w:cs="宋体"/>
      <w:sz w:val="18"/>
      <w:szCs w:val="18"/>
    </w:rPr>
  </w:style>
  <w:style w:type="character" w:customStyle="1" w:styleId="Char12">
    <w:name w:val="页眉 Char1"/>
    <w:basedOn w:val="a0"/>
    <w:uiPriority w:val="99"/>
    <w:semiHidden/>
    <w:qFormat/>
    <w:rPr>
      <w:rFonts w:ascii="Calibri" w:hAnsi="Calibri" w:cs="宋体"/>
      <w:sz w:val="18"/>
      <w:szCs w:val="18"/>
    </w:rPr>
  </w:style>
  <w:style w:type="character" w:customStyle="1" w:styleId="Char110">
    <w:name w:val="页眉 Char11"/>
    <w:basedOn w:val="a0"/>
    <w:uiPriority w:val="99"/>
    <w:semiHidden/>
    <w:qFormat/>
    <w:rPr>
      <w:rFonts w:ascii="Calibri" w:hAnsi="Calibri" w:cs="宋体"/>
      <w:sz w:val="18"/>
      <w:szCs w:val="18"/>
    </w:rPr>
  </w:style>
  <w:style w:type="character" w:customStyle="1" w:styleId="Char2">
    <w:name w:val="批注主题 Char"/>
    <w:basedOn w:val="Char"/>
    <w:link w:val="a8"/>
    <w:uiPriority w:val="99"/>
    <w:qFormat/>
    <w:locked/>
    <w:rPr>
      <w:rFonts w:ascii="Calibri" w:hAnsi="Calibri" w:cs="宋体"/>
      <w:b/>
      <w:bCs/>
      <w:sz w:val="21"/>
      <w:szCs w:val="21"/>
    </w:rPr>
  </w:style>
  <w:style w:type="character" w:customStyle="1" w:styleId="Char">
    <w:name w:val="批注文字 Char"/>
    <w:basedOn w:val="a0"/>
    <w:link w:val="a3"/>
    <w:uiPriority w:val="99"/>
    <w:qFormat/>
    <w:locked/>
    <w:rPr>
      <w:rFonts w:ascii="Calibri" w:hAnsi="Calibri" w:cs="宋体"/>
      <w:sz w:val="21"/>
      <w:szCs w:val="21"/>
    </w:rPr>
  </w:style>
  <w:style w:type="character" w:customStyle="1" w:styleId="Char1">
    <w:name w:val="批注框文本 Char"/>
    <w:basedOn w:val="a0"/>
    <w:link w:val="a5"/>
    <w:uiPriority w:val="99"/>
    <w:qFormat/>
    <w:locked/>
    <w:rPr>
      <w:rFonts w:ascii="Calibri" w:hAnsi="Calibri" w:cs="宋体"/>
      <w:sz w:val="18"/>
      <w:szCs w:val="18"/>
    </w:rPr>
  </w:style>
  <w:style w:type="paragraph" w:customStyle="1" w:styleId="11">
    <w:name w:val="列出段落1"/>
    <w:basedOn w:val="a"/>
    <w:uiPriority w:val="99"/>
    <w:qFormat/>
    <w:pPr>
      <w:ind w:firstLineChars="200" w:firstLine="420"/>
    </w:pPr>
  </w:style>
  <w:style w:type="paragraph" w:styleId="ae">
    <w:name w:val="List Paragraph"/>
    <w:basedOn w:val="a"/>
    <w:uiPriority w:val="99"/>
    <w:qFormat/>
    <w:pPr>
      <w:ind w:firstLineChars="200" w:firstLine="420"/>
    </w:pPr>
  </w:style>
  <w:style w:type="paragraph" w:customStyle="1" w:styleId="12">
    <w:name w:val="修订1"/>
    <w:hidden/>
    <w:uiPriority w:val="99"/>
    <w:semiHidden/>
    <w:qFormat/>
    <w:rPr>
      <w:rFonts w:ascii="Calibri" w:hAnsi="Calibri" w:cs="宋体"/>
      <w:kern w:val="2"/>
      <w:sz w:val="21"/>
      <w:szCs w:val="21"/>
    </w:rPr>
  </w:style>
  <w:style w:type="paragraph" w:customStyle="1" w:styleId="2">
    <w:name w:val="修订2"/>
    <w:hidden/>
    <w:uiPriority w:val="99"/>
    <w:semiHidden/>
    <w:qFormat/>
    <w:rPr>
      <w:rFonts w:ascii="Calibri" w:hAnsi="Calibri" w:cs="宋体"/>
      <w:kern w:val="2"/>
      <w:sz w:val="21"/>
      <w:szCs w:val="21"/>
    </w:rPr>
  </w:style>
  <w:style w:type="character" w:customStyle="1" w:styleId="Char0">
    <w:name w:val="日期 Char"/>
    <w:basedOn w:val="a0"/>
    <w:link w:val="a4"/>
    <w:uiPriority w:val="99"/>
    <w:semiHidden/>
    <w:qFormat/>
    <w:rPr>
      <w:rFonts w:ascii="Calibri" w:hAnsi="Calibri" w:cs="宋体"/>
      <w:kern w:val="2"/>
      <w:sz w:val="21"/>
      <w:szCs w:val="21"/>
    </w:rPr>
  </w:style>
  <w:style w:type="paragraph" w:customStyle="1" w:styleId="3">
    <w:name w:val="修订3"/>
    <w:hidden/>
    <w:uiPriority w:val="99"/>
    <w:semiHidden/>
    <w:qFormat/>
    <w:rPr>
      <w:rFonts w:ascii="Calibri" w:hAnsi="Calibri" w:cs="宋体"/>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4B2B7-B329-457E-86BA-E5CBD502D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4654</Characters>
  <Application>Microsoft Office Word</Application>
  <DocSecurity>4</DocSecurity>
  <Lines>38</Lines>
  <Paragraphs>10</Paragraphs>
  <ScaleCrop>false</ScaleCrop>
  <Company/>
  <LinksUpToDate>false</LinksUpToDate>
  <CharactersWithSpaces>5460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cp:lastPrinted>2018-09-12T02:55:00Z</cp:lastPrinted>
  <dcterms:created xsi:type="dcterms:W3CDTF">2026-01-15T16:00:00Z</dcterms:created>
  <dcterms:modified xsi:type="dcterms:W3CDTF">2026-01-15T16:00:00Z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ABB482A9F5BF4F12B393508D99EE8067</vt:lpwstr>
  </property>
  <property fmtid="{D5CDD505-2E9C-101B-9397-08002B2CF9AE}" pid="4" name="KSOTemplateDocerSaveRecord">
    <vt:lpwstr>eyJoZGlkIjoiZDI1NWM4N2Y0MmEyMWEyMzk1N2Q1YTIzYzZmMGFkODAiLCJ1c2VySWQiOiIzMzQ3MjM4MTUifQ==</vt:lpwstr>
  </property>
</Properties>
</file>