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64B2" w:rsidRDefault="00714522">
      <w:pPr>
        <w:jc w:val="center"/>
        <w:rPr>
          <w:rFonts w:ascii="宋体" w:hAnsi="宋体"/>
          <w:b/>
          <w:sz w:val="28"/>
          <w:szCs w:val="28"/>
        </w:rPr>
      </w:pPr>
      <w:r>
        <w:rPr>
          <w:rFonts w:ascii="宋体" w:hAnsi="宋体" w:hint="eastAsia"/>
          <w:b/>
          <w:sz w:val="28"/>
          <w:szCs w:val="28"/>
        </w:rPr>
        <w:t>银华基金管理股份有限公司关于旗下部分基金暂停及恢复申购、赎回及定期定额投资(如有)业务的公告</w:t>
      </w:r>
    </w:p>
    <w:p w:rsidR="00E164B2" w:rsidRDefault="00E164B2">
      <w:pPr>
        <w:rPr>
          <w:rFonts w:ascii="宋体" w:hAnsi="宋体"/>
          <w:b/>
          <w:sz w:val="28"/>
          <w:szCs w:val="28"/>
        </w:rPr>
      </w:pPr>
    </w:p>
    <w:p w:rsidR="00E164B2" w:rsidRDefault="00714522">
      <w:pPr>
        <w:spacing w:line="480" w:lineRule="auto"/>
        <w:ind w:firstLine="420"/>
        <w:rPr>
          <w:rFonts w:ascii="宋体" w:hAnsi="宋体"/>
          <w:szCs w:val="21"/>
        </w:rPr>
      </w:pPr>
      <w:r>
        <w:rPr>
          <w:rFonts w:ascii="宋体" w:hAnsi="宋体" w:hint="eastAsia"/>
          <w:szCs w:val="21"/>
        </w:rPr>
        <w:t>根据银华基金管理股份有限公司</w:t>
      </w:r>
      <w:r>
        <w:rPr>
          <w:rFonts w:ascii="宋体" w:hAnsi="宋体"/>
          <w:szCs w:val="21"/>
        </w:rPr>
        <w:t>（</w:t>
      </w:r>
      <w:r>
        <w:rPr>
          <w:rFonts w:ascii="宋体" w:hAnsi="宋体" w:hint="eastAsia"/>
          <w:szCs w:val="21"/>
        </w:rPr>
        <w:t>以下</w:t>
      </w:r>
      <w:r>
        <w:rPr>
          <w:rFonts w:ascii="宋体" w:hAnsi="宋体"/>
          <w:szCs w:val="21"/>
        </w:rPr>
        <w:t>简称“</w:t>
      </w:r>
      <w:r>
        <w:rPr>
          <w:rFonts w:ascii="宋体" w:hAnsi="宋体" w:hint="eastAsia"/>
          <w:szCs w:val="21"/>
        </w:rPr>
        <w:t>本基金管理人”）旗下</w:t>
      </w:r>
      <w:r>
        <w:rPr>
          <w:rFonts w:ascii="宋体" w:hAnsi="宋体"/>
          <w:szCs w:val="21"/>
        </w:rPr>
        <w:t>部分基金</w:t>
      </w:r>
      <w:r>
        <w:rPr>
          <w:rFonts w:ascii="宋体" w:hAnsi="宋体" w:hint="eastAsia"/>
          <w:szCs w:val="21"/>
        </w:rPr>
        <w:t>基金合同和招募说明书的有关规定</w:t>
      </w:r>
      <w:r>
        <w:rPr>
          <w:rFonts w:ascii="宋体" w:hAnsi="宋体"/>
          <w:szCs w:val="21"/>
        </w:rPr>
        <w:t>及投资运作情况</w:t>
      </w:r>
      <w:r>
        <w:rPr>
          <w:rFonts w:ascii="宋体" w:hAnsi="宋体" w:hint="eastAsia"/>
          <w:szCs w:val="21"/>
        </w:rPr>
        <w:t>，</w:t>
      </w:r>
      <w:r>
        <w:rPr>
          <w:rFonts w:ascii="宋体" w:hAnsi="宋体"/>
          <w:szCs w:val="21"/>
        </w:rPr>
        <w:t>投资</w:t>
      </w:r>
      <w:r>
        <w:rPr>
          <w:rFonts w:ascii="宋体" w:hAnsi="宋体" w:hint="eastAsia"/>
          <w:szCs w:val="21"/>
        </w:rPr>
        <w:t>人</w:t>
      </w:r>
      <w:r>
        <w:rPr>
          <w:rFonts w:ascii="宋体" w:hAnsi="宋体"/>
          <w:szCs w:val="21"/>
        </w:rPr>
        <w:t>在开放日办理基金份额的申购和赎回业务。</w:t>
      </w:r>
      <w:r>
        <w:rPr>
          <w:rFonts w:ascii="宋体" w:hAnsi="宋体" w:hint="eastAsia"/>
          <w:szCs w:val="21"/>
        </w:rPr>
        <w:t>鉴于</w:t>
      </w:r>
      <w:r w:rsidR="009D7611">
        <w:rPr>
          <w:rFonts w:ascii="宋体" w:hAnsi="宋体" w:hint="eastAsia"/>
          <w:szCs w:val="21"/>
        </w:rPr>
        <w:t>2026年1月19日</w:t>
      </w:r>
      <w:r>
        <w:rPr>
          <w:rFonts w:ascii="宋体" w:hAnsi="宋体" w:hint="eastAsia"/>
          <w:szCs w:val="21"/>
        </w:rPr>
        <w:t>纽约</w:t>
      </w:r>
      <w:r>
        <w:rPr>
          <w:rFonts w:ascii="宋体" w:hAnsi="宋体"/>
          <w:szCs w:val="21"/>
        </w:rPr>
        <w:t>交易所休市，</w:t>
      </w:r>
      <w:r>
        <w:rPr>
          <w:rFonts w:ascii="宋体" w:hAnsi="宋体" w:hint="eastAsia"/>
          <w:szCs w:val="21"/>
        </w:rPr>
        <w:t>本基金管理人决定于</w:t>
      </w:r>
      <w:r w:rsidR="009D7611">
        <w:rPr>
          <w:rFonts w:ascii="宋体" w:hAnsi="宋体" w:hint="eastAsia"/>
          <w:szCs w:val="21"/>
        </w:rPr>
        <w:t>2026年1月19日</w:t>
      </w:r>
      <w:r>
        <w:rPr>
          <w:rFonts w:ascii="宋体" w:hAnsi="宋体" w:hint="eastAsia"/>
          <w:szCs w:val="21"/>
        </w:rPr>
        <w:t>起暂停下列基金的申购、赎回及定期定额投资（</w:t>
      </w:r>
      <w:r>
        <w:rPr>
          <w:rFonts w:ascii="宋体" w:hAnsi="宋体"/>
          <w:szCs w:val="21"/>
        </w:rPr>
        <w:t>如有）</w:t>
      </w:r>
      <w:r>
        <w:rPr>
          <w:rFonts w:ascii="宋体" w:hAnsi="宋体" w:hint="eastAsia"/>
          <w:szCs w:val="21"/>
        </w:rPr>
        <w:t>业务，并自</w:t>
      </w:r>
      <w:r w:rsidR="009D7611">
        <w:rPr>
          <w:rFonts w:ascii="宋体" w:hAnsi="宋体" w:hint="eastAsia"/>
          <w:szCs w:val="21"/>
        </w:rPr>
        <w:t>2026年1月20日</w:t>
      </w:r>
      <w:r>
        <w:rPr>
          <w:rFonts w:ascii="宋体" w:hAnsi="宋体" w:hint="eastAsia"/>
          <w:szCs w:val="21"/>
        </w:rPr>
        <w:t>起恢复下列基金的申购、赎回及定期定额投资（</w:t>
      </w:r>
      <w:r>
        <w:rPr>
          <w:rFonts w:ascii="宋体" w:hAnsi="宋体"/>
          <w:szCs w:val="21"/>
        </w:rPr>
        <w:t>如有）</w:t>
      </w:r>
      <w:r>
        <w:rPr>
          <w:rFonts w:ascii="宋体" w:hAnsi="宋体" w:hint="eastAsia"/>
          <w:szCs w:val="21"/>
        </w:rPr>
        <w:t>业务，届时本基金管理人不再另行公告。</w:t>
      </w:r>
    </w:p>
    <w:p w:rsidR="00E164B2" w:rsidRDefault="00E164B2">
      <w:pPr>
        <w:jc w:val="left"/>
        <w:rPr>
          <w:rFonts w:ascii="宋体" w:hAnsi="宋体"/>
          <w:sz w:val="22"/>
          <w:szCs w:val="28"/>
        </w:rPr>
      </w:pPr>
    </w:p>
    <w:p w:rsidR="00E164B2" w:rsidRDefault="00714522">
      <w:pPr>
        <w:jc w:val="left"/>
        <w:rPr>
          <w:rFonts w:ascii="宋体" w:hAnsi="宋体"/>
          <w:sz w:val="22"/>
          <w:szCs w:val="28"/>
        </w:rPr>
      </w:pPr>
      <w:r>
        <w:rPr>
          <w:rFonts w:ascii="宋体" w:hAnsi="宋体" w:hint="eastAsia"/>
          <w:sz w:val="22"/>
          <w:szCs w:val="28"/>
        </w:rPr>
        <w:t>相关基金具体暂停及恢复相关业务如下表所示：</w:t>
      </w:r>
    </w:p>
    <w:tbl>
      <w:tblPr>
        <w:tblStyle w:val="a8"/>
        <w:tblW w:w="0" w:type="auto"/>
        <w:tblLook w:val="04A0"/>
      </w:tblPr>
      <w:tblGrid>
        <w:gridCol w:w="1325"/>
        <w:gridCol w:w="1140"/>
        <w:gridCol w:w="1036"/>
        <w:gridCol w:w="1080"/>
        <w:gridCol w:w="1081"/>
        <w:gridCol w:w="1081"/>
        <w:gridCol w:w="1059"/>
        <w:gridCol w:w="1032"/>
      </w:tblGrid>
      <w:tr w:rsidR="009321EC" w:rsidTr="009321EC">
        <w:trPr>
          <w:trHeight w:val="411"/>
        </w:trPr>
        <w:tc>
          <w:tcPr>
            <w:tcW w:w="1325" w:type="dxa"/>
            <w:vAlign w:val="center"/>
          </w:tcPr>
          <w:p w:rsidR="009321EC" w:rsidRDefault="009321EC">
            <w:r>
              <w:rPr>
                <w:rFonts w:hint="eastAsia"/>
              </w:rPr>
              <w:t>基金名称</w:t>
            </w:r>
          </w:p>
        </w:tc>
        <w:tc>
          <w:tcPr>
            <w:tcW w:w="1140" w:type="dxa"/>
            <w:vAlign w:val="center"/>
          </w:tcPr>
          <w:p w:rsidR="009321EC" w:rsidRDefault="009321EC">
            <w:r>
              <w:rPr>
                <w:rFonts w:hint="eastAsia"/>
              </w:rPr>
              <w:t>基金代码</w:t>
            </w:r>
          </w:p>
        </w:tc>
        <w:tc>
          <w:tcPr>
            <w:tcW w:w="1036" w:type="dxa"/>
            <w:vAlign w:val="center"/>
          </w:tcPr>
          <w:p w:rsidR="009321EC" w:rsidRDefault="0014502A" w:rsidP="009321EC">
            <w:pPr>
              <w:jc w:val="center"/>
            </w:pPr>
            <w:r>
              <w:rPr>
                <w:rFonts w:hint="eastAsia"/>
              </w:rPr>
              <w:t>场内</w:t>
            </w:r>
            <w:r w:rsidR="009321EC">
              <w:rPr>
                <w:rFonts w:hint="eastAsia"/>
              </w:rPr>
              <w:t>简称</w:t>
            </w:r>
          </w:p>
        </w:tc>
        <w:tc>
          <w:tcPr>
            <w:tcW w:w="1080" w:type="dxa"/>
            <w:vAlign w:val="center"/>
          </w:tcPr>
          <w:p w:rsidR="009321EC" w:rsidRDefault="009321EC">
            <w:r>
              <w:rPr>
                <w:rFonts w:hint="eastAsia"/>
              </w:rPr>
              <w:t>是否暂停</w:t>
            </w:r>
            <w:r>
              <w:rPr>
                <w:rFonts w:hint="eastAsia"/>
              </w:rPr>
              <w:t>/</w:t>
            </w:r>
            <w:r>
              <w:rPr>
                <w:rFonts w:hint="eastAsia"/>
              </w:rPr>
              <w:t>恢复申购业务</w:t>
            </w:r>
          </w:p>
        </w:tc>
        <w:tc>
          <w:tcPr>
            <w:tcW w:w="1081" w:type="dxa"/>
            <w:vAlign w:val="center"/>
          </w:tcPr>
          <w:p w:rsidR="009321EC" w:rsidRDefault="009321EC">
            <w:r>
              <w:rPr>
                <w:rFonts w:hint="eastAsia"/>
              </w:rPr>
              <w:t>是否暂停</w:t>
            </w:r>
            <w:r>
              <w:rPr>
                <w:rFonts w:hint="eastAsia"/>
              </w:rPr>
              <w:t>/</w:t>
            </w:r>
            <w:r>
              <w:rPr>
                <w:rFonts w:hint="eastAsia"/>
              </w:rPr>
              <w:t>恢复赎回业务</w:t>
            </w:r>
          </w:p>
        </w:tc>
        <w:tc>
          <w:tcPr>
            <w:tcW w:w="1081" w:type="dxa"/>
            <w:vAlign w:val="center"/>
          </w:tcPr>
          <w:p w:rsidR="009321EC" w:rsidRDefault="009321EC">
            <w:r>
              <w:rPr>
                <w:rFonts w:hint="eastAsia"/>
              </w:rPr>
              <w:t>是否暂停</w:t>
            </w:r>
            <w:r>
              <w:rPr>
                <w:rFonts w:hint="eastAsia"/>
              </w:rPr>
              <w:t>/</w:t>
            </w:r>
            <w:r>
              <w:rPr>
                <w:rFonts w:hint="eastAsia"/>
              </w:rPr>
              <w:t>恢复定期定额投资业务</w:t>
            </w:r>
          </w:p>
        </w:tc>
        <w:tc>
          <w:tcPr>
            <w:tcW w:w="1059" w:type="dxa"/>
            <w:vAlign w:val="center"/>
          </w:tcPr>
          <w:p w:rsidR="009321EC" w:rsidRDefault="009321EC">
            <w:r>
              <w:rPr>
                <w:rFonts w:hint="eastAsia"/>
              </w:rPr>
              <w:t>是否暂停</w:t>
            </w:r>
            <w:r>
              <w:rPr>
                <w:rFonts w:hint="eastAsia"/>
              </w:rPr>
              <w:t>/</w:t>
            </w:r>
            <w:r>
              <w:rPr>
                <w:rFonts w:hint="eastAsia"/>
              </w:rPr>
              <w:t>恢复转换转入业务</w:t>
            </w:r>
          </w:p>
        </w:tc>
        <w:tc>
          <w:tcPr>
            <w:tcW w:w="1032" w:type="dxa"/>
            <w:vAlign w:val="center"/>
          </w:tcPr>
          <w:p w:rsidR="009321EC" w:rsidRDefault="009321EC">
            <w:r>
              <w:rPr>
                <w:rFonts w:hint="eastAsia"/>
              </w:rPr>
              <w:t>是否暂停</w:t>
            </w:r>
            <w:r>
              <w:rPr>
                <w:rFonts w:hint="eastAsia"/>
              </w:rPr>
              <w:t>/</w:t>
            </w:r>
            <w:r>
              <w:rPr>
                <w:rFonts w:hint="eastAsia"/>
              </w:rPr>
              <w:t>恢复转换转出业务</w:t>
            </w:r>
          </w:p>
        </w:tc>
      </w:tr>
      <w:tr w:rsidR="009321EC" w:rsidTr="009321EC">
        <w:tc>
          <w:tcPr>
            <w:tcW w:w="1325" w:type="dxa"/>
            <w:vAlign w:val="center"/>
          </w:tcPr>
          <w:p w:rsidR="009321EC" w:rsidRDefault="009321EC">
            <w:pPr>
              <w:jc w:val="left"/>
              <w:rPr>
                <w:rFonts w:ascii="宋体" w:hAnsi="宋体"/>
                <w:szCs w:val="21"/>
              </w:rPr>
            </w:pPr>
            <w:r>
              <w:rPr>
                <w:rFonts w:ascii="宋体" w:hAnsi="宋体" w:hint="eastAsia"/>
                <w:szCs w:val="21"/>
              </w:rPr>
              <w:t>银华抗通胀主题证券投资基金(LOF)</w:t>
            </w:r>
          </w:p>
        </w:tc>
        <w:tc>
          <w:tcPr>
            <w:tcW w:w="1140" w:type="dxa"/>
            <w:vAlign w:val="center"/>
          </w:tcPr>
          <w:p w:rsidR="009321EC" w:rsidRDefault="009321EC" w:rsidP="009321EC">
            <w:pPr>
              <w:jc w:val="center"/>
            </w:pPr>
            <w:r>
              <w:rPr>
                <w:rFonts w:hint="eastAsia"/>
              </w:rPr>
              <w:t>A:</w:t>
            </w:r>
            <w:r>
              <w:t xml:space="preserve"> </w:t>
            </w:r>
            <w:r>
              <w:rPr>
                <w:rFonts w:hint="eastAsia"/>
              </w:rPr>
              <w:t>1</w:t>
            </w:r>
            <w:r>
              <w:t>61815</w:t>
            </w:r>
          </w:p>
          <w:p w:rsidR="009321EC" w:rsidRDefault="009321EC" w:rsidP="009321EC">
            <w:pPr>
              <w:jc w:val="center"/>
            </w:pPr>
            <w:r>
              <w:t>C</w:t>
            </w:r>
            <w:r>
              <w:rPr>
                <w:rFonts w:hint="eastAsia"/>
              </w:rPr>
              <w:t>:</w:t>
            </w:r>
            <w:r>
              <w:t xml:space="preserve"> 021694</w:t>
            </w:r>
          </w:p>
        </w:tc>
        <w:tc>
          <w:tcPr>
            <w:tcW w:w="1036" w:type="dxa"/>
            <w:vAlign w:val="center"/>
          </w:tcPr>
          <w:p w:rsidR="0035652D" w:rsidRDefault="0035652D" w:rsidP="009321EC">
            <w:pPr>
              <w:jc w:val="center"/>
            </w:pPr>
          </w:p>
          <w:p w:rsidR="009321EC" w:rsidRDefault="0035652D" w:rsidP="009321EC">
            <w:pPr>
              <w:jc w:val="center"/>
            </w:pPr>
            <w:r>
              <w:t xml:space="preserve">A: </w:t>
            </w:r>
            <w:r w:rsidR="009321EC">
              <w:rPr>
                <w:rFonts w:hint="eastAsia"/>
              </w:rPr>
              <w:t>抗通胀</w:t>
            </w:r>
            <w:r w:rsidR="009321EC">
              <w:rPr>
                <w:rFonts w:hint="eastAsia"/>
              </w:rPr>
              <w:t>LOF</w:t>
            </w:r>
          </w:p>
        </w:tc>
        <w:tc>
          <w:tcPr>
            <w:tcW w:w="1080" w:type="dxa"/>
            <w:vAlign w:val="center"/>
          </w:tcPr>
          <w:p w:rsidR="009321EC" w:rsidRDefault="009321EC">
            <w:pPr>
              <w:jc w:val="center"/>
            </w:pPr>
            <w:r>
              <w:rPr>
                <w:rFonts w:hint="eastAsia"/>
              </w:rPr>
              <w:t>是</w:t>
            </w:r>
          </w:p>
        </w:tc>
        <w:tc>
          <w:tcPr>
            <w:tcW w:w="1081" w:type="dxa"/>
            <w:vAlign w:val="center"/>
          </w:tcPr>
          <w:p w:rsidR="009321EC" w:rsidRDefault="009321EC">
            <w:pPr>
              <w:jc w:val="center"/>
            </w:pPr>
            <w:r>
              <w:rPr>
                <w:rFonts w:hint="eastAsia"/>
              </w:rPr>
              <w:t>是</w:t>
            </w:r>
          </w:p>
        </w:tc>
        <w:tc>
          <w:tcPr>
            <w:tcW w:w="1081" w:type="dxa"/>
            <w:vAlign w:val="center"/>
          </w:tcPr>
          <w:p w:rsidR="009321EC" w:rsidRDefault="009321EC">
            <w:pPr>
              <w:jc w:val="center"/>
            </w:pPr>
            <w:r>
              <w:rPr>
                <w:rFonts w:hint="eastAsia"/>
              </w:rPr>
              <w:t>是</w:t>
            </w:r>
          </w:p>
        </w:tc>
        <w:tc>
          <w:tcPr>
            <w:tcW w:w="1059" w:type="dxa"/>
            <w:vAlign w:val="center"/>
          </w:tcPr>
          <w:p w:rsidR="009321EC" w:rsidRDefault="009321EC">
            <w:pPr>
              <w:jc w:val="center"/>
              <w:rPr>
                <w:b/>
              </w:rPr>
            </w:pPr>
            <w:r>
              <w:rPr>
                <w:rFonts w:hint="eastAsia"/>
              </w:rPr>
              <w:t>不适用</w:t>
            </w:r>
          </w:p>
        </w:tc>
        <w:tc>
          <w:tcPr>
            <w:tcW w:w="1032" w:type="dxa"/>
            <w:vAlign w:val="center"/>
          </w:tcPr>
          <w:p w:rsidR="009321EC" w:rsidRDefault="009321EC">
            <w:pPr>
              <w:jc w:val="center"/>
            </w:pPr>
            <w:r>
              <w:rPr>
                <w:rFonts w:hint="eastAsia"/>
              </w:rPr>
              <w:t>不适用</w:t>
            </w:r>
          </w:p>
        </w:tc>
      </w:tr>
      <w:tr w:rsidR="009321EC" w:rsidTr="009321EC">
        <w:tc>
          <w:tcPr>
            <w:tcW w:w="1325" w:type="dxa"/>
            <w:vAlign w:val="center"/>
          </w:tcPr>
          <w:p w:rsidR="009321EC" w:rsidRDefault="009321EC">
            <w:pPr>
              <w:jc w:val="left"/>
              <w:rPr>
                <w:rFonts w:ascii="宋体" w:hAnsi="宋体"/>
                <w:szCs w:val="21"/>
              </w:rPr>
            </w:pPr>
            <w:r>
              <w:rPr>
                <w:rFonts w:ascii="宋体" w:hAnsi="宋体" w:hint="eastAsia"/>
                <w:szCs w:val="21"/>
              </w:rPr>
              <w:t>银华工银南方东英标普中国新经济行业交易型开放式指数证券投资基金（QDII）</w:t>
            </w:r>
          </w:p>
        </w:tc>
        <w:tc>
          <w:tcPr>
            <w:tcW w:w="1140" w:type="dxa"/>
            <w:vAlign w:val="center"/>
          </w:tcPr>
          <w:p w:rsidR="009321EC" w:rsidRDefault="009321EC" w:rsidP="009321EC">
            <w:pPr>
              <w:jc w:val="center"/>
            </w:pPr>
            <w:r>
              <w:rPr>
                <w:rFonts w:hint="eastAsia"/>
              </w:rPr>
              <w:t>1</w:t>
            </w:r>
            <w:r>
              <w:t>59822</w:t>
            </w:r>
          </w:p>
        </w:tc>
        <w:tc>
          <w:tcPr>
            <w:tcW w:w="1036" w:type="dxa"/>
            <w:vAlign w:val="center"/>
          </w:tcPr>
          <w:p w:rsidR="009321EC" w:rsidRDefault="009321EC" w:rsidP="009321EC">
            <w:pPr>
              <w:jc w:val="center"/>
            </w:pPr>
            <w:r>
              <w:rPr>
                <w:rFonts w:hint="eastAsia"/>
              </w:rPr>
              <w:t>新经济</w:t>
            </w:r>
            <w:r>
              <w:rPr>
                <w:rFonts w:hint="eastAsia"/>
              </w:rPr>
              <w:t>ETF</w:t>
            </w:r>
          </w:p>
        </w:tc>
        <w:tc>
          <w:tcPr>
            <w:tcW w:w="1080" w:type="dxa"/>
            <w:vAlign w:val="center"/>
          </w:tcPr>
          <w:p w:rsidR="009321EC" w:rsidRDefault="009321EC">
            <w:pPr>
              <w:jc w:val="center"/>
            </w:pPr>
            <w:r>
              <w:rPr>
                <w:rFonts w:hint="eastAsia"/>
              </w:rPr>
              <w:t>是</w:t>
            </w:r>
          </w:p>
        </w:tc>
        <w:tc>
          <w:tcPr>
            <w:tcW w:w="1081" w:type="dxa"/>
            <w:vAlign w:val="center"/>
          </w:tcPr>
          <w:p w:rsidR="009321EC" w:rsidRDefault="009321EC">
            <w:pPr>
              <w:jc w:val="center"/>
            </w:pPr>
            <w:r>
              <w:rPr>
                <w:rFonts w:hint="eastAsia"/>
              </w:rPr>
              <w:t>是</w:t>
            </w:r>
          </w:p>
        </w:tc>
        <w:tc>
          <w:tcPr>
            <w:tcW w:w="1081" w:type="dxa"/>
            <w:vAlign w:val="center"/>
          </w:tcPr>
          <w:p w:rsidR="009321EC" w:rsidRDefault="009321EC">
            <w:pPr>
              <w:jc w:val="center"/>
            </w:pPr>
            <w:r>
              <w:rPr>
                <w:rFonts w:hint="eastAsia"/>
              </w:rPr>
              <w:t>不适用</w:t>
            </w:r>
          </w:p>
        </w:tc>
        <w:tc>
          <w:tcPr>
            <w:tcW w:w="1059" w:type="dxa"/>
            <w:vAlign w:val="center"/>
          </w:tcPr>
          <w:p w:rsidR="009321EC" w:rsidRDefault="009321EC">
            <w:pPr>
              <w:jc w:val="center"/>
            </w:pPr>
            <w:r>
              <w:rPr>
                <w:rFonts w:hint="eastAsia"/>
              </w:rPr>
              <w:t>不适用</w:t>
            </w:r>
          </w:p>
        </w:tc>
        <w:tc>
          <w:tcPr>
            <w:tcW w:w="1032" w:type="dxa"/>
            <w:vAlign w:val="center"/>
          </w:tcPr>
          <w:p w:rsidR="009321EC" w:rsidRDefault="009321EC">
            <w:pPr>
              <w:jc w:val="center"/>
            </w:pPr>
            <w:r>
              <w:rPr>
                <w:rFonts w:hint="eastAsia"/>
              </w:rPr>
              <w:t>不适用</w:t>
            </w:r>
          </w:p>
        </w:tc>
      </w:tr>
      <w:tr w:rsidR="009321EC" w:rsidTr="009321EC">
        <w:tc>
          <w:tcPr>
            <w:tcW w:w="1325" w:type="dxa"/>
            <w:vAlign w:val="center"/>
          </w:tcPr>
          <w:p w:rsidR="009321EC" w:rsidRDefault="009321EC">
            <w:pPr>
              <w:jc w:val="left"/>
              <w:rPr>
                <w:rFonts w:ascii="宋体" w:hAnsi="宋体"/>
                <w:szCs w:val="21"/>
              </w:rPr>
            </w:pPr>
            <w:r>
              <w:rPr>
                <w:rFonts w:ascii="宋体" w:hAnsi="宋体" w:hint="eastAsia"/>
                <w:szCs w:val="21"/>
              </w:rPr>
              <w:t>银华全球新能源车量化优选股票型发起式证券投资基金（QDII）</w:t>
            </w:r>
          </w:p>
        </w:tc>
        <w:tc>
          <w:tcPr>
            <w:tcW w:w="1140" w:type="dxa"/>
            <w:vAlign w:val="center"/>
          </w:tcPr>
          <w:p w:rsidR="009321EC" w:rsidRDefault="009321EC" w:rsidP="009321EC">
            <w:pPr>
              <w:jc w:val="center"/>
            </w:pPr>
            <w:r>
              <w:t>A: 015204</w:t>
            </w:r>
          </w:p>
          <w:p w:rsidR="009321EC" w:rsidRDefault="009321EC" w:rsidP="009321EC">
            <w:pPr>
              <w:jc w:val="center"/>
            </w:pPr>
            <w:r>
              <w:t>C: 015205</w:t>
            </w:r>
          </w:p>
        </w:tc>
        <w:tc>
          <w:tcPr>
            <w:tcW w:w="1036" w:type="dxa"/>
            <w:vAlign w:val="center"/>
          </w:tcPr>
          <w:p w:rsidR="009321EC" w:rsidRDefault="00C5634F" w:rsidP="009321EC">
            <w:pPr>
              <w:jc w:val="center"/>
            </w:pPr>
            <w:r>
              <w:rPr>
                <w:rFonts w:hint="eastAsia"/>
              </w:rPr>
              <w:t>-</w:t>
            </w:r>
          </w:p>
        </w:tc>
        <w:tc>
          <w:tcPr>
            <w:tcW w:w="1080" w:type="dxa"/>
            <w:vAlign w:val="center"/>
          </w:tcPr>
          <w:p w:rsidR="009321EC" w:rsidRDefault="009321EC">
            <w:pPr>
              <w:jc w:val="center"/>
            </w:pPr>
            <w:r>
              <w:rPr>
                <w:rFonts w:hint="eastAsia"/>
              </w:rPr>
              <w:t>是</w:t>
            </w:r>
          </w:p>
        </w:tc>
        <w:tc>
          <w:tcPr>
            <w:tcW w:w="1081" w:type="dxa"/>
            <w:vAlign w:val="center"/>
          </w:tcPr>
          <w:p w:rsidR="009321EC" w:rsidRDefault="009321EC">
            <w:pPr>
              <w:jc w:val="center"/>
            </w:pPr>
            <w:r>
              <w:rPr>
                <w:rFonts w:hint="eastAsia"/>
              </w:rPr>
              <w:t>是</w:t>
            </w:r>
          </w:p>
        </w:tc>
        <w:tc>
          <w:tcPr>
            <w:tcW w:w="1081" w:type="dxa"/>
            <w:vAlign w:val="center"/>
          </w:tcPr>
          <w:p w:rsidR="009321EC" w:rsidRDefault="009321EC">
            <w:pPr>
              <w:jc w:val="center"/>
            </w:pPr>
            <w:r>
              <w:rPr>
                <w:rFonts w:hint="eastAsia"/>
              </w:rPr>
              <w:t>是</w:t>
            </w:r>
          </w:p>
        </w:tc>
        <w:tc>
          <w:tcPr>
            <w:tcW w:w="1059" w:type="dxa"/>
            <w:vAlign w:val="center"/>
          </w:tcPr>
          <w:p w:rsidR="009321EC" w:rsidRDefault="009321EC">
            <w:pPr>
              <w:jc w:val="center"/>
            </w:pPr>
            <w:r>
              <w:rPr>
                <w:rFonts w:hint="eastAsia"/>
              </w:rPr>
              <w:t>不适用</w:t>
            </w:r>
          </w:p>
        </w:tc>
        <w:tc>
          <w:tcPr>
            <w:tcW w:w="1032" w:type="dxa"/>
            <w:vAlign w:val="center"/>
          </w:tcPr>
          <w:p w:rsidR="009321EC" w:rsidRDefault="009321EC">
            <w:pPr>
              <w:jc w:val="center"/>
            </w:pPr>
            <w:r>
              <w:rPr>
                <w:rFonts w:hint="eastAsia"/>
              </w:rPr>
              <w:t>不适用</w:t>
            </w:r>
          </w:p>
        </w:tc>
      </w:tr>
      <w:tr w:rsidR="009321EC" w:rsidTr="009321EC">
        <w:tc>
          <w:tcPr>
            <w:tcW w:w="1325" w:type="dxa"/>
            <w:vAlign w:val="center"/>
          </w:tcPr>
          <w:p w:rsidR="009321EC" w:rsidRDefault="009321EC" w:rsidP="00E50C3F">
            <w:pPr>
              <w:jc w:val="left"/>
              <w:rPr>
                <w:rFonts w:ascii="宋体" w:hAnsi="宋体"/>
                <w:szCs w:val="21"/>
              </w:rPr>
            </w:pPr>
            <w:r>
              <w:rPr>
                <w:rFonts w:ascii="宋体" w:hAnsi="宋体" w:hint="eastAsia"/>
                <w:szCs w:val="21"/>
              </w:rPr>
              <w:t>银华海外数字经济量化选股混合型发起式证券投资基金</w:t>
            </w:r>
            <w:r>
              <w:rPr>
                <w:rFonts w:ascii="宋体" w:hAnsi="宋体" w:hint="eastAsia"/>
                <w:szCs w:val="21"/>
              </w:rPr>
              <w:lastRenderedPageBreak/>
              <w:t>（QDII）</w:t>
            </w:r>
          </w:p>
        </w:tc>
        <w:tc>
          <w:tcPr>
            <w:tcW w:w="1140" w:type="dxa"/>
            <w:vAlign w:val="center"/>
          </w:tcPr>
          <w:p w:rsidR="009321EC" w:rsidRDefault="009321EC" w:rsidP="009321EC">
            <w:pPr>
              <w:jc w:val="center"/>
            </w:pPr>
            <w:r>
              <w:lastRenderedPageBreak/>
              <w:t>A: 016701</w:t>
            </w:r>
          </w:p>
          <w:p w:rsidR="009321EC" w:rsidRDefault="009321EC" w:rsidP="009321EC">
            <w:pPr>
              <w:jc w:val="center"/>
            </w:pPr>
            <w:r>
              <w:t>C: 016702</w:t>
            </w:r>
          </w:p>
        </w:tc>
        <w:tc>
          <w:tcPr>
            <w:tcW w:w="1036" w:type="dxa"/>
            <w:vAlign w:val="center"/>
          </w:tcPr>
          <w:p w:rsidR="009321EC" w:rsidRDefault="00C5634F" w:rsidP="009321EC">
            <w:pPr>
              <w:jc w:val="center"/>
            </w:pPr>
            <w:r>
              <w:rPr>
                <w:rFonts w:hint="eastAsia"/>
              </w:rPr>
              <w:t>-</w:t>
            </w:r>
          </w:p>
        </w:tc>
        <w:tc>
          <w:tcPr>
            <w:tcW w:w="1080" w:type="dxa"/>
            <w:vAlign w:val="center"/>
          </w:tcPr>
          <w:p w:rsidR="009321EC" w:rsidRDefault="009321EC" w:rsidP="00E50C3F">
            <w:pPr>
              <w:jc w:val="center"/>
            </w:pPr>
            <w:r>
              <w:rPr>
                <w:rFonts w:hint="eastAsia"/>
              </w:rPr>
              <w:t>是</w:t>
            </w:r>
          </w:p>
        </w:tc>
        <w:tc>
          <w:tcPr>
            <w:tcW w:w="1081" w:type="dxa"/>
            <w:vAlign w:val="center"/>
          </w:tcPr>
          <w:p w:rsidR="009321EC" w:rsidRDefault="009321EC" w:rsidP="00E50C3F">
            <w:pPr>
              <w:jc w:val="center"/>
            </w:pPr>
            <w:r>
              <w:rPr>
                <w:rFonts w:hint="eastAsia"/>
              </w:rPr>
              <w:t>是</w:t>
            </w:r>
          </w:p>
        </w:tc>
        <w:tc>
          <w:tcPr>
            <w:tcW w:w="1081" w:type="dxa"/>
            <w:vAlign w:val="center"/>
          </w:tcPr>
          <w:p w:rsidR="009321EC" w:rsidRDefault="009321EC" w:rsidP="00E50C3F">
            <w:pPr>
              <w:jc w:val="center"/>
            </w:pPr>
            <w:r>
              <w:rPr>
                <w:rFonts w:hint="eastAsia"/>
              </w:rPr>
              <w:t>是</w:t>
            </w:r>
          </w:p>
        </w:tc>
        <w:tc>
          <w:tcPr>
            <w:tcW w:w="1059" w:type="dxa"/>
            <w:vAlign w:val="center"/>
          </w:tcPr>
          <w:p w:rsidR="009321EC" w:rsidRDefault="009321EC" w:rsidP="00E50C3F">
            <w:pPr>
              <w:jc w:val="center"/>
            </w:pPr>
            <w:r>
              <w:rPr>
                <w:rFonts w:hint="eastAsia"/>
              </w:rPr>
              <w:t>不适用</w:t>
            </w:r>
          </w:p>
        </w:tc>
        <w:tc>
          <w:tcPr>
            <w:tcW w:w="1032" w:type="dxa"/>
            <w:vAlign w:val="center"/>
          </w:tcPr>
          <w:p w:rsidR="009321EC" w:rsidRDefault="009321EC" w:rsidP="00E50C3F">
            <w:pPr>
              <w:jc w:val="center"/>
            </w:pPr>
            <w:r>
              <w:rPr>
                <w:rFonts w:hint="eastAsia"/>
              </w:rPr>
              <w:t>不适用</w:t>
            </w:r>
          </w:p>
        </w:tc>
      </w:tr>
    </w:tbl>
    <w:p w:rsidR="00E164B2" w:rsidRDefault="00E164B2">
      <w:pPr>
        <w:rPr>
          <w:rFonts w:ascii="宋体" w:hAnsi="宋体"/>
          <w:bCs/>
          <w:szCs w:val="21"/>
        </w:rPr>
      </w:pPr>
    </w:p>
    <w:p w:rsidR="00E164B2" w:rsidRDefault="00E164B2">
      <w:pPr>
        <w:rPr>
          <w:rFonts w:ascii="宋体" w:hAnsi="宋体"/>
          <w:szCs w:val="21"/>
        </w:rPr>
      </w:pPr>
    </w:p>
    <w:p w:rsidR="00E164B2" w:rsidRDefault="00714522" w:rsidP="001E1E8B">
      <w:pPr>
        <w:pStyle w:val="2"/>
        <w:spacing w:beforeLines="50" w:afterLines="50" w:line="240" w:lineRule="auto"/>
        <w:jc w:val="left"/>
        <w:rPr>
          <w:rFonts w:ascii="宋体" w:eastAsia="宋体" w:hAnsi="宋体"/>
          <w:bCs/>
          <w:sz w:val="24"/>
          <w:szCs w:val="24"/>
        </w:rPr>
      </w:pPr>
      <w:bookmarkStart w:id="0" w:name="t_3_2_table"/>
      <w:bookmarkEnd w:id="0"/>
      <w:r>
        <w:rPr>
          <w:rFonts w:ascii="宋体" w:eastAsia="宋体" w:hAnsi="宋体" w:hint="eastAsia"/>
          <w:bCs/>
          <w:sz w:val="24"/>
          <w:szCs w:val="24"/>
        </w:rPr>
        <w:t>其他需要提示的事项</w:t>
      </w:r>
    </w:p>
    <w:p w:rsidR="00C738D0" w:rsidRDefault="00714522" w:rsidP="00C738D0">
      <w:pPr>
        <w:spacing w:line="360" w:lineRule="auto"/>
        <w:ind w:firstLineChars="200" w:firstLine="420"/>
        <w:rPr>
          <w:rFonts w:ascii="宋体" w:hAnsi="宋体"/>
          <w:szCs w:val="21"/>
        </w:rPr>
      </w:pPr>
      <w:bookmarkStart w:id="1" w:name="t_3_2_2646_a1_fm1"/>
      <w:bookmarkEnd w:id="1"/>
      <w:r>
        <w:rPr>
          <w:rFonts w:ascii="宋体" w:hAnsi="宋体"/>
          <w:szCs w:val="21"/>
        </w:rPr>
        <w:t>1</w:t>
      </w:r>
      <w:r>
        <w:rPr>
          <w:rFonts w:ascii="宋体" w:hAnsi="宋体" w:hint="eastAsia"/>
          <w:szCs w:val="21"/>
        </w:rPr>
        <w:t>、在</w:t>
      </w:r>
      <w:r w:rsidR="009D7611">
        <w:rPr>
          <w:rFonts w:ascii="宋体" w:hAnsi="宋体" w:hint="eastAsia"/>
          <w:szCs w:val="21"/>
        </w:rPr>
        <w:t>2026年1月19日</w:t>
      </w:r>
      <w:r>
        <w:rPr>
          <w:rFonts w:ascii="宋体" w:hAnsi="宋体" w:hint="eastAsia"/>
          <w:szCs w:val="21"/>
        </w:rPr>
        <w:t>，银华工银南方东英标普中国新经济行业交易型开放式指数证券投资基金（QDII）、</w:t>
      </w:r>
      <w:r w:rsidR="00473980">
        <w:t>银华抗通胀主题证券投资基金</w:t>
      </w:r>
      <w:r w:rsidR="00473980">
        <w:t>(LOF)A</w:t>
      </w:r>
      <w:r w:rsidR="00473980">
        <w:t>类基金份额的二级市场交易业务将正常进行</w:t>
      </w:r>
      <w:r>
        <w:rPr>
          <w:rFonts w:ascii="宋体" w:hAnsi="宋体" w:hint="eastAsia"/>
          <w:szCs w:val="21"/>
        </w:rPr>
        <w:t>。</w:t>
      </w:r>
    </w:p>
    <w:p w:rsidR="00C738D0" w:rsidRPr="00C738D0" w:rsidRDefault="00C738D0" w:rsidP="00C738D0">
      <w:pPr>
        <w:spacing w:line="360" w:lineRule="auto"/>
        <w:ind w:firstLineChars="200" w:firstLine="420"/>
        <w:rPr>
          <w:rFonts w:ascii="宋体" w:hAnsi="宋体"/>
          <w:szCs w:val="21"/>
        </w:rPr>
      </w:pPr>
      <w:r>
        <w:rPr>
          <w:rFonts w:ascii="宋体" w:hAnsi="宋体" w:hint="eastAsia"/>
          <w:szCs w:val="21"/>
        </w:rPr>
        <w:t>2、</w:t>
      </w:r>
      <w:r w:rsidRPr="00C738D0">
        <w:rPr>
          <w:rFonts w:ascii="宋体" w:hAnsi="宋体" w:hint="eastAsia"/>
          <w:szCs w:val="21"/>
        </w:rPr>
        <w:t>本基金管理人已于2025年</w:t>
      </w:r>
      <w:r w:rsidR="004A2627">
        <w:rPr>
          <w:rFonts w:ascii="宋体" w:hAnsi="宋体"/>
          <w:szCs w:val="21"/>
        </w:rPr>
        <w:t>12</w:t>
      </w:r>
      <w:r w:rsidRPr="00C738D0">
        <w:rPr>
          <w:rFonts w:ascii="宋体" w:hAnsi="宋体" w:hint="eastAsia"/>
          <w:szCs w:val="21"/>
        </w:rPr>
        <w:t>月</w:t>
      </w:r>
      <w:r w:rsidR="004A2627">
        <w:rPr>
          <w:rFonts w:ascii="宋体" w:hAnsi="宋体"/>
          <w:szCs w:val="21"/>
        </w:rPr>
        <w:t>16</w:t>
      </w:r>
      <w:r w:rsidRPr="00C738D0">
        <w:rPr>
          <w:rFonts w:ascii="宋体" w:hAnsi="宋体" w:hint="eastAsia"/>
          <w:szCs w:val="21"/>
        </w:rPr>
        <w:t>日发布公告，银华海外数字经济量化选股混合型发起式证券投资基金（QDII）（基金代码：A：016701；C：016702）自2025年</w:t>
      </w:r>
      <w:r>
        <w:rPr>
          <w:rFonts w:ascii="宋体" w:hAnsi="宋体"/>
          <w:szCs w:val="21"/>
        </w:rPr>
        <w:t>1</w:t>
      </w:r>
      <w:r w:rsidR="004A2627">
        <w:rPr>
          <w:rFonts w:ascii="宋体" w:hAnsi="宋体"/>
          <w:szCs w:val="21"/>
        </w:rPr>
        <w:t>2</w:t>
      </w:r>
      <w:r w:rsidRPr="00C738D0">
        <w:rPr>
          <w:rFonts w:ascii="宋体" w:hAnsi="宋体" w:hint="eastAsia"/>
          <w:szCs w:val="21"/>
        </w:rPr>
        <w:t>月</w:t>
      </w:r>
      <w:r w:rsidR="004A2627">
        <w:rPr>
          <w:rFonts w:ascii="宋体" w:hAnsi="宋体"/>
          <w:szCs w:val="21"/>
        </w:rPr>
        <w:t>16</w:t>
      </w:r>
      <w:r w:rsidRPr="00C738D0">
        <w:rPr>
          <w:rFonts w:ascii="宋体" w:hAnsi="宋体" w:hint="eastAsia"/>
          <w:szCs w:val="21"/>
        </w:rPr>
        <w:t>日起</w:t>
      </w:r>
      <w:r w:rsidR="004A2627">
        <w:rPr>
          <w:rFonts w:ascii="宋体" w:hAnsi="宋体" w:hint="eastAsia"/>
          <w:szCs w:val="21"/>
        </w:rPr>
        <w:t>调整</w:t>
      </w:r>
      <w:r w:rsidRPr="00C738D0">
        <w:rPr>
          <w:rFonts w:ascii="宋体" w:hAnsi="宋体" w:hint="eastAsia"/>
          <w:szCs w:val="21"/>
        </w:rPr>
        <w:t>大额申购（含定期定额投资）业务限额，详情请参见相关公告。自</w:t>
      </w:r>
      <w:r w:rsidR="009D7611">
        <w:rPr>
          <w:rFonts w:ascii="宋体" w:hAnsi="宋体" w:hint="eastAsia"/>
          <w:szCs w:val="21"/>
        </w:rPr>
        <w:t>2026年1月20日</w:t>
      </w:r>
      <w:r w:rsidRPr="00C738D0">
        <w:rPr>
          <w:rFonts w:ascii="宋体" w:hAnsi="宋体" w:hint="eastAsia"/>
          <w:szCs w:val="21"/>
        </w:rPr>
        <w:t>起银华海外数字经济量化选股混合型发起式证券投资基金（QDII）继续暂停</w:t>
      </w:r>
      <w:r w:rsidR="004A2627">
        <w:rPr>
          <w:rFonts w:ascii="宋体" w:hAnsi="宋体"/>
          <w:szCs w:val="21"/>
        </w:rPr>
        <w:t>10</w:t>
      </w:r>
      <w:r>
        <w:rPr>
          <w:rFonts w:ascii="宋体" w:hAnsi="宋体"/>
          <w:szCs w:val="21"/>
        </w:rPr>
        <w:t>000</w:t>
      </w:r>
      <w:r w:rsidRPr="00C738D0">
        <w:rPr>
          <w:rFonts w:ascii="宋体" w:hAnsi="宋体" w:hint="eastAsia"/>
          <w:szCs w:val="21"/>
        </w:rPr>
        <w:t>元以上的大额申购（含定期定额投资）业务。届时不再另行公告，敬请投资者留意。</w:t>
      </w:r>
      <w:bookmarkStart w:id="2" w:name="_GoBack"/>
      <w:bookmarkEnd w:id="2"/>
    </w:p>
    <w:p w:rsidR="00E164B2" w:rsidRDefault="00C738D0">
      <w:pPr>
        <w:spacing w:line="360" w:lineRule="auto"/>
        <w:ind w:firstLineChars="200" w:firstLine="420"/>
        <w:rPr>
          <w:rFonts w:ascii="宋体" w:hAnsi="宋体"/>
          <w:szCs w:val="21"/>
        </w:rPr>
      </w:pPr>
      <w:r>
        <w:rPr>
          <w:rFonts w:ascii="宋体" w:hAnsi="宋体"/>
          <w:szCs w:val="21"/>
        </w:rPr>
        <w:t>3</w:t>
      </w:r>
      <w:r w:rsidR="00714522">
        <w:rPr>
          <w:rFonts w:ascii="宋体" w:hAnsi="宋体" w:hint="eastAsia"/>
          <w:szCs w:val="21"/>
        </w:rPr>
        <w:t>、若境外交易所休市日安排、境外主要投资场所状况等发生变化，或根据法律法规、基金合同等规定需要调整上述事项的，本公司将相应调整并及时公告。为避免因境外交易所休市原因带来的不便，请投资者提前进行相关的业务安排。 投资者可登录本公司网站（www.yhfund.com.cn）或拨打本公司客户服务电话（010-85186558或者400-678-3333）获取相关信息。</w:t>
      </w:r>
    </w:p>
    <w:p w:rsidR="00E164B2" w:rsidRDefault="00C738D0">
      <w:pPr>
        <w:spacing w:line="360" w:lineRule="auto"/>
        <w:ind w:firstLineChars="200" w:firstLine="420"/>
        <w:rPr>
          <w:rFonts w:ascii="宋体" w:hAnsi="宋体"/>
          <w:szCs w:val="21"/>
        </w:rPr>
      </w:pPr>
      <w:r>
        <w:rPr>
          <w:rFonts w:ascii="宋体" w:hAnsi="宋体"/>
          <w:szCs w:val="21"/>
        </w:rPr>
        <w:t>4</w:t>
      </w:r>
      <w:r w:rsidR="00714522">
        <w:rPr>
          <w:rFonts w:ascii="宋体" w:hAnsi="宋体"/>
          <w:szCs w:val="21"/>
        </w:rPr>
        <w:t>、基金管理人承诺以诚实信用、勤勉尽责的原则管理和运用基金资产，但不保证基金一定盈利，也不保证最低收益。敬请投资者留意投资风险。</w:t>
      </w:r>
    </w:p>
    <w:p w:rsidR="00E164B2" w:rsidRDefault="00E164B2">
      <w:pPr>
        <w:spacing w:line="360" w:lineRule="auto"/>
        <w:jc w:val="left"/>
        <w:rPr>
          <w:rFonts w:ascii="宋体" w:hAnsi="宋体"/>
          <w:szCs w:val="21"/>
        </w:rPr>
      </w:pPr>
    </w:p>
    <w:p w:rsidR="00E164B2" w:rsidRDefault="00714522">
      <w:pPr>
        <w:spacing w:line="360" w:lineRule="auto"/>
        <w:ind w:firstLineChars="200" w:firstLine="420"/>
        <w:jc w:val="left"/>
        <w:rPr>
          <w:rFonts w:ascii="宋体" w:hAnsi="宋体"/>
          <w:szCs w:val="21"/>
        </w:rPr>
      </w:pPr>
      <w:r>
        <w:rPr>
          <w:rFonts w:ascii="宋体" w:hAnsi="宋体" w:hint="eastAsia"/>
          <w:szCs w:val="21"/>
        </w:rPr>
        <w:t>特此公告。</w:t>
      </w:r>
    </w:p>
    <w:p w:rsidR="00E164B2" w:rsidRDefault="00714522">
      <w:pPr>
        <w:spacing w:line="360" w:lineRule="auto"/>
        <w:jc w:val="right"/>
        <w:rPr>
          <w:rFonts w:ascii="宋体" w:hAnsi="宋体"/>
          <w:szCs w:val="21"/>
        </w:rPr>
      </w:pPr>
      <w:r>
        <w:rPr>
          <w:rFonts w:ascii="宋体" w:hAnsi="宋体"/>
          <w:szCs w:val="21"/>
        </w:rPr>
        <w:t>银华基金管理</w:t>
      </w:r>
      <w:r>
        <w:rPr>
          <w:rFonts w:ascii="宋体" w:hAnsi="宋体" w:hint="eastAsia"/>
          <w:szCs w:val="21"/>
        </w:rPr>
        <w:t>股份</w:t>
      </w:r>
      <w:r>
        <w:rPr>
          <w:rFonts w:ascii="宋体" w:hAnsi="宋体"/>
          <w:szCs w:val="21"/>
        </w:rPr>
        <w:t>有限公司</w:t>
      </w:r>
    </w:p>
    <w:p w:rsidR="00E164B2" w:rsidRDefault="009D7611">
      <w:pPr>
        <w:spacing w:line="360" w:lineRule="auto"/>
        <w:jc w:val="right"/>
        <w:rPr>
          <w:rFonts w:ascii="宋体" w:hAnsi="宋体"/>
          <w:szCs w:val="21"/>
        </w:rPr>
      </w:pPr>
      <w:r>
        <w:rPr>
          <w:rFonts w:ascii="宋体" w:hAnsi="宋体" w:hint="eastAsia"/>
          <w:szCs w:val="21"/>
        </w:rPr>
        <w:t>2026年1月15日</w:t>
      </w:r>
    </w:p>
    <w:sectPr w:rsidR="00E164B2" w:rsidSect="007E7486">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73D" w:rsidRDefault="00EA673D">
      <w:r>
        <w:separator/>
      </w:r>
    </w:p>
  </w:endnote>
  <w:endnote w:type="continuationSeparator" w:id="0">
    <w:p w:rsidR="00EA673D" w:rsidRDefault="00EA67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4B2" w:rsidRDefault="00714522">
    <w:pPr>
      <w:pStyle w:val="a5"/>
      <w:jc w:val="center"/>
    </w:pPr>
    <w:r>
      <w:rPr>
        <w:rFonts w:hint="eastAsia"/>
      </w:rPr>
      <w:t>第</w:t>
    </w:r>
    <w:r>
      <w:rPr>
        <w:rFonts w:hint="eastAsia"/>
      </w:rPr>
      <w:t xml:space="preserve"> </w:t>
    </w:r>
    <w:r w:rsidR="007E7486">
      <w:fldChar w:fldCharType="begin"/>
    </w:r>
    <w:r>
      <w:instrText xml:space="preserve"> PAGE   \* MERGEFORMAT </w:instrText>
    </w:r>
    <w:r w:rsidR="007E7486">
      <w:fldChar w:fldCharType="separate"/>
    </w:r>
    <w:r w:rsidR="001E1E8B">
      <w:rPr>
        <w:noProof/>
      </w:rPr>
      <w:t>1</w:t>
    </w:r>
    <w:r w:rsidR="007E7486">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2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73D" w:rsidRDefault="00EA673D">
      <w:r>
        <w:separator/>
      </w:r>
    </w:p>
  </w:footnote>
  <w:footnote w:type="continuationSeparator" w:id="0">
    <w:p w:rsidR="00EA673D" w:rsidRDefault="00EA6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4B2" w:rsidRDefault="00714522">
    <w:pPr>
      <w:pStyle w:val="a6"/>
      <w:jc w:val="left"/>
    </w:pPr>
    <w:r>
      <w:rPr>
        <w:noProof/>
      </w:rPr>
      <w:drawing>
        <wp:inline distT="0" distB="0" distL="0" distR="0">
          <wp:extent cx="2512060" cy="542925"/>
          <wp:effectExtent l="19050" t="0" r="1994" b="0"/>
          <wp:docPr id="2" name="图片 1"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age001.jpg"/>
                  <pic:cNvPicPr>
                    <a:picLocks noChangeAspect="1"/>
                  </pic:cNvPicPr>
                </pic:nvPicPr>
                <pic:blipFill>
                  <a:blip r:embed="rId1"/>
                  <a:stretch>
                    <a:fillRect/>
                  </a:stretch>
                </pic:blipFill>
                <pic:spPr>
                  <a:xfrm>
                    <a:off x="0" y="0"/>
                    <a:ext cx="2512606" cy="54292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PWAFVersion" w:val="5.0"/>
    <w:docVar w:name="commondata" w:val="eyJoZGlkIjoiMzNiMjhjMmM2YzgwZTQwNDdmNDFjZmFiZjY5NjMxOTkifQ=="/>
    <w:docVar w:name="KSO_WPS_MARK_KEY" w:val="43293452-e42e-4da3-9620-cc90efd0161d"/>
  </w:docVars>
  <w:rsids>
    <w:rsidRoot w:val="00172A27"/>
    <w:rsid w:val="00001D8A"/>
    <w:rsid w:val="00011A28"/>
    <w:rsid w:val="000129BA"/>
    <w:rsid w:val="000209CA"/>
    <w:rsid w:val="00024144"/>
    <w:rsid w:val="00026CAC"/>
    <w:rsid w:val="000270F1"/>
    <w:rsid w:val="000404F5"/>
    <w:rsid w:val="00046C5A"/>
    <w:rsid w:val="000505C8"/>
    <w:rsid w:val="000555E8"/>
    <w:rsid w:val="000658DB"/>
    <w:rsid w:val="00065D5D"/>
    <w:rsid w:val="00075112"/>
    <w:rsid w:val="000A379F"/>
    <w:rsid w:val="000A5978"/>
    <w:rsid w:val="000B1296"/>
    <w:rsid w:val="000D0193"/>
    <w:rsid w:val="000D1B61"/>
    <w:rsid w:val="000D2827"/>
    <w:rsid w:val="000D2BD2"/>
    <w:rsid w:val="000D2E0C"/>
    <w:rsid w:val="000D3309"/>
    <w:rsid w:val="000D4721"/>
    <w:rsid w:val="000D4F9D"/>
    <w:rsid w:val="000D7247"/>
    <w:rsid w:val="000E7660"/>
    <w:rsid w:val="000F5EB3"/>
    <w:rsid w:val="00102DA5"/>
    <w:rsid w:val="00112ECB"/>
    <w:rsid w:val="001175F0"/>
    <w:rsid w:val="001178F3"/>
    <w:rsid w:val="001204D1"/>
    <w:rsid w:val="0014118F"/>
    <w:rsid w:val="0014502A"/>
    <w:rsid w:val="0016780D"/>
    <w:rsid w:val="00172A27"/>
    <w:rsid w:val="00181DE8"/>
    <w:rsid w:val="001848BD"/>
    <w:rsid w:val="001922DF"/>
    <w:rsid w:val="00192994"/>
    <w:rsid w:val="00193CAA"/>
    <w:rsid w:val="001A3FA7"/>
    <w:rsid w:val="001B44CC"/>
    <w:rsid w:val="001C0858"/>
    <w:rsid w:val="001D08D7"/>
    <w:rsid w:val="001D1603"/>
    <w:rsid w:val="001E1E8B"/>
    <w:rsid w:val="001F4E33"/>
    <w:rsid w:val="001F62D8"/>
    <w:rsid w:val="00200881"/>
    <w:rsid w:val="00201774"/>
    <w:rsid w:val="00206A19"/>
    <w:rsid w:val="002107BA"/>
    <w:rsid w:val="002112C7"/>
    <w:rsid w:val="002113BE"/>
    <w:rsid w:val="00237330"/>
    <w:rsid w:val="00244351"/>
    <w:rsid w:val="00256738"/>
    <w:rsid w:val="00273F9F"/>
    <w:rsid w:val="00280EA0"/>
    <w:rsid w:val="0028347D"/>
    <w:rsid w:val="002860B4"/>
    <w:rsid w:val="002965F4"/>
    <w:rsid w:val="00296725"/>
    <w:rsid w:val="002B0AB0"/>
    <w:rsid w:val="002B4CEC"/>
    <w:rsid w:val="002B6C20"/>
    <w:rsid w:val="002C157C"/>
    <w:rsid w:val="002C2369"/>
    <w:rsid w:val="002D5470"/>
    <w:rsid w:val="002E146C"/>
    <w:rsid w:val="002F7F14"/>
    <w:rsid w:val="003061CE"/>
    <w:rsid w:val="003159D5"/>
    <w:rsid w:val="00323476"/>
    <w:rsid w:val="0033165B"/>
    <w:rsid w:val="00342E37"/>
    <w:rsid w:val="0035652D"/>
    <w:rsid w:val="00357666"/>
    <w:rsid w:val="003607D0"/>
    <w:rsid w:val="00372C1E"/>
    <w:rsid w:val="00374525"/>
    <w:rsid w:val="00377509"/>
    <w:rsid w:val="00394608"/>
    <w:rsid w:val="00396C1B"/>
    <w:rsid w:val="003A0B28"/>
    <w:rsid w:val="003A18A1"/>
    <w:rsid w:val="003C1C76"/>
    <w:rsid w:val="003D3274"/>
    <w:rsid w:val="003E2900"/>
    <w:rsid w:val="003E3122"/>
    <w:rsid w:val="003F2FCA"/>
    <w:rsid w:val="003F4851"/>
    <w:rsid w:val="003F62BA"/>
    <w:rsid w:val="00402BA4"/>
    <w:rsid w:val="0040599E"/>
    <w:rsid w:val="00412CB7"/>
    <w:rsid w:val="00412FE6"/>
    <w:rsid w:val="0041626E"/>
    <w:rsid w:val="00427FE7"/>
    <w:rsid w:val="0044437C"/>
    <w:rsid w:val="004453A0"/>
    <w:rsid w:val="00447DCD"/>
    <w:rsid w:val="00451047"/>
    <w:rsid w:val="00460F64"/>
    <w:rsid w:val="00461DBB"/>
    <w:rsid w:val="00463597"/>
    <w:rsid w:val="00463AA4"/>
    <w:rsid w:val="00465765"/>
    <w:rsid w:val="00465F94"/>
    <w:rsid w:val="004721D1"/>
    <w:rsid w:val="00473980"/>
    <w:rsid w:val="0047710B"/>
    <w:rsid w:val="00483CD9"/>
    <w:rsid w:val="00484BDC"/>
    <w:rsid w:val="00486CBE"/>
    <w:rsid w:val="00493BBA"/>
    <w:rsid w:val="004A2627"/>
    <w:rsid w:val="004A3501"/>
    <w:rsid w:val="004B525D"/>
    <w:rsid w:val="004C1D7D"/>
    <w:rsid w:val="004C77F9"/>
    <w:rsid w:val="004D3110"/>
    <w:rsid w:val="004D43E4"/>
    <w:rsid w:val="004E1491"/>
    <w:rsid w:val="004F0D6F"/>
    <w:rsid w:val="004F1804"/>
    <w:rsid w:val="004F433D"/>
    <w:rsid w:val="004F7A05"/>
    <w:rsid w:val="00511543"/>
    <w:rsid w:val="00515189"/>
    <w:rsid w:val="00515CE1"/>
    <w:rsid w:val="00523E00"/>
    <w:rsid w:val="00524925"/>
    <w:rsid w:val="00531282"/>
    <w:rsid w:val="00535730"/>
    <w:rsid w:val="00544CA4"/>
    <w:rsid w:val="00547EF6"/>
    <w:rsid w:val="00551891"/>
    <w:rsid w:val="0055440A"/>
    <w:rsid w:val="00585E9B"/>
    <w:rsid w:val="005973EC"/>
    <w:rsid w:val="005A1836"/>
    <w:rsid w:val="005A516B"/>
    <w:rsid w:val="005B26A3"/>
    <w:rsid w:val="005B4D6A"/>
    <w:rsid w:val="005E77B0"/>
    <w:rsid w:val="005F3147"/>
    <w:rsid w:val="00601445"/>
    <w:rsid w:val="00603313"/>
    <w:rsid w:val="00613372"/>
    <w:rsid w:val="006133C9"/>
    <w:rsid w:val="00616D06"/>
    <w:rsid w:val="00616EBF"/>
    <w:rsid w:val="00623B9C"/>
    <w:rsid w:val="00624717"/>
    <w:rsid w:val="00625ABE"/>
    <w:rsid w:val="00647464"/>
    <w:rsid w:val="006537F0"/>
    <w:rsid w:val="0065591C"/>
    <w:rsid w:val="00661B58"/>
    <w:rsid w:val="006702B2"/>
    <w:rsid w:val="0067437A"/>
    <w:rsid w:val="006760E2"/>
    <w:rsid w:val="00692FFF"/>
    <w:rsid w:val="006A002C"/>
    <w:rsid w:val="006A04AA"/>
    <w:rsid w:val="006B4E69"/>
    <w:rsid w:val="006B665E"/>
    <w:rsid w:val="006C1FCE"/>
    <w:rsid w:val="006C6153"/>
    <w:rsid w:val="006D1F9C"/>
    <w:rsid w:val="006D20C3"/>
    <w:rsid w:val="006E5F64"/>
    <w:rsid w:val="006E6413"/>
    <w:rsid w:val="00702B69"/>
    <w:rsid w:val="0070366B"/>
    <w:rsid w:val="007051F5"/>
    <w:rsid w:val="00705C75"/>
    <w:rsid w:val="00714522"/>
    <w:rsid w:val="00716D91"/>
    <w:rsid w:val="00720782"/>
    <w:rsid w:val="00731223"/>
    <w:rsid w:val="0073495B"/>
    <w:rsid w:val="00736EBD"/>
    <w:rsid w:val="007543A6"/>
    <w:rsid w:val="0079053C"/>
    <w:rsid w:val="007A45AF"/>
    <w:rsid w:val="007B3A06"/>
    <w:rsid w:val="007B4293"/>
    <w:rsid w:val="007B644F"/>
    <w:rsid w:val="007D17D5"/>
    <w:rsid w:val="007D5BB3"/>
    <w:rsid w:val="007E2B57"/>
    <w:rsid w:val="007E5F9B"/>
    <w:rsid w:val="007E7486"/>
    <w:rsid w:val="007E789F"/>
    <w:rsid w:val="007E78AE"/>
    <w:rsid w:val="0081624C"/>
    <w:rsid w:val="008254B7"/>
    <w:rsid w:val="00825757"/>
    <w:rsid w:val="00834DA9"/>
    <w:rsid w:val="00837259"/>
    <w:rsid w:val="0084282D"/>
    <w:rsid w:val="0084392C"/>
    <w:rsid w:val="00855A8B"/>
    <w:rsid w:val="0085674C"/>
    <w:rsid w:val="00863B24"/>
    <w:rsid w:val="00873729"/>
    <w:rsid w:val="00873920"/>
    <w:rsid w:val="00874CF4"/>
    <w:rsid w:val="008A0EEA"/>
    <w:rsid w:val="008A17C9"/>
    <w:rsid w:val="008B0CE1"/>
    <w:rsid w:val="008B3B82"/>
    <w:rsid w:val="008B422B"/>
    <w:rsid w:val="008C2A75"/>
    <w:rsid w:val="008D0540"/>
    <w:rsid w:val="008D0DB0"/>
    <w:rsid w:val="008D78BF"/>
    <w:rsid w:val="008E37C3"/>
    <w:rsid w:val="008E49C9"/>
    <w:rsid w:val="008F2B09"/>
    <w:rsid w:val="008F41CC"/>
    <w:rsid w:val="008F7DAD"/>
    <w:rsid w:val="00905990"/>
    <w:rsid w:val="00911291"/>
    <w:rsid w:val="00912A76"/>
    <w:rsid w:val="00924661"/>
    <w:rsid w:val="00925C71"/>
    <w:rsid w:val="009321EC"/>
    <w:rsid w:val="009338AC"/>
    <w:rsid w:val="00934A23"/>
    <w:rsid w:val="009414DC"/>
    <w:rsid w:val="00946751"/>
    <w:rsid w:val="009467FC"/>
    <w:rsid w:val="00950A11"/>
    <w:rsid w:val="00951A83"/>
    <w:rsid w:val="00951AB0"/>
    <w:rsid w:val="00955447"/>
    <w:rsid w:val="00955D21"/>
    <w:rsid w:val="00963B33"/>
    <w:rsid w:val="00970B90"/>
    <w:rsid w:val="00974657"/>
    <w:rsid w:val="00977CD0"/>
    <w:rsid w:val="009903EA"/>
    <w:rsid w:val="00995181"/>
    <w:rsid w:val="00997253"/>
    <w:rsid w:val="009B2DDA"/>
    <w:rsid w:val="009B413F"/>
    <w:rsid w:val="009C007C"/>
    <w:rsid w:val="009C1154"/>
    <w:rsid w:val="009C172C"/>
    <w:rsid w:val="009D72AA"/>
    <w:rsid w:val="009D7611"/>
    <w:rsid w:val="009E0BEE"/>
    <w:rsid w:val="009E48B7"/>
    <w:rsid w:val="00A03DBD"/>
    <w:rsid w:val="00A115B5"/>
    <w:rsid w:val="00A21443"/>
    <w:rsid w:val="00A23205"/>
    <w:rsid w:val="00A24CD2"/>
    <w:rsid w:val="00A24DAC"/>
    <w:rsid w:val="00A322F1"/>
    <w:rsid w:val="00A40442"/>
    <w:rsid w:val="00A42C0D"/>
    <w:rsid w:val="00A45A34"/>
    <w:rsid w:val="00A50BD9"/>
    <w:rsid w:val="00A52BFF"/>
    <w:rsid w:val="00A5549A"/>
    <w:rsid w:val="00A61884"/>
    <w:rsid w:val="00A65ECF"/>
    <w:rsid w:val="00A746D7"/>
    <w:rsid w:val="00A83507"/>
    <w:rsid w:val="00A9257D"/>
    <w:rsid w:val="00A977BC"/>
    <w:rsid w:val="00AA02D7"/>
    <w:rsid w:val="00AA295B"/>
    <w:rsid w:val="00AB3171"/>
    <w:rsid w:val="00AC7BB8"/>
    <w:rsid w:val="00AD1685"/>
    <w:rsid w:val="00AD4E75"/>
    <w:rsid w:val="00AE29DB"/>
    <w:rsid w:val="00AF5233"/>
    <w:rsid w:val="00AF634F"/>
    <w:rsid w:val="00AF68BC"/>
    <w:rsid w:val="00B04D50"/>
    <w:rsid w:val="00B06FBD"/>
    <w:rsid w:val="00B10ED3"/>
    <w:rsid w:val="00B1238C"/>
    <w:rsid w:val="00B1377C"/>
    <w:rsid w:val="00B145EA"/>
    <w:rsid w:val="00B25E81"/>
    <w:rsid w:val="00B320CB"/>
    <w:rsid w:val="00B50B12"/>
    <w:rsid w:val="00B514E9"/>
    <w:rsid w:val="00B51D54"/>
    <w:rsid w:val="00B6365C"/>
    <w:rsid w:val="00B814C5"/>
    <w:rsid w:val="00B84874"/>
    <w:rsid w:val="00B85DB3"/>
    <w:rsid w:val="00B90D9F"/>
    <w:rsid w:val="00B91045"/>
    <w:rsid w:val="00BA1868"/>
    <w:rsid w:val="00BA2D19"/>
    <w:rsid w:val="00BA640F"/>
    <w:rsid w:val="00BB4C00"/>
    <w:rsid w:val="00BD34B3"/>
    <w:rsid w:val="00BD62CE"/>
    <w:rsid w:val="00BE5C24"/>
    <w:rsid w:val="00BE71C5"/>
    <w:rsid w:val="00BF3F7B"/>
    <w:rsid w:val="00C02019"/>
    <w:rsid w:val="00C07C37"/>
    <w:rsid w:val="00C13A24"/>
    <w:rsid w:val="00C14996"/>
    <w:rsid w:val="00C227D0"/>
    <w:rsid w:val="00C476E0"/>
    <w:rsid w:val="00C47B38"/>
    <w:rsid w:val="00C54999"/>
    <w:rsid w:val="00C5634F"/>
    <w:rsid w:val="00C57C2C"/>
    <w:rsid w:val="00C62F1F"/>
    <w:rsid w:val="00C6408D"/>
    <w:rsid w:val="00C64C72"/>
    <w:rsid w:val="00C66C7A"/>
    <w:rsid w:val="00C738D0"/>
    <w:rsid w:val="00C74AF3"/>
    <w:rsid w:val="00C85033"/>
    <w:rsid w:val="00CA2CEB"/>
    <w:rsid w:val="00CC4593"/>
    <w:rsid w:val="00CC5F1F"/>
    <w:rsid w:val="00CC69D8"/>
    <w:rsid w:val="00CD18AD"/>
    <w:rsid w:val="00CE118D"/>
    <w:rsid w:val="00CE1C1F"/>
    <w:rsid w:val="00CE477A"/>
    <w:rsid w:val="00CE631B"/>
    <w:rsid w:val="00CE71B1"/>
    <w:rsid w:val="00CE7F9D"/>
    <w:rsid w:val="00CF0ED4"/>
    <w:rsid w:val="00CF13B6"/>
    <w:rsid w:val="00CF49A7"/>
    <w:rsid w:val="00D0545F"/>
    <w:rsid w:val="00D20BB7"/>
    <w:rsid w:val="00D2176E"/>
    <w:rsid w:val="00D31978"/>
    <w:rsid w:val="00D34FF0"/>
    <w:rsid w:val="00D469D7"/>
    <w:rsid w:val="00D675A6"/>
    <w:rsid w:val="00D870FA"/>
    <w:rsid w:val="00D911D8"/>
    <w:rsid w:val="00D976D3"/>
    <w:rsid w:val="00DA00EC"/>
    <w:rsid w:val="00DA429E"/>
    <w:rsid w:val="00DB6E0E"/>
    <w:rsid w:val="00DB7C9F"/>
    <w:rsid w:val="00DE0389"/>
    <w:rsid w:val="00DE35B4"/>
    <w:rsid w:val="00DF16D8"/>
    <w:rsid w:val="00DF5A9B"/>
    <w:rsid w:val="00E00122"/>
    <w:rsid w:val="00E026D7"/>
    <w:rsid w:val="00E02A0E"/>
    <w:rsid w:val="00E110C5"/>
    <w:rsid w:val="00E164B2"/>
    <w:rsid w:val="00E24074"/>
    <w:rsid w:val="00E342DC"/>
    <w:rsid w:val="00E50C3F"/>
    <w:rsid w:val="00E51253"/>
    <w:rsid w:val="00E52E8D"/>
    <w:rsid w:val="00E61099"/>
    <w:rsid w:val="00E61131"/>
    <w:rsid w:val="00E6411A"/>
    <w:rsid w:val="00E646AF"/>
    <w:rsid w:val="00E67348"/>
    <w:rsid w:val="00E67B86"/>
    <w:rsid w:val="00E72CF4"/>
    <w:rsid w:val="00E8489C"/>
    <w:rsid w:val="00E92918"/>
    <w:rsid w:val="00E941C6"/>
    <w:rsid w:val="00E95B89"/>
    <w:rsid w:val="00E96576"/>
    <w:rsid w:val="00EA4AB6"/>
    <w:rsid w:val="00EA673D"/>
    <w:rsid w:val="00EB3883"/>
    <w:rsid w:val="00EC133E"/>
    <w:rsid w:val="00EC1983"/>
    <w:rsid w:val="00EC2CFD"/>
    <w:rsid w:val="00EE7CA2"/>
    <w:rsid w:val="00EF3D76"/>
    <w:rsid w:val="00EF4033"/>
    <w:rsid w:val="00EF4B4F"/>
    <w:rsid w:val="00F014D8"/>
    <w:rsid w:val="00F07B7A"/>
    <w:rsid w:val="00F1509B"/>
    <w:rsid w:val="00F25701"/>
    <w:rsid w:val="00F278FF"/>
    <w:rsid w:val="00F326AF"/>
    <w:rsid w:val="00F33471"/>
    <w:rsid w:val="00F3423C"/>
    <w:rsid w:val="00F46F02"/>
    <w:rsid w:val="00F65113"/>
    <w:rsid w:val="00F67274"/>
    <w:rsid w:val="00F727B5"/>
    <w:rsid w:val="00F72C03"/>
    <w:rsid w:val="00F829C8"/>
    <w:rsid w:val="00F8449A"/>
    <w:rsid w:val="00F93856"/>
    <w:rsid w:val="00FA0444"/>
    <w:rsid w:val="00FA6D0D"/>
    <w:rsid w:val="00FB73E4"/>
    <w:rsid w:val="00FC1E70"/>
    <w:rsid w:val="00FC33D8"/>
    <w:rsid w:val="00FC4200"/>
    <w:rsid w:val="00FC6959"/>
    <w:rsid w:val="00FD24CC"/>
    <w:rsid w:val="00FD54C4"/>
    <w:rsid w:val="00FD6A5A"/>
    <w:rsid w:val="00FE33E6"/>
    <w:rsid w:val="00FF78CE"/>
    <w:rsid w:val="1BB917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lsdException w:name="header" w:semiHidden="0" w:unhideWhenUsed="0" w:qFormat="1"/>
    <w:lsdException w:name="footer" w:semiHidden="0" w:unhideWhenUsed="0"/>
    <w:lsdException w:name="caption" w:qFormat="1"/>
    <w:lsdException w:name="footnote reference"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486"/>
    <w:pPr>
      <w:widowControl w:val="0"/>
      <w:jc w:val="both"/>
    </w:pPr>
    <w:rPr>
      <w:kern w:val="2"/>
      <w:sz w:val="21"/>
      <w:szCs w:val="22"/>
    </w:rPr>
  </w:style>
  <w:style w:type="paragraph" w:styleId="2">
    <w:name w:val="heading 2"/>
    <w:basedOn w:val="a"/>
    <w:next w:val="a"/>
    <w:link w:val="2Char"/>
    <w:qFormat/>
    <w:rsid w:val="007E7486"/>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7E7486"/>
    <w:pPr>
      <w:shd w:val="clear" w:color="auto" w:fill="000080"/>
    </w:pPr>
  </w:style>
  <w:style w:type="paragraph" w:styleId="a4">
    <w:name w:val="Balloon Text"/>
    <w:basedOn w:val="a"/>
    <w:semiHidden/>
    <w:rsid w:val="007E7486"/>
    <w:rPr>
      <w:sz w:val="18"/>
      <w:szCs w:val="18"/>
    </w:rPr>
  </w:style>
  <w:style w:type="paragraph" w:styleId="a5">
    <w:name w:val="footer"/>
    <w:basedOn w:val="a"/>
    <w:link w:val="Char"/>
    <w:rsid w:val="007E7486"/>
    <w:pPr>
      <w:tabs>
        <w:tab w:val="center" w:pos="4153"/>
        <w:tab w:val="right" w:pos="8306"/>
      </w:tabs>
      <w:snapToGrid w:val="0"/>
      <w:jc w:val="left"/>
    </w:pPr>
    <w:rPr>
      <w:sz w:val="18"/>
      <w:szCs w:val="18"/>
    </w:rPr>
  </w:style>
  <w:style w:type="paragraph" w:styleId="a6">
    <w:name w:val="header"/>
    <w:basedOn w:val="a"/>
    <w:link w:val="Char0"/>
    <w:qFormat/>
    <w:rsid w:val="007E7486"/>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1"/>
    <w:rsid w:val="007E7486"/>
    <w:pPr>
      <w:snapToGrid w:val="0"/>
      <w:jc w:val="left"/>
    </w:pPr>
    <w:rPr>
      <w:rFonts w:ascii="Times New Roman" w:hAnsi="Times New Roman"/>
      <w:sz w:val="18"/>
      <w:szCs w:val="20"/>
    </w:rPr>
  </w:style>
  <w:style w:type="table" w:styleId="a8">
    <w:name w:val="Table Grid"/>
    <w:basedOn w:val="a1"/>
    <w:rsid w:val="007E7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otnote reference"/>
    <w:rsid w:val="007E7486"/>
    <w:rPr>
      <w:vertAlign w:val="superscript"/>
    </w:rPr>
  </w:style>
  <w:style w:type="character" w:customStyle="1" w:styleId="2Char">
    <w:name w:val="标题 2 Char"/>
    <w:link w:val="2"/>
    <w:rsid w:val="007E7486"/>
    <w:rPr>
      <w:rFonts w:ascii="Arial" w:eastAsia="黑体" w:hAnsi="Arial"/>
      <w:b/>
      <w:kern w:val="2"/>
      <w:sz w:val="32"/>
    </w:rPr>
  </w:style>
  <w:style w:type="character" w:customStyle="1" w:styleId="Char">
    <w:name w:val="页脚 Char"/>
    <w:link w:val="a5"/>
    <w:rsid w:val="007E7486"/>
    <w:rPr>
      <w:kern w:val="2"/>
      <w:sz w:val="18"/>
      <w:szCs w:val="18"/>
    </w:rPr>
  </w:style>
  <w:style w:type="character" w:customStyle="1" w:styleId="Char0">
    <w:name w:val="页眉 Char"/>
    <w:link w:val="a6"/>
    <w:rsid w:val="007E7486"/>
    <w:rPr>
      <w:kern w:val="2"/>
      <w:sz w:val="18"/>
      <w:szCs w:val="18"/>
    </w:rPr>
  </w:style>
  <w:style w:type="character" w:customStyle="1" w:styleId="Char1">
    <w:name w:val="脚注文本 Char"/>
    <w:link w:val="a7"/>
    <w:qFormat/>
    <w:rsid w:val="007E7486"/>
    <w:rPr>
      <w:rFonts w:ascii="Times New Roman" w:hAnsi="Times New Roman"/>
      <w:kern w:val="2"/>
      <w:sz w:val="18"/>
    </w:rPr>
  </w:style>
  <w:style w:type="paragraph" w:customStyle="1" w:styleId="Char2">
    <w:name w:val="Char"/>
    <w:basedOn w:val="a"/>
    <w:rsid w:val="007E7486"/>
    <w:rPr>
      <w:rFonts w:ascii="Times New Roman" w:hAnsi="Times New Roman"/>
      <w:szCs w:val="24"/>
    </w:rPr>
  </w:style>
  <w:style w:type="paragraph" w:styleId="aa">
    <w:name w:val="List Paragraph"/>
    <w:basedOn w:val="a"/>
    <w:uiPriority w:val="34"/>
    <w:qFormat/>
    <w:rsid w:val="007E748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7894B-91ED-4870-8028-231E04309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1038</Characters>
  <Application>Microsoft Office Word</Application>
  <DocSecurity>4</DocSecurity>
  <Lines>8</Lines>
  <Paragraphs>2</Paragraphs>
  <ScaleCrop>false</ScaleCrop>
  <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2025-07-02T03:05:00Z</cp:lastPrinted>
  <dcterms:created xsi:type="dcterms:W3CDTF">2026-01-14T16:02:00Z</dcterms:created>
  <dcterms:modified xsi:type="dcterms:W3CDTF">2026-01-14T16:02:00Z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84F3D8AF9FCE450F92240010C8815876</vt:lpwstr>
  </property>
</Properties>
</file>