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7F" w:rsidRDefault="00571A7F" w:rsidP="00571A7F">
      <w:pPr>
        <w:spacing w:line="360" w:lineRule="auto"/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eastAsia="黑体" w:hint="eastAsia"/>
          <w:b/>
          <w:bCs/>
          <w:color w:val="000000"/>
          <w:sz w:val="30"/>
          <w:szCs w:val="30"/>
        </w:rPr>
        <w:t>天弘基金管理有限公司关于天弘纳斯达克</w:t>
      </w:r>
      <w:r>
        <w:rPr>
          <w:rFonts w:eastAsia="黑体" w:hint="eastAsia"/>
          <w:b/>
          <w:bCs/>
          <w:color w:val="000000"/>
          <w:sz w:val="30"/>
          <w:szCs w:val="30"/>
        </w:rPr>
        <w:t>100</w:t>
      </w:r>
      <w:r>
        <w:rPr>
          <w:rFonts w:eastAsia="黑体" w:hint="eastAsia"/>
          <w:b/>
          <w:bCs/>
          <w:color w:val="000000"/>
          <w:sz w:val="30"/>
          <w:szCs w:val="30"/>
        </w:rPr>
        <w:t>指数型发起式证券投资基金（</w:t>
      </w:r>
      <w:r>
        <w:rPr>
          <w:rFonts w:eastAsia="黑体" w:hint="eastAsia"/>
          <w:b/>
          <w:bCs/>
          <w:color w:val="000000"/>
          <w:sz w:val="30"/>
          <w:szCs w:val="30"/>
        </w:rPr>
        <w:t>QDII</w:t>
      </w:r>
      <w:r>
        <w:rPr>
          <w:rFonts w:eastAsia="黑体" w:hint="eastAsia"/>
          <w:b/>
          <w:bCs/>
          <w:color w:val="000000"/>
          <w:sz w:val="30"/>
          <w:szCs w:val="30"/>
        </w:rPr>
        <w:t>）在境外主要投资场所</w:t>
      </w:r>
      <w:r>
        <w:rPr>
          <w:rFonts w:eastAsia="黑体" w:hint="eastAsia"/>
          <w:b/>
          <w:bCs/>
          <w:color w:val="000000"/>
          <w:sz w:val="30"/>
          <w:szCs w:val="30"/>
        </w:rPr>
        <w:t>2026</w:t>
      </w:r>
      <w:r>
        <w:rPr>
          <w:rFonts w:eastAsia="黑体" w:hint="eastAsia"/>
          <w:b/>
          <w:bCs/>
          <w:color w:val="000000"/>
          <w:sz w:val="30"/>
          <w:szCs w:val="30"/>
        </w:rPr>
        <w:t>年节假日暂停申购、定期定额投资、赎回业务的公告</w:t>
      </w:r>
    </w:p>
    <w:p w:rsidR="00571A7F" w:rsidRDefault="00571A7F" w:rsidP="00571A7F">
      <w:pPr>
        <w:pStyle w:val="a3"/>
        <w:kinsoku w:val="0"/>
        <w:overflowPunct w:val="0"/>
        <w:spacing w:line="340" w:lineRule="auto"/>
        <w:ind w:right="113" w:firstLine="420"/>
        <w:rPr>
          <w:rFonts w:ascii="仿宋_GB2312" w:hAnsi="宋体"/>
        </w:rPr>
      </w:pPr>
    </w:p>
    <w:p w:rsidR="00571A7F" w:rsidRDefault="00571A7F" w:rsidP="00571A7F">
      <w:pPr>
        <w:pStyle w:val="a3"/>
        <w:kinsoku w:val="0"/>
        <w:overflowPunct w:val="0"/>
        <w:spacing w:line="340" w:lineRule="auto"/>
        <w:ind w:left="220" w:right="113" w:firstLineChars="200"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为保护基金份额持有人的利益，保障基金平稳运作，根据天弘纳斯达克100指数型发起式证券投资基金（QDII）</w:t>
      </w:r>
      <w:r w:rsidR="00961F0E">
        <w:rPr>
          <w:rFonts w:ascii="仿宋_GB2312" w:hAnsi="宋体" w:hint="eastAsia"/>
          <w:sz w:val="24"/>
        </w:rPr>
        <w:t>（以下简称“本基金”）</w:t>
      </w:r>
      <w:r>
        <w:rPr>
          <w:rFonts w:ascii="仿宋_GB2312" w:hAnsi="宋体" w:hint="eastAsia"/>
          <w:sz w:val="24"/>
        </w:rPr>
        <w:t>《基金合同》、《招募说明书》中的有关规定及基金境外主要投资场所节假日休市安排，天弘基金管理有限公司（以下简称“本公司”）决定除上海证券交易所和深圳证券交易所因境内节假日休市外，将在下列境外主要投资场所节假日暂停办理申购、定期定额投资、赎回业务</w:t>
      </w:r>
      <w:r w:rsidR="00961F0E">
        <w:rPr>
          <w:rFonts w:ascii="仿宋_GB2312" w:hAnsi="宋体" w:hint="eastAsia"/>
          <w:sz w:val="24"/>
        </w:rPr>
        <w:t>。</w:t>
      </w:r>
      <w:r>
        <w:rPr>
          <w:rFonts w:ascii="仿宋_GB2312" w:hAnsi="宋体" w:hint="eastAsia"/>
          <w:sz w:val="24"/>
        </w:rPr>
        <w:t>具体情况如下：</w:t>
      </w:r>
    </w:p>
    <w:p w:rsidR="00571A7F" w:rsidRDefault="00571A7F" w:rsidP="00571A7F">
      <w:pPr>
        <w:pStyle w:val="a3"/>
        <w:kinsoku w:val="0"/>
        <w:overflowPunct w:val="0"/>
        <w:spacing w:after="0" w:line="340" w:lineRule="auto"/>
        <w:ind w:right="113" w:firstLineChars="300" w:firstLine="723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一、适用基金</w:t>
      </w:r>
    </w:p>
    <w:tbl>
      <w:tblPr>
        <w:tblStyle w:val="a4"/>
        <w:tblW w:w="7938" w:type="dxa"/>
        <w:jc w:val="center"/>
        <w:tblInd w:w="0" w:type="dxa"/>
        <w:tblLook w:val="04A0"/>
      </w:tblPr>
      <w:tblGrid>
        <w:gridCol w:w="1433"/>
        <w:gridCol w:w="1533"/>
        <w:gridCol w:w="4972"/>
      </w:tblGrid>
      <w:tr w:rsidR="00571A7F" w:rsidTr="00571A7F">
        <w:trPr>
          <w:trHeight w:val="4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b/>
                <w:sz w:val="24"/>
              </w:rPr>
            </w:pPr>
            <w:bookmarkStart w:id="0" w:name="PO_fund_info_table"/>
            <w:r>
              <w:rPr>
                <w:rFonts w:ascii="仿宋_GB2312" w:hAnsi="宋体" w:hint="eastAsia"/>
                <w:b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基金代码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 w:firstLine="422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基金名称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018043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天弘纳斯达克100指数型发起式证券投资基金（QDII）A类基金份额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018044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天弘纳斯达克100指数型发起式证券投资基金（QDII）C类基金份额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022525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天弘纳斯达克100指数型发起式证券投资基金（QDII）D类基金份额</w:t>
            </w:r>
          </w:p>
        </w:tc>
      </w:tr>
    </w:tbl>
    <w:bookmarkEnd w:id="0"/>
    <w:p w:rsidR="00571A7F" w:rsidRDefault="00571A7F" w:rsidP="00571A7F">
      <w:pPr>
        <w:pStyle w:val="a3"/>
        <w:kinsoku w:val="0"/>
        <w:overflowPunct w:val="0"/>
        <w:spacing w:after="0" w:line="340" w:lineRule="auto"/>
        <w:ind w:right="113" w:firstLineChars="300" w:firstLine="723"/>
        <w:rPr>
          <w:rFonts w:ascii="仿宋_GB2312" w:hAnsi="宋体"/>
          <w:b/>
          <w:sz w:val="24"/>
        </w:rPr>
      </w:pPr>
      <w:r>
        <w:rPr>
          <w:rFonts w:ascii="仿宋_GB2312" w:hAnsi="宋体" w:hint="eastAsia"/>
          <w:b/>
          <w:sz w:val="24"/>
        </w:rPr>
        <w:t>二、境外主要投资场所节假日安排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2"/>
        <w:gridCol w:w="3396"/>
      </w:tblGrid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pStyle w:val="a3"/>
              <w:kinsoku w:val="0"/>
              <w:overflowPunct w:val="0"/>
              <w:ind w:right="113"/>
              <w:jc w:val="center"/>
              <w:rPr>
                <w:rFonts w:ascii="仿宋_GB2312" w:hAnsi="宋体"/>
                <w:b/>
                <w:sz w:val="24"/>
              </w:rPr>
            </w:pPr>
            <w:bookmarkStart w:id="1" w:name="PO_non_trade_day_table"/>
            <w:r>
              <w:rPr>
                <w:rFonts w:ascii="仿宋_GB2312" w:hAnsi="宋体" w:hint="eastAsia"/>
                <w:b/>
                <w:sz w:val="24"/>
              </w:rPr>
              <w:t>节假日日期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1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节假日名称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2026年01月19日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马丁·路德·金诞辰纪念日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2026年04月03日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耶稣受难节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2026年05月25日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阵亡将士纪念日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2026年07月03日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美国独立日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2026年09月07日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劳工节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2026年11月26日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感恩节</w:t>
            </w:r>
          </w:p>
        </w:tc>
      </w:tr>
      <w:tr w:rsidR="00571A7F" w:rsidTr="00571A7F">
        <w:trPr>
          <w:trHeight w:val="432"/>
          <w:jc w:val="center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2026年12月25日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F" w:rsidRDefault="00571A7F">
            <w:pPr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圣诞节</w:t>
            </w:r>
          </w:p>
        </w:tc>
      </w:tr>
    </w:tbl>
    <w:bookmarkEnd w:id="1"/>
    <w:p w:rsidR="00571A7F" w:rsidRDefault="00571A7F" w:rsidP="00571A7F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注：1、上述非交易日已剔除和上海证券交易所、深圳证券交易所非交易日重合的日期。</w:t>
      </w:r>
    </w:p>
    <w:p w:rsidR="00571A7F" w:rsidRDefault="00571A7F" w:rsidP="00571A7F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2、本基金若新增份额类别，则该份额类别在上海证券交易所和深圳证</w:t>
      </w:r>
      <w:r>
        <w:rPr>
          <w:rFonts w:ascii="仿宋_GB2312" w:hAnsi="宋体" w:hint="eastAsia"/>
          <w:sz w:val="24"/>
        </w:rPr>
        <w:lastRenderedPageBreak/>
        <w:t>券交易所交易日之外的上述境外市场节假日，暂停基金的申购、定期定额投资、赎回业务，届时将不再另行公告。</w:t>
      </w:r>
    </w:p>
    <w:p w:rsidR="00961F0E" w:rsidRPr="00961F0E" w:rsidRDefault="00961F0E" w:rsidP="001B79A4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 w:rsidRPr="00961F0E">
        <w:rPr>
          <w:rFonts w:ascii="仿宋_GB2312" w:hAnsi="宋体"/>
          <w:sz w:val="24"/>
        </w:rPr>
        <w:t>3、本基金于2025年12月30日披露了《</w:t>
      </w:r>
      <w:r w:rsidR="00A17AF3" w:rsidRPr="00A17AF3">
        <w:rPr>
          <w:rFonts w:ascii="仿宋_GB2312" w:hAnsi="宋体" w:hint="eastAsia"/>
          <w:sz w:val="24"/>
        </w:rPr>
        <w:t>天弘基金管理有限公司关于天弘纳斯达克</w:t>
      </w:r>
      <w:r w:rsidR="00A17AF3" w:rsidRPr="00A17AF3">
        <w:rPr>
          <w:rFonts w:ascii="仿宋_GB2312" w:hAnsi="宋体"/>
          <w:sz w:val="24"/>
        </w:rPr>
        <w:t>100指数型发起式证券投资基金（QDII）暂停申购及定期定额投资业务的公告</w:t>
      </w:r>
      <w:r w:rsidRPr="00961F0E">
        <w:rPr>
          <w:rFonts w:ascii="仿宋_GB2312" w:hAnsi="宋体"/>
          <w:sz w:val="24"/>
        </w:rPr>
        <w:t>》，自2026年01月07日暂停本基金申购及定期定额投资业务，赎回业务仍正常办理，本基金恢复办理申购及定期定额投资业务的具体时间，本公司将另行公告。</w:t>
      </w:r>
    </w:p>
    <w:p w:rsidR="00961F0E" w:rsidRDefault="00961F0E" w:rsidP="001B79A4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 w:rsidRPr="00961F0E">
        <w:rPr>
          <w:rFonts w:ascii="仿宋_GB2312" w:hAnsi="宋体" w:hint="eastAsia"/>
          <w:sz w:val="24"/>
        </w:rPr>
        <w:t>上述节假日期间，本基金若已恢复办理申购、定期定额投资业务，则将自上述节假日结束后首个开放日恢复办理申购、定期定额投资、赎回业务；本基金若未恢复办理申购、定期定额投资业务，则将自上述节假日结束后首个开放日恢复办理赎回业务，届时将不再另行公告。</w:t>
      </w:r>
    </w:p>
    <w:p w:rsidR="00571A7F" w:rsidRDefault="00961F0E" w:rsidP="001B79A4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>
        <w:rPr>
          <w:rFonts w:ascii="仿宋_GB2312" w:hAnsi="宋体"/>
          <w:sz w:val="24"/>
        </w:rPr>
        <w:t>4</w:t>
      </w:r>
      <w:r w:rsidR="00571A7F">
        <w:rPr>
          <w:rFonts w:ascii="仿宋_GB2312" w:hAnsi="宋体" w:hint="eastAsia"/>
          <w:sz w:val="24"/>
        </w:rPr>
        <w:t>、如遇本基金因其他原因暂停申购、定期定额投资、赎回业务的，具体业务办理以相关公告为准。</w:t>
      </w:r>
    </w:p>
    <w:p w:rsidR="00571A7F" w:rsidRDefault="00571A7F" w:rsidP="001B79A4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投资者可登录基金管理人网站（www.thfund.com.cn）或拨打客户服务电话（400-986-8888）了解本基金的相关事宜。</w:t>
      </w:r>
    </w:p>
    <w:p w:rsidR="00571A7F" w:rsidRDefault="00571A7F" w:rsidP="001B79A4">
      <w:pPr>
        <w:pStyle w:val="a3"/>
        <w:kinsoku w:val="0"/>
        <w:overflowPunct w:val="0"/>
        <w:spacing w:after="0" w:line="360" w:lineRule="auto"/>
        <w:ind w:left="220" w:right="232" w:firstLine="42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特此公告。</w:t>
      </w:r>
    </w:p>
    <w:p w:rsidR="00FB58FF" w:rsidRDefault="00FB58FF" w:rsidP="00571A7F">
      <w:pPr>
        <w:pStyle w:val="a3"/>
        <w:kinsoku w:val="0"/>
        <w:overflowPunct w:val="0"/>
        <w:spacing w:after="0" w:line="360" w:lineRule="auto"/>
        <w:ind w:left="220" w:right="232" w:firstLine="420"/>
        <w:jc w:val="right"/>
        <w:rPr>
          <w:rFonts w:ascii="仿宋_GB2312" w:hAnsi="宋体"/>
          <w:sz w:val="24"/>
        </w:rPr>
      </w:pPr>
      <w:bookmarkStart w:id="2" w:name="_GoBack"/>
      <w:bookmarkEnd w:id="2"/>
    </w:p>
    <w:p w:rsidR="00571A7F" w:rsidRDefault="00571A7F" w:rsidP="00571A7F">
      <w:pPr>
        <w:pStyle w:val="a3"/>
        <w:kinsoku w:val="0"/>
        <w:overflowPunct w:val="0"/>
        <w:spacing w:after="0" w:line="360" w:lineRule="auto"/>
        <w:ind w:left="220" w:right="232" w:firstLine="420"/>
        <w:jc w:val="right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天弘基金管理有限公司</w:t>
      </w:r>
    </w:p>
    <w:p w:rsidR="00571A7F" w:rsidRDefault="00571A7F" w:rsidP="00571A7F">
      <w:pPr>
        <w:pStyle w:val="a3"/>
        <w:kinsoku w:val="0"/>
        <w:overflowPunct w:val="0"/>
        <w:spacing w:after="0" w:line="360" w:lineRule="auto"/>
        <w:ind w:left="220" w:right="232" w:firstLine="420"/>
        <w:jc w:val="right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二〇二六年一月十五日</w:t>
      </w:r>
    </w:p>
    <w:p w:rsidR="00DB1490" w:rsidRDefault="00DB1490"/>
    <w:sectPr w:rsidR="00DB1490" w:rsidSect="0014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92A"/>
    <w:rsid w:val="0006292A"/>
    <w:rsid w:val="000A383E"/>
    <w:rsid w:val="00143B70"/>
    <w:rsid w:val="001B79A4"/>
    <w:rsid w:val="00571A7F"/>
    <w:rsid w:val="00961F0E"/>
    <w:rsid w:val="00A17AF3"/>
    <w:rsid w:val="00A21836"/>
    <w:rsid w:val="00BD22B6"/>
    <w:rsid w:val="00DB1490"/>
    <w:rsid w:val="00FB5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571A7F"/>
    <w:pPr>
      <w:spacing w:after="120"/>
    </w:pPr>
    <w:rPr>
      <w:rFonts w:ascii="Times New Roman" w:eastAsia="仿宋_GB2312" w:hAnsi="Times New Roman" w:cs="Times New Roman"/>
      <w:szCs w:val="24"/>
    </w:rPr>
  </w:style>
  <w:style w:type="character" w:customStyle="1" w:styleId="Char">
    <w:name w:val="正文文本 Char"/>
    <w:basedOn w:val="a0"/>
    <w:link w:val="a3"/>
    <w:uiPriority w:val="1"/>
    <w:semiHidden/>
    <w:rsid w:val="00571A7F"/>
    <w:rPr>
      <w:rFonts w:ascii="Times New Roman" w:eastAsia="仿宋_GB2312" w:hAnsi="Times New Roman" w:cs="Times New Roman"/>
      <w:szCs w:val="24"/>
    </w:rPr>
  </w:style>
  <w:style w:type="table" w:styleId="a4">
    <w:name w:val="Table Grid"/>
    <w:basedOn w:val="a1"/>
    <w:uiPriority w:val="39"/>
    <w:rsid w:val="00571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4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庄雅君</dc:creator>
  <cp:keywords/>
  <dc:description/>
  <cp:lastModifiedBy>ZHONGM</cp:lastModifiedBy>
  <cp:revision>2</cp:revision>
  <dcterms:created xsi:type="dcterms:W3CDTF">2026-01-14T16:02:00Z</dcterms:created>
  <dcterms:modified xsi:type="dcterms:W3CDTF">2026-01-14T16:02:00Z</dcterms:modified>
</cp:coreProperties>
</file>