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A1" w:rsidRDefault="00AB62B4">
      <w:pPr>
        <w:widowControl w:val="0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鹏华基金管理有限公司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关于旗下部分深交所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ETF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变更场内简</w:t>
      </w:r>
    </w:p>
    <w:p w:rsidR="00B619A1" w:rsidRDefault="00AB62B4">
      <w:pPr>
        <w:widowControl w:val="0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称的公告</w:t>
      </w:r>
    </w:p>
    <w:p w:rsidR="00B619A1" w:rsidRDefault="00B619A1">
      <w:pPr>
        <w:widowControl w:val="0"/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:rsidR="00B619A1" w:rsidRDefault="00AB62B4">
      <w:pPr>
        <w:widowControl w:val="0"/>
        <w:spacing w:line="360" w:lineRule="auto"/>
        <w:ind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经向深圳证券交易所申请并获得同意，</w:t>
      </w:r>
      <w:r>
        <w:rPr>
          <w:rFonts w:ascii="宋体" w:eastAsia="宋体" w:hAnsi="宋体" w:cs="宋体" w:hint="eastAsia"/>
          <w:sz w:val="21"/>
          <w:szCs w:val="21"/>
        </w:rPr>
        <w:t>鹏华基金管理有限公司（以下简称本公司）决定</w:t>
      </w:r>
      <w:bookmarkStart w:id="0" w:name="_GoBack"/>
      <w:bookmarkEnd w:id="0"/>
      <w:r>
        <w:rPr>
          <w:rFonts w:ascii="宋体" w:eastAsia="宋体" w:hAnsi="宋体" w:cs="宋体" w:hint="eastAsia"/>
          <w:sz w:val="21"/>
          <w:szCs w:val="21"/>
        </w:rPr>
        <w:t>自</w:t>
      </w:r>
      <w:r>
        <w:rPr>
          <w:rFonts w:ascii="宋体" w:eastAsia="宋体" w:hAnsi="宋体" w:cs="宋体" w:hint="eastAsia"/>
          <w:sz w:val="21"/>
          <w:szCs w:val="21"/>
        </w:rPr>
        <w:t xml:space="preserve"> 2026</w:t>
      </w:r>
      <w:r>
        <w:rPr>
          <w:rFonts w:ascii="宋体" w:eastAsia="宋体" w:hAnsi="宋体" w:cs="宋体" w:hint="eastAsia"/>
          <w:sz w:val="21"/>
          <w:szCs w:val="21"/>
        </w:rPr>
        <w:t>年</w:t>
      </w:r>
      <w:r>
        <w:rPr>
          <w:rFonts w:ascii="宋体" w:eastAsia="宋体" w:hAnsi="宋体" w:cs="宋体" w:hint="eastAsia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月</w:t>
      </w:r>
      <w:r>
        <w:rPr>
          <w:rFonts w:ascii="宋体" w:eastAsia="宋体" w:hAnsi="宋体" w:cs="宋体" w:hint="eastAsia"/>
          <w:sz w:val="21"/>
          <w:szCs w:val="21"/>
        </w:rPr>
        <w:t>15</w:t>
      </w:r>
      <w:r>
        <w:rPr>
          <w:rFonts w:ascii="宋体" w:eastAsia="宋体" w:hAnsi="宋体" w:cs="宋体" w:hint="eastAsia"/>
          <w:sz w:val="21"/>
          <w:szCs w:val="21"/>
        </w:rPr>
        <w:t>日起变更旗下部分深交所</w:t>
      </w:r>
      <w:r>
        <w:rPr>
          <w:rFonts w:ascii="宋体" w:eastAsia="宋体" w:hAnsi="宋体" w:cs="宋体" w:hint="eastAsia"/>
          <w:sz w:val="21"/>
          <w:szCs w:val="21"/>
        </w:rPr>
        <w:t xml:space="preserve"> ETF </w:t>
      </w:r>
      <w:r>
        <w:rPr>
          <w:rFonts w:ascii="宋体" w:eastAsia="宋体" w:hAnsi="宋体" w:cs="宋体" w:hint="eastAsia"/>
          <w:sz w:val="21"/>
          <w:szCs w:val="21"/>
        </w:rPr>
        <w:t>场内简称，涉及基金及变更情况如下：</w:t>
      </w:r>
    </w:p>
    <w:tbl>
      <w:tblPr>
        <w:tblpPr w:leftFromText="180" w:rightFromText="180" w:vertAnchor="text" w:horzAnchor="page" w:tblpXSpec="center" w:tblpY="153"/>
        <w:tblOverlap w:val="never"/>
        <w:tblW w:w="8992" w:type="dxa"/>
        <w:jc w:val="center"/>
        <w:tblLayout w:type="fixed"/>
        <w:tblLook w:val="04A0"/>
      </w:tblPr>
      <w:tblGrid>
        <w:gridCol w:w="1063"/>
        <w:gridCol w:w="4198"/>
        <w:gridCol w:w="1635"/>
        <w:gridCol w:w="2096"/>
      </w:tblGrid>
      <w:tr w:rsidR="00B619A1">
        <w:trPr>
          <w:trHeight w:val="283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基金代码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基金全称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原场内简称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变更后场内简称</w:t>
            </w:r>
          </w:p>
        </w:tc>
      </w:tr>
      <w:tr w:rsidR="00B619A1">
        <w:trPr>
          <w:trHeight w:val="283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159265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鹏华国证港股通消费主题交易型开放式指数证券投资基金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港股消费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50ETF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港股消费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</w:t>
            </w:r>
          </w:p>
        </w:tc>
      </w:tr>
      <w:tr w:rsidR="00B619A1">
        <w:trPr>
          <w:trHeight w:val="283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159271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鹏华恒生交易型开放式指数证券投资基金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恒生指数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ETF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恒生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</w:t>
            </w:r>
          </w:p>
        </w:tc>
      </w:tr>
      <w:tr w:rsidR="00B619A1">
        <w:trPr>
          <w:trHeight w:val="283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159286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鹏华国证港股通创新药交易型开放式指数证券投资基金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港股创新药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港股通创新药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</w:t>
            </w:r>
          </w:p>
        </w:tc>
      </w:tr>
      <w:tr w:rsidR="00B619A1">
        <w:trPr>
          <w:trHeight w:val="283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159697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鹏华国证石油天然气交易型开放式指数证券投资基金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油气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ETF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石油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</w:t>
            </w:r>
          </w:p>
        </w:tc>
      </w:tr>
      <w:tr w:rsidR="00B619A1">
        <w:trPr>
          <w:trHeight w:val="283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159739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鹏华中证云计算与大数据主题交易型开放式指数证券投资基金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大数据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ETF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云计算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</w:t>
            </w:r>
          </w:p>
        </w:tc>
      </w:tr>
      <w:tr w:rsidR="00B619A1">
        <w:trPr>
          <w:trHeight w:val="283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159751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鹏华中证港股通科技交易型开放式指数证券投资基金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港股科技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ETF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港股通科技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</w:t>
            </w:r>
          </w:p>
        </w:tc>
      </w:tr>
      <w:tr w:rsidR="00B619A1">
        <w:trPr>
          <w:trHeight w:val="283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159778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鹏华中证工业互联网主题交易型开放式指数证券投资基金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工业互联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ETF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工业互联网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</w:t>
            </w:r>
          </w:p>
        </w:tc>
      </w:tr>
      <w:tr w:rsidR="00B619A1">
        <w:trPr>
          <w:trHeight w:val="283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159800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鹏华中证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800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交易型开放式指数证券投资基金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中证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800ETF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中证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800ETF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</w:t>
            </w:r>
          </w:p>
        </w:tc>
      </w:tr>
      <w:tr w:rsidR="00B619A1">
        <w:trPr>
          <w:trHeight w:val="283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159863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鹏华中证光伏产业交易型开放式指数证券投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lastRenderedPageBreak/>
              <w:t>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lastRenderedPageBreak/>
              <w:t>光伏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基金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光伏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</w:t>
            </w:r>
          </w:p>
        </w:tc>
      </w:tr>
      <w:tr w:rsidR="00B619A1">
        <w:trPr>
          <w:trHeight w:val="283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lastRenderedPageBreak/>
              <w:t>159880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鹏华国证有色金属行业交易型开放式指数证券投资基金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有色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基金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有色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</w:t>
            </w:r>
          </w:p>
        </w:tc>
      </w:tr>
      <w:tr w:rsidR="00B619A1">
        <w:trPr>
          <w:trHeight w:val="283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159885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鹏华中证内地低碳经济主题交易型开放式指数证券投资基金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碳中和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基金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碳中和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</w:t>
            </w:r>
          </w:p>
        </w:tc>
      </w:tr>
      <w:tr w:rsidR="00B619A1">
        <w:trPr>
          <w:trHeight w:val="283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159993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鹏华国证证券龙头交易型开放式指数证券投资基金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证券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龙头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9A1" w:rsidRDefault="00AB62B4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证券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鹏华</w:t>
            </w:r>
          </w:p>
        </w:tc>
      </w:tr>
    </w:tbl>
    <w:p w:rsidR="00B619A1" w:rsidRDefault="00AB62B4">
      <w:pPr>
        <w:widowControl w:val="0"/>
        <w:spacing w:line="360" w:lineRule="auto"/>
        <w:ind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基金代码以及其他未提及的名称、简称保持不变。本次变更</w:t>
      </w:r>
      <w:r>
        <w:rPr>
          <w:rFonts w:ascii="宋体" w:eastAsia="宋体" w:hAnsi="宋体" w:cs="宋体" w:hint="eastAsia"/>
          <w:sz w:val="21"/>
          <w:szCs w:val="21"/>
        </w:rPr>
        <w:t>上述简称</w:t>
      </w:r>
      <w:r>
        <w:rPr>
          <w:rFonts w:ascii="宋体" w:eastAsia="宋体" w:hAnsi="宋体" w:cs="宋体"/>
          <w:sz w:val="21"/>
          <w:szCs w:val="21"/>
        </w:rPr>
        <w:t>对基金份额持有人的权益无实质性影响，无需召开基金份额持有人大会审议。</w:t>
      </w:r>
    </w:p>
    <w:p w:rsidR="00B619A1" w:rsidRDefault="00AB62B4">
      <w:pPr>
        <w:widowControl w:val="0"/>
        <w:spacing w:line="360" w:lineRule="auto"/>
        <w:ind w:firstLineChars="200" w:firstLine="420"/>
        <w:jc w:val="both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风险提示：本公司承诺以诚实信用、勤勉尽责的原则管理和运用基金财产</w:t>
      </w:r>
      <w:r>
        <w:rPr>
          <w:rFonts w:ascii="宋体" w:eastAsia="宋体" w:hAnsi="宋体" w:cs="宋体"/>
          <w:sz w:val="21"/>
          <w:szCs w:val="21"/>
        </w:rPr>
        <w:t>,</w:t>
      </w:r>
      <w:r>
        <w:rPr>
          <w:rFonts w:ascii="宋体" w:eastAsia="宋体" w:hAnsi="宋体" w:cs="宋体"/>
          <w:sz w:val="21"/>
          <w:szCs w:val="21"/>
        </w:rPr>
        <w:t>但不保证基金一定盈利</w:t>
      </w:r>
      <w:r>
        <w:rPr>
          <w:rFonts w:ascii="宋体" w:eastAsia="宋体" w:hAnsi="宋体" w:cs="宋体"/>
          <w:sz w:val="21"/>
          <w:szCs w:val="21"/>
        </w:rPr>
        <w:t>,</w:t>
      </w:r>
      <w:r>
        <w:rPr>
          <w:rFonts w:ascii="宋体" w:eastAsia="宋体" w:hAnsi="宋体" w:cs="宋体"/>
          <w:sz w:val="21"/>
          <w:szCs w:val="21"/>
        </w:rPr>
        <w:t>也不保证最低收益。投资者投资于本公司上述基金时应认真阅读相关基金基金合同、招募说明书（更新）、基金产品资料概要（更新）等文件，并根据自身风险承受能力选择适合自己的基金产品。敬请投资者注意投资风险。</w:t>
      </w:r>
    </w:p>
    <w:p w:rsidR="00B619A1" w:rsidRDefault="00AB62B4">
      <w:pPr>
        <w:widowControl w:val="0"/>
        <w:spacing w:line="360" w:lineRule="auto"/>
        <w:jc w:val="both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特此公告。</w:t>
      </w:r>
    </w:p>
    <w:p w:rsidR="00B619A1" w:rsidRDefault="00B619A1">
      <w:pPr>
        <w:widowControl w:val="0"/>
        <w:spacing w:line="360" w:lineRule="auto"/>
        <w:ind w:right="210"/>
        <w:jc w:val="right"/>
        <w:rPr>
          <w:sz w:val="21"/>
          <w:szCs w:val="21"/>
        </w:rPr>
      </w:pPr>
    </w:p>
    <w:p w:rsidR="00B619A1" w:rsidRDefault="00AB62B4">
      <w:pPr>
        <w:widowControl w:val="0"/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鹏华基金管理有限公司</w:t>
      </w:r>
    </w:p>
    <w:p w:rsidR="00B619A1" w:rsidRDefault="00AB62B4">
      <w:pPr>
        <w:widowControl w:val="0"/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2026</w:t>
      </w:r>
      <w:r>
        <w:rPr>
          <w:rFonts w:ascii="宋体" w:eastAsia="宋体" w:hAnsi="宋体" w:cs="宋体" w:hint="eastAsia"/>
          <w:sz w:val="21"/>
          <w:szCs w:val="21"/>
        </w:rPr>
        <w:t>年</w:t>
      </w:r>
      <w:r>
        <w:rPr>
          <w:rFonts w:ascii="宋体" w:eastAsia="宋体" w:hAnsi="宋体" w:cs="宋体" w:hint="eastAsia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月</w:t>
      </w:r>
      <w:r>
        <w:rPr>
          <w:rFonts w:ascii="宋体" w:eastAsia="宋体" w:hAnsi="宋体" w:cs="宋体" w:hint="eastAsia"/>
          <w:sz w:val="21"/>
          <w:szCs w:val="21"/>
        </w:rPr>
        <w:t>15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619A1" w:rsidRDefault="00B619A1"/>
    <w:p w:rsidR="00B619A1" w:rsidRDefault="00B619A1">
      <w:pPr>
        <w:rPr>
          <w:rFonts w:ascii="宋体" w:eastAsia="宋体" w:hAnsi="宋体" w:cs="宋体"/>
          <w:sz w:val="21"/>
          <w:szCs w:val="21"/>
        </w:rPr>
      </w:pPr>
    </w:p>
    <w:sectPr w:rsidR="00B619A1" w:rsidSect="00B61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2C35BDC"/>
    <w:rsid w:val="00AB62B4"/>
    <w:rsid w:val="00B619A1"/>
    <w:rsid w:val="02C35BDC"/>
    <w:rsid w:val="03D65267"/>
    <w:rsid w:val="23A632B9"/>
    <w:rsid w:val="3E956E47"/>
    <w:rsid w:val="41470C2B"/>
    <w:rsid w:val="57533FE8"/>
    <w:rsid w:val="61673F71"/>
    <w:rsid w:val="69DD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9A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4</DocSecurity>
  <Lines>6</Lines>
  <Paragraphs>1</Paragraphs>
  <ScaleCrop>false</ScaleCrop>
  <Company>CNSTOCK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phfund</dc:creator>
  <cp:lastModifiedBy>ZHONGM</cp:lastModifiedBy>
  <cp:revision>2</cp:revision>
  <dcterms:created xsi:type="dcterms:W3CDTF">2026-01-14T16:02:00Z</dcterms:created>
  <dcterms:modified xsi:type="dcterms:W3CDTF">2026-01-14T16:02:00Z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D6123931B8324A9ABCDA6D36DBD504F0_11</vt:lpwstr>
  </property>
</Properties>
</file>