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14750">
      <w:pPr>
        <w:pStyle w:val="XBRL2"/>
        <w:spacing w:before="156"/>
        <w:rPr>
          <w:rFonts w:eastAsia="Cambria" w:cs="Cambria"/>
          <w:lang w:val="en-US"/>
        </w:rPr>
      </w:pPr>
      <w:bookmarkStart w:id="0" w:name="_Toc510201001"/>
      <w:bookmarkEnd w:id="0"/>
      <w:r>
        <w:rPr>
          <w:rFonts w:eastAsia="Cambria" w:cs="Cambria"/>
          <w:lang w:val="en-US"/>
        </w:rPr>
        <w:t xml:space="preserve">　</w:t>
      </w:r>
      <w:r>
        <w:rPr>
          <w:rFonts w:eastAsia="Cambria" w:cs="Cambria"/>
          <w:lang w:val="en-US"/>
        </w:rPr>
        <w:t xml:space="preserve"> </w:t>
      </w:r>
    </w:p>
    <w:p w:rsidR="00000000" w:rsidRDefault="00B14750">
      <w:pPr>
        <w:jc w:val="center"/>
      </w:pPr>
      <w:r>
        <w:rPr>
          <w:b/>
          <w:sz w:val="48"/>
          <w:szCs w:val="48"/>
        </w:rPr>
        <w:t>关于工银瑞信印度市场证券投资基金（</w:t>
      </w:r>
      <w:r>
        <w:rPr>
          <w:b/>
          <w:sz w:val="48"/>
          <w:szCs w:val="48"/>
        </w:rPr>
        <w:t>LOF</w:t>
      </w:r>
      <w:r>
        <w:rPr>
          <w:b/>
          <w:sz w:val="48"/>
          <w:szCs w:val="48"/>
        </w:rPr>
        <w:t>）因境外主要投资市场节假日暂停申购、赎回和定期定额投资业务的公告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color w:val="000000"/>
          <w:kern w:val="0"/>
          <w:sz w:val="18"/>
        </w:rPr>
        <w:t xml:space="preserve">　</w:t>
      </w:r>
      <w:r>
        <w:rPr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B14750">
      <w:pPr>
        <w:spacing w:line="360" w:lineRule="auto"/>
        <w:jc w:val="center"/>
      </w:pPr>
      <w:r>
        <w:rPr>
          <w:rFonts w:cs="宋体"/>
          <w:b/>
          <w:bCs/>
          <w:sz w:val="24"/>
          <w:szCs w:val="30"/>
        </w:rPr>
        <w:t>公告送出日期：</w:t>
      </w:r>
      <w:r>
        <w:rPr>
          <w:rFonts w:cs="宋体"/>
          <w:b/>
          <w:bCs/>
          <w:sz w:val="24"/>
          <w:szCs w:val="30"/>
        </w:rPr>
        <w:t>2026</w:t>
      </w:r>
      <w:r>
        <w:rPr>
          <w:rFonts w:cs="宋体"/>
          <w:b/>
          <w:bCs/>
          <w:sz w:val="24"/>
          <w:szCs w:val="30"/>
        </w:rPr>
        <w:t>年</w:t>
      </w:r>
      <w:r>
        <w:rPr>
          <w:rFonts w:cs="宋体"/>
          <w:b/>
          <w:bCs/>
          <w:sz w:val="24"/>
          <w:szCs w:val="30"/>
        </w:rPr>
        <w:t>1</w:t>
      </w:r>
      <w:r>
        <w:rPr>
          <w:rFonts w:cs="宋体"/>
          <w:b/>
          <w:bCs/>
          <w:sz w:val="24"/>
          <w:szCs w:val="30"/>
        </w:rPr>
        <w:t>月</w:t>
      </w:r>
      <w:r>
        <w:rPr>
          <w:rFonts w:cs="宋体"/>
          <w:b/>
          <w:bCs/>
          <w:sz w:val="24"/>
          <w:szCs w:val="30"/>
        </w:rPr>
        <w:t>15</w:t>
      </w:r>
      <w:r>
        <w:rPr>
          <w:rFonts w:cs="宋体"/>
          <w:b/>
          <w:bCs/>
          <w:sz w:val="24"/>
          <w:szCs w:val="30"/>
        </w:rPr>
        <w:t>日</w:t>
      </w:r>
    </w:p>
    <w:p w:rsidR="00000000" w:rsidRDefault="00B14750">
      <w:pPr>
        <w:pStyle w:val="XBRLTitle1"/>
        <w:spacing w:before="156"/>
        <w:jc w:val="left"/>
      </w:pPr>
      <w:r>
        <w:rPr>
          <w:rFonts w:cs="宋体"/>
          <w:color w:val="404040"/>
          <w:lang w:val="en-US"/>
        </w:rPr>
        <w:br w:type="page"/>
      </w:r>
      <w:bookmarkStart w:id="1" w:name="_Toc17898178"/>
      <w:bookmarkStart w:id="2" w:name="m101"/>
      <w:bookmarkStart w:id="3" w:name="_Toc194311890"/>
      <w:bookmarkStart w:id="4" w:name="m01_01"/>
      <w:bookmarkStart w:id="5" w:name="_Toc490050000"/>
      <w:bookmarkStart w:id="6" w:name="_Toc513295846"/>
      <w:bookmarkStart w:id="7" w:name="_Toc17897936"/>
      <w:bookmarkStart w:id="8" w:name="_Toc512519480"/>
      <w:bookmarkStart w:id="9" w:name="_Toc513295892"/>
      <w:bookmarkStart w:id="10" w:name="_Toc481075046"/>
      <w:bookmarkStart w:id="11" w:name="_Toc438646451"/>
      <w:bookmarkStart w:id="12" w:name="_Toc34322059"/>
      <w:r>
        <w:rPr>
          <w:szCs w:val="24"/>
          <w:lang w:val="en-US"/>
        </w:rPr>
        <w:lastRenderedPageBreak/>
        <w:t>公告基本信息</w:t>
      </w:r>
      <w:bookmarkEnd w:id="1"/>
      <w:bookmarkEnd w:id="12"/>
      <w:bookmarkEnd w:id="11"/>
      <w:bookmarkEnd w:id="10"/>
      <w:bookmarkEnd w:id="9"/>
      <w:bookmarkEnd w:id="8"/>
      <w:bookmarkEnd w:id="7"/>
      <w:bookmarkEnd w:id="6"/>
      <w:bookmarkEnd w:id="5"/>
      <w:r>
        <w:rPr>
          <w:szCs w:val="24"/>
          <w:lang w:val="en-US"/>
        </w:rPr>
        <w:t xml:space="preserve"> </w:t>
      </w:r>
      <w:bookmarkEnd w:id="4"/>
      <w:bookmarkEnd w:id="3"/>
      <w:bookmarkEnd w:id="2"/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3"/>
        <w:gridCol w:w="1224"/>
        <w:gridCol w:w="3226"/>
        <w:gridCol w:w="3226"/>
      </w:tblGrid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基金名称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工银瑞信印度市场证券投资基金（</w:t>
            </w:r>
            <w:r>
              <w:t>LOF</w:t>
            </w:r>
            <w:r>
              <w:t>）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基金简称</w:t>
            </w:r>
            <w:r>
              <w:t xml:space="preserve"> 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印度基金</w:t>
            </w:r>
            <w:r>
              <w:t>LOF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基金主代码</w:t>
            </w:r>
            <w:r>
              <w:t xml:space="preserve"> 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164824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基金管理人名称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工银瑞信基金管理有限公司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公告依据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根据《中华人民共和国证券投资基金法》、《公开募集证券投资基金运作管理办法》、《公开募集证券投资基金信息</w:t>
            </w:r>
            <w:r>
              <w:t>披露管理办法》及其他有关法律法规以及本基金相关法律文件等。</w:t>
            </w:r>
          </w:p>
        </w:tc>
      </w:tr>
      <w:tr w:rsidR="00000000"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暂停相关业务的起始日、金额及原因说明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暂停申购起始日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2026</w:t>
            </w:r>
            <w:r>
              <w:t>年</w:t>
            </w:r>
            <w:r>
              <w:t>1</w:t>
            </w:r>
            <w:r>
              <w:t>月</w:t>
            </w:r>
            <w:r>
              <w:t>19</w:t>
            </w:r>
            <w:r>
              <w:t>日</w:t>
            </w:r>
          </w:p>
        </w:tc>
      </w:tr>
      <w:tr w:rsidR="00000000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pPr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暂停赎回起始日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2026</w:t>
            </w:r>
            <w:r>
              <w:t>年</w:t>
            </w:r>
            <w:r>
              <w:t>1</w:t>
            </w:r>
            <w:r>
              <w:t>月</w:t>
            </w:r>
            <w:r>
              <w:t>19</w:t>
            </w:r>
            <w:r>
              <w:t>日</w:t>
            </w:r>
          </w:p>
        </w:tc>
      </w:tr>
      <w:tr w:rsidR="00000000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pPr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暂停定期定额投资起始日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2026</w:t>
            </w:r>
            <w:r>
              <w:t>年</w:t>
            </w:r>
            <w:r>
              <w:t>1</w:t>
            </w:r>
            <w:r>
              <w:t>月</w:t>
            </w:r>
            <w:r>
              <w:t>19</w:t>
            </w:r>
            <w:r>
              <w:t>日</w:t>
            </w:r>
          </w:p>
        </w:tc>
      </w:tr>
      <w:tr w:rsidR="00000000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pPr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暂停申购、赎回、定期定额投资的原因说明</w:t>
            </w: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inset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t>根据本基金境外主要交易市场节假日休市安排，保护基金份额持有人的利益，保障基金平稳运作。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下属分级基金的基金简称</w:t>
            </w:r>
          </w:p>
        </w:tc>
        <w:tc>
          <w:tcPr>
            <w:tcW w:w="3226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B14750">
            <w:r>
              <w:t>工银印度基金人民币</w:t>
            </w:r>
          </w:p>
        </w:tc>
        <w:tc>
          <w:tcPr>
            <w:tcW w:w="3226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B14750">
            <w:r>
              <w:t>工银印度基金美元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下属分级基金的交易代码</w:t>
            </w:r>
          </w:p>
        </w:tc>
        <w:tc>
          <w:tcPr>
            <w:tcW w:w="3226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B14750">
            <w:r>
              <w:t>164824</w:t>
            </w:r>
          </w:p>
        </w:tc>
        <w:tc>
          <w:tcPr>
            <w:tcW w:w="3226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B14750">
            <w:r>
              <w:t>005801</w:t>
            </w:r>
          </w:p>
        </w:tc>
      </w:tr>
      <w:tr w:rsidR="00000000"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B14750">
            <w:r>
              <w:rPr>
                <w:rFonts w:ascii="Calibri" w:hAnsi="Calibri"/>
              </w:rPr>
              <w:t>该分级基金是否暂停申购、赎回、</w:t>
            </w:r>
            <w:r>
              <w:rPr>
                <w:rFonts w:ascii="Calibri" w:hAnsi="Calibri"/>
              </w:rPr>
              <w:t>定期定额投资</w:t>
            </w:r>
          </w:p>
        </w:tc>
        <w:tc>
          <w:tcPr>
            <w:tcW w:w="3226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B14750">
            <w:r>
              <w:t>是</w:t>
            </w:r>
          </w:p>
        </w:tc>
        <w:tc>
          <w:tcPr>
            <w:tcW w:w="3226" w:type="dxa"/>
            <w:tcBorders>
              <w:top w:val="inset" w:sz="4" w:space="0" w:color="000000"/>
              <w:left w:val="single" w:sz="4" w:space="0" w:color="000000"/>
              <w:bottom w:val="inset" w:sz="4" w:space="0" w:color="000000"/>
              <w:right w:val="single" w:sz="4" w:space="0" w:color="auto"/>
            </w:tcBorders>
            <w:vAlign w:val="center"/>
          </w:tcPr>
          <w:p w:rsidR="00000000" w:rsidRDefault="00B14750">
            <w:r>
              <w:t>是</w:t>
            </w:r>
          </w:p>
        </w:tc>
      </w:tr>
    </w:tbl>
    <w:p w:rsidR="00000000" w:rsidRDefault="00B14750">
      <w:pPr>
        <w:adjustRightInd w:val="0"/>
        <w:snapToGrid w:val="0"/>
        <w:spacing w:line="360" w:lineRule="auto"/>
        <w:jc w:val="left"/>
      </w:pPr>
      <w:r>
        <w:rPr>
          <w:rFonts w:cs="宋体"/>
        </w:rPr>
        <w:t>注</w:t>
      </w:r>
      <w:r>
        <w:rPr>
          <w:rFonts w:cs="宋体"/>
        </w:rPr>
        <w:t>:</w:t>
      </w:r>
      <w:r>
        <w:rPr>
          <w:rFonts w:cs="宋体"/>
          <w:szCs w:val="24"/>
        </w:rPr>
        <w:t>2026</w:t>
      </w:r>
      <w:r>
        <w:rPr>
          <w:rFonts w:cs="宋体"/>
          <w:szCs w:val="24"/>
        </w:rPr>
        <w:t>年</w:t>
      </w:r>
      <w:r>
        <w:rPr>
          <w:rFonts w:cs="宋体"/>
          <w:szCs w:val="24"/>
        </w:rPr>
        <w:t>1</w:t>
      </w:r>
      <w:r>
        <w:rPr>
          <w:rFonts w:cs="宋体"/>
          <w:szCs w:val="24"/>
        </w:rPr>
        <w:t>月</w:t>
      </w:r>
      <w:r>
        <w:rPr>
          <w:rFonts w:cs="宋体"/>
          <w:szCs w:val="24"/>
        </w:rPr>
        <w:t>19</w:t>
      </w:r>
      <w:r>
        <w:rPr>
          <w:rFonts w:cs="宋体"/>
          <w:szCs w:val="24"/>
        </w:rPr>
        <w:t>日为纽约交易所休市日。根据本基金境外主要交易市场节假日休市安排，满足投资者的投资需求，本基金自</w:t>
      </w:r>
      <w:r>
        <w:rPr>
          <w:rFonts w:cs="宋体"/>
          <w:szCs w:val="24"/>
        </w:rPr>
        <w:t>2026</w:t>
      </w:r>
      <w:r>
        <w:rPr>
          <w:rFonts w:cs="宋体"/>
          <w:szCs w:val="24"/>
        </w:rPr>
        <w:t>年</w:t>
      </w:r>
      <w:r>
        <w:rPr>
          <w:rFonts w:cs="宋体"/>
          <w:szCs w:val="24"/>
        </w:rPr>
        <w:t>1</w:t>
      </w:r>
      <w:r>
        <w:rPr>
          <w:rFonts w:cs="宋体"/>
          <w:szCs w:val="24"/>
        </w:rPr>
        <w:t>月</w:t>
      </w:r>
      <w:r>
        <w:rPr>
          <w:rFonts w:cs="宋体"/>
          <w:szCs w:val="24"/>
        </w:rPr>
        <w:t>20</w:t>
      </w:r>
      <w:r>
        <w:rPr>
          <w:rFonts w:cs="宋体"/>
          <w:szCs w:val="24"/>
        </w:rPr>
        <w:t>日起恢复日常申购、赎回和定期定额投资业务，届时不再另行公告。</w:t>
      </w:r>
      <w:r>
        <w:rPr>
          <w:rFonts w:cs="宋体"/>
          <w:szCs w:val="24"/>
        </w:rPr>
        <w:t xml:space="preserve"> </w:t>
      </w:r>
    </w:p>
    <w:p w:rsidR="00000000" w:rsidRDefault="00B14750">
      <w:pPr>
        <w:pStyle w:val="XBRLTitle1"/>
        <w:spacing w:before="156" w:line="360" w:lineRule="auto"/>
        <w:jc w:val="left"/>
      </w:pPr>
      <w:bookmarkStart w:id="13" w:name="_Toc481075097"/>
      <w:bookmarkStart w:id="14" w:name="_Toc17898228"/>
      <w:bookmarkStart w:id="15" w:name="_Toc513295878"/>
      <w:bookmarkStart w:id="16" w:name="_Toc490050049"/>
      <w:bookmarkStart w:id="17" w:name="_Toc438646481"/>
      <w:bookmarkStart w:id="18" w:name="_Toc34322063"/>
      <w:bookmarkStart w:id="19" w:name="_Toc512519529"/>
      <w:bookmarkStart w:id="20" w:name="_Toc17897969"/>
      <w:bookmarkStart w:id="21" w:name="_Toc513295941"/>
      <w:bookmarkStart w:id="22" w:name="m201_01"/>
      <w:r>
        <w:rPr>
          <w:rFonts w:hAnsi="宋体"/>
          <w:szCs w:val="24"/>
          <w:lang w:val="en-US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/>
          <w:szCs w:val="24"/>
          <w:lang w:val="en-US"/>
        </w:rPr>
        <w:t xml:space="preserve"> </w:t>
      </w:r>
    </w:p>
    <w:p w:rsidR="00000000" w:rsidRDefault="00B14750">
      <w:pPr>
        <w:pStyle w:val="aa"/>
        <w:spacing w:beforeAutospacing="0" w:afterAutospacing="0"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、投资者在</w:t>
      </w:r>
      <w:r>
        <w:rPr>
          <w:sz w:val="21"/>
          <w:szCs w:val="21"/>
        </w:rPr>
        <w:t>2026</w:t>
      </w:r>
      <w:r>
        <w:rPr>
          <w:sz w:val="21"/>
          <w:szCs w:val="21"/>
        </w:rPr>
        <w:t>年</w:t>
      </w:r>
      <w:r>
        <w:rPr>
          <w:sz w:val="21"/>
          <w:szCs w:val="21"/>
        </w:rPr>
        <w:t>1</w:t>
      </w:r>
      <w:r>
        <w:rPr>
          <w:sz w:val="21"/>
          <w:szCs w:val="21"/>
        </w:rPr>
        <w:t>月</w:t>
      </w:r>
      <w:r>
        <w:rPr>
          <w:sz w:val="21"/>
          <w:szCs w:val="21"/>
        </w:rPr>
        <w:t>19</w:t>
      </w:r>
      <w:r>
        <w:rPr>
          <w:sz w:val="21"/>
          <w:szCs w:val="21"/>
        </w:rPr>
        <w:t>日仍可进行本基金人民币份额的二级市场交易。</w:t>
      </w:r>
      <w:r>
        <w:rPr>
          <w:sz w:val="21"/>
          <w:szCs w:val="21"/>
        </w:rPr>
        <w:t xml:space="preserve"> </w:t>
      </w:r>
    </w:p>
    <w:p w:rsidR="00000000" w:rsidRDefault="00B14750">
      <w:pPr>
        <w:pStyle w:val="aa"/>
        <w:spacing w:beforeAutospacing="0" w:afterAutospacing="0"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z w:val="21"/>
          <w:szCs w:val="21"/>
        </w:rPr>
        <w:t>、本基金自</w:t>
      </w:r>
      <w:r>
        <w:rPr>
          <w:sz w:val="21"/>
          <w:szCs w:val="21"/>
        </w:rPr>
        <w:t>2026</w:t>
      </w:r>
      <w:r>
        <w:rPr>
          <w:sz w:val="21"/>
          <w:szCs w:val="21"/>
        </w:rPr>
        <w:t>年</w:t>
      </w:r>
      <w:r>
        <w:rPr>
          <w:sz w:val="21"/>
          <w:szCs w:val="21"/>
        </w:rPr>
        <w:t>1</w:t>
      </w:r>
      <w:r>
        <w:rPr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sz w:val="21"/>
          <w:szCs w:val="21"/>
        </w:rPr>
        <w:t>日起恢复日常申购、赎回和定期定额投资业务，届时不再另行公告。仍按照本基金于</w:t>
      </w:r>
      <w:r>
        <w:rPr>
          <w:sz w:val="21"/>
          <w:szCs w:val="21"/>
        </w:rPr>
        <w:t>2025</w:t>
      </w:r>
      <w:r>
        <w:rPr>
          <w:sz w:val="21"/>
          <w:szCs w:val="21"/>
        </w:rPr>
        <w:t>年</w:t>
      </w:r>
      <w:r>
        <w:rPr>
          <w:sz w:val="21"/>
          <w:szCs w:val="21"/>
        </w:rPr>
        <w:t>11</w:t>
      </w:r>
      <w:r>
        <w:rPr>
          <w:sz w:val="21"/>
          <w:szCs w:val="21"/>
        </w:rPr>
        <w:t>月</w:t>
      </w:r>
      <w:r>
        <w:rPr>
          <w:sz w:val="21"/>
          <w:szCs w:val="21"/>
        </w:rPr>
        <w:t>14</w:t>
      </w:r>
      <w:r>
        <w:rPr>
          <w:sz w:val="21"/>
          <w:szCs w:val="21"/>
        </w:rPr>
        <w:t>日发布的《关于调整工银瑞信印度市场证券投资基金（</w:t>
      </w:r>
      <w:r>
        <w:rPr>
          <w:sz w:val="21"/>
          <w:szCs w:val="21"/>
        </w:rPr>
        <w:t>LOF</w:t>
      </w:r>
      <w:r>
        <w:rPr>
          <w:sz w:val="21"/>
          <w:szCs w:val="21"/>
        </w:rPr>
        <w:t>）大额申购、定</w:t>
      </w:r>
      <w:r>
        <w:rPr>
          <w:sz w:val="21"/>
          <w:szCs w:val="21"/>
        </w:rPr>
        <w:t>期定额投资业务限制金额的公告》进行限制，即自</w:t>
      </w:r>
      <w:r>
        <w:rPr>
          <w:sz w:val="21"/>
          <w:szCs w:val="21"/>
        </w:rPr>
        <w:t>2025</w:t>
      </w:r>
      <w:r>
        <w:rPr>
          <w:sz w:val="21"/>
          <w:szCs w:val="21"/>
        </w:rPr>
        <w:t>年</w:t>
      </w:r>
      <w:r>
        <w:rPr>
          <w:sz w:val="21"/>
          <w:szCs w:val="21"/>
        </w:rPr>
        <w:t>11</w:t>
      </w:r>
      <w:r>
        <w:rPr>
          <w:sz w:val="21"/>
          <w:szCs w:val="21"/>
        </w:rPr>
        <w:t>月</w:t>
      </w:r>
      <w:r>
        <w:rPr>
          <w:sz w:val="21"/>
          <w:szCs w:val="21"/>
        </w:rPr>
        <w:t>17</w:t>
      </w:r>
      <w:r>
        <w:rPr>
          <w:sz w:val="21"/>
          <w:szCs w:val="21"/>
        </w:rPr>
        <w:t>日起，本基金人民币份额（基金代码：</w:t>
      </w:r>
      <w:r>
        <w:rPr>
          <w:sz w:val="21"/>
          <w:szCs w:val="21"/>
        </w:rPr>
        <w:t>164824</w:t>
      </w:r>
      <w:r>
        <w:rPr>
          <w:sz w:val="21"/>
          <w:szCs w:val="21"/>
        </w:rPr>
        <w:t>）投资者大额申购、定期定额投资业务限制金额为</w:t>
      </w:r>
      <w:r>
        <w:rPr>
          <w:sz w:val="21"/>
          <w:szCs w:val="21"/>
        </w:rPr>
        <w:t>1000</w:t>
      </w:r>
      <w:r>
        <w:rPr>
          <w:sz w:val="21"/>
          <w:szCs w:val="21"/>
        </w:rPr>
        <w:t>元，美元份额（基金代码：</w:t>
      </w:r>
      <w:r>
        <w:rPr>
          <w:sz w:val="21"/>
          <w:szCs w:val="21"/>
        </w:rPr>
        <w:t>005801</w:t>
      </w:r>
      <w:r>
        <w:rPr>
          <w:sz w:val="21"/>
          <w:szCs w:val="21"/>
        </w:rPr>
        <w:t>）投资者大额申购、定期定额投资业务限制金额为</w:t>
      </w:r>
      <w:r>
        <w:rPr>
          <w:sz w:val="21"/>
          <w:szCs w:val="21"/>
        </w:rPr>
        <w:t>150</w:t>
      </w:r>
      <w:r>
        <w:rPr>
          <w:sz w:val="21"/>
          <w:szCs w:val="21"/>
        </w:rPr>
        <w:t>美元。</w:t>
      </w:r>
      <w:r>
        <w:rPr>
          <w:sz w:val="21"/>
          <w:szCs w:val="21"/>
        </w:rPr>
        <w:t xml:space="preserve"> </w:t>
      </w:r>
    </w:p>
    <w:p w:rsidR="00000000" w:rsidRDefault="00B14750">
      <w:pPr>
        <w:pStyle w:val="aa"/>
        <w:spacing w:beforeAutospacing="0" w:afterAutospacing="0"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sz w:val="21"/>
          <w:szCs w:val="21"/>
        </w:rPr>
        <w:t>、敬请投资者提前进行相关业务安排，避免因基金境外主要投资场所节假日休市等原因带来的不便。</w:t>
      </w:r>
      <w:r>
        <w:rPr>
          <w:sz w:val="21"/>
          <w:szCs w:val="21"/>
        </w:rPr>
        <w:t xml:space="preserve"> </w:t>
      </w:r>
    </w:p>
    <w:p w:rsidR="00000000" w:rsidRDefault="00B14750">
      <w:pPr>
        <w:pStyle w:val="aa"/>
        <w:spacing w:beforeAutospacing="0" w:afterAutospacing="0"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lastRenderedPageBreak/>
        <w:t>4</w:t>
      </w:r>
      <w:r>
        <w:rPr>
          <w:sz w:val="21"/>
          <w:szCs w:val="21"/>
        </w:rPr>
        <w:t>、公司客户服务电话</w:t>
      </w:r>
      <w:r>
        <w:rPr>
          <w:sz w:val="21"/>
          <w:szCs w:val="21"/>
        </w:rPr>
        <w:t>400-811-9999</w:t>
      </w:r>
      <w:r>
        <w:rPr>
          <w:sz w:val="21"/>
          <w:szCs w:val="21"/>
        </w:rPr>
        <w:t>；本公司网站</w:t>
      </w:r>
      <w:r>
        <w:rPr>
          <w:sz w:val="21"/>
          <w:szCs w:val="21"/>
        </w:rPr>
        <w:t>www.icbcubs.com.cn</w:t>
      </w:r>
      <w:r>
        <w:rPr>
          <w:sz w:val="21"/>
          <w:szCs w:val="21"/>
        </w:rPr>
        <w:t>。</w:t>
      </w:r>
      <w:r>
        <w:rPr>
          <w:sz w:val="21"/>
          <w:szCs w:val="21"/>
        </w:rPr>
        <w:t xml:space="preserve"> </w:t>
      </w:r>
    </w:p>
    <w:p w:rsidR="00000000" w:rsidRDefault="00B14750">
      <w:pPr>
        <w:pStyle w:val="aa"/>
        <w:spacing w:beforeAutospacing="0" w:afterAutospacing="0"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sz w:val="21"/>
          <w:szCs w:val="21"/>
        </w:rPr>
        <w:t>、风险提示：基金管理人依照恪尽职守、诚实信用、谨慎勤勉的原则</w:t>
      </w:r>
      <w:r>
        <w:rPr>
          <w:sz w:val="21"/>
          <w:szCs w:val="21"/>
        </w:rPr>
        <w:t>管理和运用基金财产，但不保证基金一定盈利，也不保证最低收益。敬请投资人注意投资风险。投资者投资基金前应认真阅读基金的基金合同、更新的招募说明书、基金产品资料概要等法律文件，并选择适合自身风险承受能力的投资品种进行投资。</w:t>
      </w:r>
      <w:r>
        <w:rPr>
          <w:sz w:val="21"/>
          <w:szCs w:val="21"/>
        </w:rPr>
        <w:t xml:space="preserve"> </w:t>
      </w:r>
    </w:p>
    <w:p w:rsidR="00000000" w:rsidRDefault="00B14750">
      <w:pPr>
        <w:widowControl/>
        <w:jc w:val="left"/>
      </w:pPr>
      <w:r>
        <w:rPr>
          <w:rFonts w:cs="宋体"/>
          <w:sz w:val="24"/>
          <w:szCs w:val="24"/>
        </w:rPr>
        <w:t xml:space="preserve">　　</w:t>
      </w:r>
      <w:r>
        <w:rPr>
          <w:rFonts w:cs="宋体"/>
          <w:sz w:val="24"/>
          <w:szCs w:val="24"/>
        </w:rPr>
        <w:t xml:space="preserve"> </w:t>
      </w:r>
    </w:p>
    <w:p w:rsidR="00000000" w:rsidRDefault="00B14750" w:rsidP="00B14750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30"/>
        </w:rPr>
      </w:pPr>
      <w:r>
        <w:rPr>
          <w:rFonts w:cs="宋体"/>
          <w:b/>
          <w:bCs/>
          <w:sz w:val="24"/>
          <w:szCs w:val="30"/>
        </w:rPr>
        <w:t xml:space="preserve">　</w:t>
      </w:r>
      <w:r>
        <w:rPr>
          <w:rFonts w:cs="宋体"/>
          <w:b/>
          <w:bCs/>
          <w:sz w:val="24"/>
          <w:szCs w:val="30"/>
        </w:rPr>
        <w:t xml:space="preserve"> </w:t>
      </w:r>
    </w:p>
    <w:p w:rsidR="00000000" w:rsidRDefault="00B14750" w:rsidP="00B14750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30"/>
        </w:rPr>
      </w:pPr>
      <w:r>
        <w:rPr>
          <w:rFonts w:cs="宋体"/>
          <w:b/>
          <w:bCs/>
          <w:sz w:val="24"/>
          <w:szCs w:val="30"/>
        </w:rPr>
        <w:t xml:space="preserve">　</w:t>
      </w:r>
      <w:r>
        <w:rPr>
          <w:rFonts w:cs="宋体"/>
          <w:b/>
          <w:bCs/>
          <w:sz w:val="24"/>
          <w:szCs w:val="30"/>
        </w:rPr>
        <w:t xml:space="preserve"> </w:t>
      </w:r>
    </w:p>
    <w:p w:rsidR="00000000" w:rsidRDefault="00B14750" w:rsidP="00B14750">
      <w:pPr>
        <w:spacing w:line="360" w:lineRule="auto"/>
        <w:ind w:firstLineChars="600" w:firstLine="1446"/>
        <w:jc w:val="right"/>
      </w:pPr>
      <w:r>
        <w:rPr>
          <w:rFonts w:cs="宋体"/>
          <w:b/>
          <w:bCs/>
          <w:sz w:val="24"/>
          <w:szCs w:val="24"/>
        </w:rPr>
        <w:t>工银瑞信基金管理有限公司</w:t>
      </w:r>
    </w:p>
    <w:p w:rsidR="00000000" w:rsidRDefault="00B14750" w:rsidP="00B14750">
      <w:pPr>
        <w:spacing w:line="360" w:lineRule="auto"/>
        <w:ind w:firstLineChars="600" w:firstLine="1446"/>
        <w:jc w:val="right"/>
      </w:pPr>
      <w:r>
        <w:rPr>
          <w:rFonts w:cs="宋体"/>
          <w:b/>
          <w:bCs/>
          <w:sz w:val="24"/>
          <w:szCs w:val="24"/>
        </w:rPr>
        <w:t>2026</w:t>
      </w:r>
      <w:r>
        <w:rPr>
          <w:rFonts w:cs="宋体"/>
          <w:b/>
          <w:bCs/>
          <w:sz w:val="24"/>
          <w:szCs w:val="24"/>
        </w:rPr>
        <w:t>年</w:t>
      </w:r>
      <w:r>
        <w:rPr>
          <w:rFonts w:cs="宋体"/>
          <w:b/>
          <w:bCs/>
          <w:sz w:val="24"/>
          <w:szCs w:val="24"/>
        </w:rPr>
        <w:t>1</w:t>
      </w:r>
      <w:r>
        <w:rPr>
          <w:rFonts w:cs="宋体"/>
          <w:b/>
          <w:bCs/>
          <w:sz w:val="24"/>
          <w:szCs w:val="24"/>
        </w:rPr>
        <w:t>月</w:t>
      </w:r>
      <w:r>
        <w:rPr>
          <w:rFonts w:cs="宋体"/>
          <w:b/>
          <w:bCs/>
          <w:sz w:val="24"/>
          <w:szCs w:val="24"/>
        </w:rPr>
        <w:t>15</w:t>
      </w:r>
      <w:r>
        <w:rPr>
          <w:rFonts w:cs="宋体"/>
          <w:b/>
          <w:bCs/>
          <w:sz w:val="24"/>
          <w:szCs w:val="24"/>
        </w:rPr>
        <w:t>日</w:t>
      </w:r>
      <w:bookmarkEnd w:id="22"/>
      <w:r>
        <w:rPr>
          <w:b/>
          <w:bCs/>
          <w:sz w:val="24"/>
          <w:szCs w:val="24"/>
        </w:rPr>
        <w:t xml:space="preserve">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14750">
      <w:r>
        <w:separator/>
      </w:r>
    </w:p>
  </w:endnote>
  <w:endnote w:type="continuationSeparator" w:id="0">
    <w:p w:rsidR="00000000" w:rsidRDefault="00B1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altName w:val="汉仪旗黑KW 55S"/>
    <w:charset w:val="00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汉仪仿宋KW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4750">
    <w:pPr>
      <w:jc w:val="center"/>
    </w:pPr>
    <w:r>
      <w:rPr>
        <w:rFonts w:cs="宋体"/>
        <w:sz w:val="18"/>
        <w:szCs w:val="18"/>
      </w:rPr>
      <w:t>第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>页</w:t>
    </w:r>
    <w:r>
      <w:rPr>
        <w:sz w:val="18"/>
        <w:szCs w:val="18"/>
        <w:lang w:val="zh-CN"/>
      </w:rPr>
      <w:t xml:space="preserve"> </w:t>
    </w:r>
    <w:r>
      <w:rPr>
        <w:sz w:val="18"/>
        <w:szCs w:val="18"/>
        <w:lang w:val="zh-CN"/>
      </w:rPr>
      <w:t>共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4750">
    <w:pPr>
      <w:pStyle w:val="a6"/>
      <w:rPr>
        <w:rFonts w:cs="宋体"/>
      </w:rPr>
    </w:pPr>
    <w:r>
      <w:rPr>
        <w:rFonts w:cs="宋体"/>
      </w:rPr>
      <w:t xml:space="preserve"> </w:t>
    </w:r>
  </w:p>
  <w:p w:rsidR="00000000" w:rsidRDefault="00B14750">
    <w:pPr>
      <w:jc w:val="center"/>
    </w:pPr>
    <w:r>
      <w:rPr>
        <w:rFonts w:cs="宋体"/>
        <w:sz w:val="18"/>
        <w:szCs w:val="18"/>
      </w:rPr>
      <w:t>第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>页</w:t>
    </w:r>
    <w:r>
      <w:rPr>
        <w:sz w:val="18"/>
        <w:szCs w:val="18"/>
        <w:lang w:val="zh-CN"/>
      </w:rPr>
      <w:t xml:space="preserve"> </w:t>
    </w:r>
    <w:r>
      <w:rPr>
        <w:sz w:val="18"/>
        <w:szCs w:val="18"/>
        <w:lang w:val="zh-CN"/>
      </w:rPr>
      <w:t>共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t xml:space="preserve"> </w:t>
    </w:r>
  </w:p>
  <w:p w:rsidR="00000000" w:rsidRDefault="00B14750">
    <w:pPr>
      <w:pStyle w:val="a6"/>
      <w:rPr>
        <w:rFonts w:cs="宋体"/>
      </w:rPr>
    </w:pPr>
    <w:r>
      <w:rPr>
        <w:rFonts w:cs="宋体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14750">
      <w:r>
        <w:separator/>
      </w:r>
    </w:p>
  </w:footnote>
  <w:footnote w:type="continuationSeparator" w:id="0">
    <w:p w:rsidR="00000000" w:rsidRDefault="00B14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4750">
    <w:pPr>
      <w:pStyle w:val="a7"/>
    </w:pPr>
    <w:r>
      <w:rPr>
        <w:rFonts w:cs="宋体"/>
      </w:rPr>
      <w:t>关于工银瑞信印度市场证券投资基金（</w:t>
    </w:r>
    <w:r>
      <w:rPr>
        <w:rFonts w:cs="宋体"/>
      </w:rPr>
      <w:t>LOF</w:t>
    </w:r>
    <w:r>
      <w:rPr>
        <w:rFonts w:cs="宋体"/>
      </w:rPr>
      <w:t>）因境外主要投资市场节假日暂停申购、赎回和定期定额投资业务的公告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4750">
    <w:pPr>
      <w:pStyle w:val="a7"/>
    </w:pPr>
    <w:r>
      <w:rPr>
        <w:rFonts w:cs="宋体"/>
      </w:rPr>
      <w:t>关于工银瑞信印度市场证券投资基金（</w:t>
    </w:r>
    <w:r>
      <w:rPr>
        <w:rFonts w:cs="宋体"/>
      </w:rPr>
      <w:t>LOF</w:t>
    </w:r>
    <w:r>
      <w:rPr>
        <w:rFonts w:cs="宋体"/>
      </w:rPr>
      <w:t>）</w:t>
    </w:r>
    <w:r>
      <w:rPr>
        <w:rFonts w:cs="宋体"/>
      </w:rPr>
      <w:t>因境外主要投资市场节假日暂停申购、赎回和定期定额投资业务的公告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4A3A2"/>
    <w:multiLevelType w:val="multilevel"/>
    <w:tmpl w:val="6354A3A2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oNotTrackMoves/>
  <w:defaultTabStop w:val="420"/>
  <w:drawingGridHorizontalSpacing w:val="106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750"/>
    <w:rsid w:val="0A286DFF"/>
    <w:rsid w:val="272C19C0"/>
    <w:rsid w:val="DDD7F0F7"/>
    <w:rsid w:val="EDBFD818"/>
    <w:rsid w:val="00B1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/>
    <w:lsdException w:name="Subtitle" w:semiHidden="0" w:uiPriority="0" w:unhideWhenUsed="0" w:qFormat="1"/>
    <w:lsdException w:name="Date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HTML Preformatted" w:semiHidden="0"/>
    <w:lsdException w:name="Normal Table" w:semiHidden="0"/>
    <w:lsdException w:name="Balloon Text" w:semiHidden="0"/>
    <w:lsdException w:name="Table Grid" w:semiHidden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08" w:lineRule="auto"/>
      <w:outlineLvl w:val="1"/>
    </w:pPr>
    <w:rPr>
      <w:rFonts w:ascii="Cambria" w:eastAsia="Cambria" w:hAnsi="Cambria" w:hint="default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2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 w:hint="default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hint="default"/>
      <w:b/>
      <w:bCs/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unhideWhenUsed/>
    <w:rPr>
      <w:rFonts w:cs="宋体"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locked/>
    <w:rPr>
      <w:b/>
      <w:bCs/>
      <w:kern w:val="2"/>
      <w:sz w:val="32"/>
      <w:szCs w:val="32"/>
    </w:rPr>
  </w:style>
  <w:style w:type="character" w:customStyle="1" w:styleId="4Char2">
    <w:name w:val="标题 4 Char2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1">
    <w:name w:val="标题 5 Char1"/>
    <w:basedOn w:val="a0"/>
    <w:link w:val="5"/>
    <w:locked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"/>
    <w:pPr>
      <w:shd w:val="clear" w:color="auto" w:fill="000080"/>
    </w:pPr>
  </w:style>
  <w:style w:type="character" w:customStyle="1" w:styleId="Char">
    <w:name w:val="文档结构图 Char"/>
    <w:basedOn w:val="a0"/>
    <w:link w:val="a3"/>
    <w:locked/>
    <w:rPr>
      <w:rFonts w:ascii="宋体" w:eastAsia="宋体" w:hAnsi="宋体" w:cs="宋体" w:hint="eastAsia"/>
      <w:kern w:val="2"/>
      <w:sz w:val="18"/>
      <w:szCs w:val="18"/>
    </w:rPr>
  </w:style>
  <w:style w:type="paragraph" w:styleId="30">
    <w:name w:val="toc 3"/>
    <w:basedOn w:val="a"/>
    <w:next w:val="a"/>
    <w:uiPriority w:val="39"/>
  </w:style>
  <w:style w:type="paragraph" w:styleId="a4">
    <w:name w:val="Date"/>
    <w:basedOn w:val="a"/>
    <w:next w:val="a"/>
    <w:link w:val="Char0"/>
    <w:rPr>
      <w:sz w:val="32"/>
    </w:rPr>
  </w:style>
  <w:style w:type="character" w:customStyle="1" w:styleId="Char0">
    <w:name w:val="日期 Char"/>
    <w:basedOn w:val="a0"/>
    <w:link w:val="a4"/>
    <w:locked/>
    <w:rPr>
      <w:kern w:val="2"/>
      <w:sz w:val="21"/>
    </w:rPr>
  </w:style>
  <w:style w:type="paragraph" w:styleId="a5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2"/>
    <w:basedOn w:val="a0"/>
    <w:link w:val="a5"/>
    <w:locked/>
    <w:rPr>
      <w:kern w:val="2"/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0">
    <w:name w:val="页眉 Char2"/>
    <w:basedOn w:val="a0"/>
    <w:link w:val="a7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right" w:leader="dot" w:pos="8835"/>
      </w:tabs>
    </w:pPr>
  </w:style>
  <w:style w:type="paragraph" w:styleId="a8">
    <w:name w:val="Subtitle"/>
    <w:basedOn w:val="2"/>
    <w:next w:val="3"/>
    <w:link w:val="Char21"/>
    <w:qFormat/>
    <w:pPr>
      <w:spacing w:before="240" w:after="60" w:line="312" w:lineRule="auto"/>
      <w:jc w:val="left"/>
    </w:pPr>
    <w:rPr>
      <w:rFonts w:eastAsia="宋体"/>
      <w:bCs w:val="0"/>
      <w:kern w:val="24"/>
      <w:sz w:val="24"/>
    </w:rPr>
  </w:style>
  <w:style w:type="character" w:customStyle="1" w:styleId="Char21">
    <w:name w:val="副标题 Char2"/>
    <w:basedOn w:val="a0"/>
    <w:link w:val="a8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9">
    <w:name w:val="footnote text"/>
    <w:basedOn w:val="a"/>
    <w:link w:val="Char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4"/>
    <w:uiPriority w:val="10"/>
    <w:qFormat/>
    <w:pPr>
      <w:keepNext w:val="0"/>
      <w:keepLines w:val="0"/>
      <w:spacing w:before="240" w:after="60"/>
      <w:jc w:val="center"/>
    </w:pPr>
    <w:rPr>
      <w:rFonts w:ascii="Cambria" w:hAnsi="Cambria" w:hint="default"/>
      <w:kern w:val="0"/>
      <w:sz w:val="32"/>
      <w:szCs w:val="32"/>
    </w:rPr>
  </w:style>
  <w:style w:type="character" w:customStyle="1" w:styleId="Char4">
    <w:name w:val="标题 Char"/>
    <w:basedOn w:val="a0"/>
    <w:link w:val="ab"/>
    <w:locked/>
    <w:rPr>
      <w:rFonts w:ascii="Cambria" w:eastAsia="Cambria" w:hAnsi="Cambria" w:cs="Times New Roman" w:hint="default"/>
      <w:b/>
      <w:bCs/>
      <w:kern w:val="2"/>
      <w:sz w:val="32"/>
      <w:szCs w:val="32"/>
    </w:rPr>
  </w:style>
  <w:style w:type="table" w:styleId="ac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unhideWhenUsed/>
    <w:rPr>
      <w:color w:val="800080"/>
      <w:u w:val="single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footnote reference"/>
    <w:basedOn w:val="a0"/>
    <w:rPr>
      <w:vertAlign w:val="superscript"/>
    </w:rPr>
  </w:style>
  <w:style w:type="character" w:customStyle="1" w:styleId="11">
    <w:name w:val="标题 1 字符"/>
    <w:basedOn w:val="a0"/>
    <w:link w:val="1"/>
    <w:locked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1">
    <w:name w:val="标题 3 Char1"/>
    <w:basedOn w:val="a0"/>
    <w:link w:val="3"/>
    <w:locked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locked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文档结构图 字符"/>
    <w:basedOn w:val="a0"/>
    <w:link w:val="a3"/>
    <w:locked/>
    <w:rPr>
      <w:rFonts w:ascii="Microsoft YaHei UI" w:eastAsia="Microsoft YaHei UI" w:hAnsi="Microsoft YaHei UI" w:cs="Microsoft YaHei UI" w:hint="eastAsia"/>
      <w:kern w:val="2"/>
      <w:sz w:val="18"/>
      <w:szCs w:val="18"/>
    </w:rPr>
  </w:style>
  <w:style w:type="character" w:customStyle="1" w:styleId="af1">
    <w:name w:val="日期 字符"/>
    <w:basedOn w:val="a0"/>
    <w:link w:val="a4"/>
    <w:locked/>
    <w:rPr>
      <w:kern w:val="2"/>
      <w:sz w:val="21"/>
    </w:rPr>
  </w:style>
  <w:style w:type="character" w:customStyle="1" w:styleId="Char5">
    <w:name w:val="批注框文本 Char"/>
    <w:basedOn w:val="a0"/>
    <w:link w:val="a5"/>
    <w:locked/>
    <w:rPr>
      <w:kern w:val="2"/>
      <w:sz w:val="18"/>
      <w:szCs w:val="18"/>
    </w:rPr>
  </w:style>
  <w:style w:type="character" w:customStyle="1" w:styleId="af2">
    <w:name w:val="页脚 字符"/>
    <w:basedOn w:val="a0"/>
    <w:link w:val="a6"/>
    <w:locked/>
    <w:rPr>
      <w:kern w:val="2"/>
      <w:sz w:val="18"/>
      <w:szCs w:val="18"/>
    </w:rPr>
  </w:style>
  <w:style w:type="character" w:customStyle="1" w:styleId="Char6">
    <w:name w:val="页眉 Char"/>
    <w:basedOn w:val="a0"/>
    <w:link w:val="a7"/>
    <w:locked/>
    <w:rPr>
      <w:kern w:val="2"/>
      <w:sz w:val="18"/>
      <w:szCs w:val="18"/>
    </w:rPr>
  </w:style>
  <w:style w:type="character" w:customStyle="1" w:styleId="Char7">
    <w:name w:val="副标题 Char"/>
    <w:basedOn w:val="a0"/>
    <w:link w:val="a8"/>
    <w:locked/>
    <w:rPr>
      <w:rFonts w:ascii="Cambria" w:eastAsia="Cambria" w:hAnsi="Cambria" w:cs="Times New Roman" w:hint="default"/>
      <w:b/>
      <w:bCs/>
      <w:kern w:val="24"/>
      <w:sz w:val="32"/>
      <w:szCs w:val="32"/>
    </w:rPr>
  </w:style>
  <w:style w:type="character" w:customStyle="1" w:styleId="af3">
    <w:name w:val="脚注文本 字符"/>
    <w:basedOn w:val="a0"/>
    <w:link w:val="a9"/>
    <w:locked/>
    <w:rPr>
      <w:kern w:val="2"/>
      <w:sz w:val="18"/>
      <w:szCs w:val="18"/>
    </w:rPr>
  </w:style>
  <w:style w:type="character" w:customStyle="1" w:styleId="af4">
    <w:name w:val="标题 字符"/>
    <w:basedOn w:val="a0"/>
    <w:link w:val="ab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1Char1">
    <w:name w:val="标题 1 Char1"/>
    <w:basedOn w:val="a0"/>
    <w:link w:val="1"/>
    <w:locked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"/>
    <w:basedOn w:val="a0"/>
    <w:link w:val="3"/>
    <w:locked/>
    <w:rPr>
      <w:b/>
      <w:bCs/>
      <w:kern w:val="2"/>
      <w:sz w:val="32"/>
      <w:szCs w:val="32"/>
    </w:rPr>
  </w:style>
  <w:style w:type="character" w:customStyle="1" w:styleId="4Char1">
    <w:name w:val="标题 4 Char1"/>
    <w:basedOn w:val="a0"/>
    <w:link w:val="4"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0">
    <w:name w:val="文档结构图 Char1"/>
    <w:basedOn w:val="a0"/>
    <w:link w:val="a3"/>
    <w:locked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Char11">
    <w:name w:val="日期 Char1"/>
    <w:basedOn w:val="a0"/>
    <w:link w:val="a4"/>
    <w:locked/>
    <w:rPr>
      <w:rFonts w:ascii="宋体" w:eastAsia="宋体" w:hAnsi="宋体" w:cs="宋体" w:hint="eastAsia"/>
      <w:kern w:val="2"/>
      <w:sz w:val="32"/>
    </w:rPr>
  </w:style>
  <w:style w:type="character" w:customStyle="1" w:styleId="Char12">
    <w:name w:val="批注框文本 Char1"/>
    <w:basedOn w:val="a0"/>
    <w:link w:val="a5"/>
    <w:locked/>
    <w:rPr>
      <w:kern w:val="2"/>
      <w:sz w:val="18"/>
      <w:szCs w:val="18"/>
    </w:rPr>
  </w:style>
  <w:style w:type="character" w:customStyle="1" w:styleId="Char13">
    <w:name w:val="页脚 Char1"/>
    <w:basedOn w:val="a0"/>
    <w:link w:val="a6"/>
    <w:locked/>
    <w:rPr>
      <w:kern w:val="2"/>
      <w:sz w:val="18"/>
      <w:szCs w:val="18"/>
    </w:rPr>
  </w:style>
  <w:style w:type="character" w:customStyle="1" w:styleId="Char14">
    <w:name w:val="页眉 Char1"/>
    <w:basedOn w:val="a0"/>
    <w:link w:val="a7"/>
    <w:locked/>
    <w:rPr>
      <w:kern w:val="2"/>
      <w:sz w:val="18"/>
      <w:szCs w:val="18"/>
    </w:rPr>
  </w:style>
  <w:style w:type="character" w:customStyle="1" w:styleId="Char15">
    <w:name w:val="副标题 Char1"/>
    <w:basedOn w:val="a0"/>
    <w:link w:val="a8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6">
    <w:name w:val="脚注文本 Char1"/>
    <w:basedOn w:val="a0"/>
    <w:link w:val="a9"/>
    <w:locked/>
    <w:rPr>
      <w:kern w:val="2"/>
      <w:sz w:val="18"/>
      <w:szCs w:val="18"/>
    </w:rPr>
  </w:style>
  <w:style w:type="character" w:customStyle="1" w:styleId="Char17">
    <w:name w:val="标题 Char1"/>
    <w:basedOn w:val="a0"/>
    <w:link w:val="ab"/>
    <w:locked/>
    <w:rPr>
      <w:rFonts w:ascii="Cambria" w:eastAsia="Cambria" w:hAnsi="Cambria" w:cs="宋体" w:hint="default"/>
      <w:b/>
      <w:bCs/>
      <w:sz w:val="32"/>
      <w:szCs w:val="32"/>
    </w:rPr>
  </w:style>
  <w:style w:type="paragraph" w:customStyle="1" w:styleId="XBRL4">
    <w:name w:val="XBRL标题4"/>
    <w:basedOn w:val="a8"/>
    <w:next w:val="4"/>
    <w:pPr>
      <w:spacing w:beforeLines="50" w:after="0"/>
    </w:pPr>
    <w:rPr>
      <w:bCs/>
    </w:rPr>
  </w:style>
  <w:style w:type="paragraph" w:customStyle="1" w:styleId="XBRLTitle6">
    <w:name w:val="XBRLTitle6"/>
    <w:basedOn w:val="a8"/>
    <w:next w:val="4"/>
    <w:pPr>
      <w:numPr>
        <w:ilvl w:val="5"/>
        <w:numId w:val="1"/>
      </w:numPr>
      <w:spacing w:beforeLines="50" w:after="0"/>
    </w:pPr>
    <w:rPr>
      <w:bCs/>
    </w:rPr>
  </w:style>
  <w:style w:type="paragraph" w:customStyle="1" w:styleId="XBRLTitle5">
    <w:name w:val="XBRLTitle5"/>
    <w:basedOn w:val="a8"/>
    <w:next w:val="4"/>
    <w:pPr>
      <w:numPr>
        <w:ilvl w:val="4"/>
        <w:numId w:val="1"/>
      </w:numPr>
      <w:spacing w:beforeLines="50" w:after="0"/>
    </w:pPr>
    <w:rPr>
      <w:bCs/>
    </w:rPr>
  </w:style>
  <w:style w:type="paragraph" w:customStyle="1" w:styleId="XBRL3">
    <w:name w:val="XBRL标题3"/>
    <w:basedOn w:val="a8"/>
    <w:next w:val="4"/>
    <w:pPr>
      <w:spacing w:beforeLines="50" w:after="0"/>
    </w:pPr>
    <w:rPr>
      <w:bCs/>
    </w:rPr>
  </w:style>
  <w:style w:type="paragraph" w:customStyle="1" w:styleId="Char8">
    <w:name w:val="Char"/>
    <w:basedOn w:val="a"/>
  </w:style>
  <w:style w:type="paragraph" w:customStyle="1" w:styleId="XBRLTitle4">
    <w:name w:val="XBRLTitle4"/>
    <w:basedOn w:val="a8"/>
    <w:next w:val="4"/>
    <w:pPr>
      <w:numPr>
        <w:ilvl w:val="3"/>
        <w:numId w:val="1"/>
      </w:numPr>
      <w:spacing w:beforeLines="50" w:after="0"/>
    </w:pPr>
    <w:rPr>
      <w:bCs/>
    </w:rPr>
  </w:style>
  <w:style w:type="paragraph" w:customStyle="1" w:styleId="XBRL1">
    <w:name w:val="XBRL标题1"/>
    <w:basedOn w:val="1"/>
    <w:next w:val="2"/>
    <w:pPr>
      <w:spacing w:beforeLines="50" w:after="0"/>
      <w:jc w:val="center"/>
    </w:pPr>
    <w:rPr>
      <w:rFonts w:ascii="Cambria" w:hAnsi="Cambria" w:hint="default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hint="default"/>
      <w:kern w:val="0"/>
      <w:sz w:val="24"/>
    </w:rPr>
  </w:style>
  <w:style w:type="paragraph" w:customStyle="1" w:styleId="msonormal1">
    <w:name w:val="msonormal1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3">
    <w:name w:val="XBRLTitle3"/>
    <w:basedOn w:val="a8"/>
    <w:next w:val="4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</w:pPr>
    <w:rPr>
      <w:rFonts w:ascii="宋体" w:hint="eastAsia"/>
      <w:bCs/>
    </w:rPr>
  </w:style>
  <w:style w:type="paragraph" w:customStyle="1" w:styleId="XBRL5">
    <w:name w:val="XBRL标题5"/>
    <w:basedOn w:val="a8"/>
    <w:next w:val="4"/>
    <w:pPr>
      <w:spacing w:beforeLines="50" w:after="0"/>
    </w:pPr>
    <w:rPr>
      <w:bCs/>
    </w:rPr>
  </w:style>
  <w:style w:type="paragraph" w:customStyle="1" w:styleId="msotocheading0">
    <w:name w:val="msotocheading"/>
    <w:basedOn w:val="1"/>
    <w:next w:val="a"/>
    <w:pPr>
      <w:widowControl/>
      <w:spacing w:before="480" w:after="0" w:line="276" w:lineRule="auto"/>
      <w:jc w:val="left"/>
    </w:pPr>
    <w:rPr>
      <w:rFonts w:ascii="Cambria" w:hAnsi="Cambria" w:hint="default"/>
      <w:color w:val="365F91"/>
      <w:kern w:val="0"/>
      <w:sz w:val="24"/>
      <w:szCs w:val="24"/>
    </w:rPr>
  </w:style>
  <w:style w:type="paragraph" w:customStyle="1" w:styleId="af5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8"/>
    <w:next w:val="4"/>
    <w:pPr>
      <w:spacing w:beforeLines="50" w:after="0"/>
    </w:pPr>
    <w:rPr>
      <w:bCs/>
    </w:rPr>
  </w:style>
  <w:style w:type="paragraph" w:customStyle="1" w:styleId="XBRL2">
    <w:name w:val="XBRL标题2"/>
    <w:basedOn w:val="a8"/>
    <w:next w:val="4"/>
    <w:pPr>
      <w:spacing w:beforeLines="50" w:after="0"/>
    </w:pPr>
    <w:rPr>
      <w:bCs/>
    </w:rPr>
  </w:style>
  <w:style w:type="paragraph" w:customStyle="1" w:styleId="XBRLTitle1">
    <w:name w:val="XBRLTitle1"/>
    <w:basedOn w:val="1"/>
    <w:next w:val="2"/>
    <w:pPr>
      <w:keepNext w:val="0"/>
      <w:keepLines w:val="0"/>
      <w:numPr>
        <w:numId w:val="1"/>
      </w:numPr>
      <w:spacing w:beforeLines="50" w:after="0"/>
      <w:jc w:val="center"/>
    </w:pPr>
    <w:rPr>
      <w:rFonts w:hAnsi="Cambria"/>
      <w:sz w:val="24"/>
    </w:rPr>
  </w:style>
  <w:style w:type="paragraph" w:customStyle="1" w:styleId="XBRLTitle2">
    <w:name w:val="XBRLTitle2"/>
    <w:basedOn w:val="a8"/>
    <w:next w:val="4"/>
    <w:pPr>
      <w:keepNext w:val="0"/>
      <w:keepLines w:val="0"/>
      <w:numPr>
        <w:ilvl w:val="1"/>
        <w:numId w:val="1"/>
      </w:numPr>
      <w:spacing w:beforeLines="50" w:after="0"/>
      <w:ind w:left="454"/>
    </w:pPr>
    <w:rPr>
      <w:rFonts w:ascii="宋体" w:hint="eastAsia"/>
      <w:bCs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2">
    <w:name w:val="页眉 字符1"/>
    <w:basedOn w:val="a0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4</DocSecurity>
  <Lines>8</Lines>
  <Paragraphs>2</Paragraphs>
  <ScaleCrop>false</ScaleCrop>
  <Company>CNSTOCK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dcterms:created xsi:type="dcterms:W3CDTF">2026-01-14T16:02:00Z</dcterms:created>
  <dcterms:modified xsi:type="dcterms:W3CDTF">2026-01-14T16:02:00Z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829D18E38F42E2978BD660694EAE14BE_43</vt:lpwstr>
  </property>
</Properties>
</file>