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2BD" w:rsidRDefault="004B52BD">
      <w:pPr>
        <w:pStyle w:val="Default"/>
        <w:spacing w:line="360" w:lineRule="auto"/>
        <w:rPr>
          <w:rFonts w:cstheme="minorBidi"/>
          <w:color w:val="auto"/>
        </w:rPr>
      </w:pPr>
    </w:p>
    <w:p w:rsidR="004B52BD" w:rsidRDefault="004B52BD">
      <w:pPr>
        <w:pStyle w:val="Default"/>
        <w:spacing w:line="360" w:lineRule="auto"/>
        <w:rPr>
          <w:rFonts w:cstheme="minorBidi"/>
          <w:color w:val="auto"/>
        </w:rPr>
      </w:pPr>
    </w:p>
    <w:p w:rsidR="004B52BD" w:rsidRDefault="004B52BD">
      <w:pPr>
        <w:pStyle w:val="Default"/>
        <w:spacing w:line="360" w:lineRule="auto"/>
        <w:rPr>
          <w:rFonts w:cstheme="minorBidi"/>
          <w:color w:val="auto"/>
        </w:rPr>
      </w:pPr>
    </w:p>
    <w:p w:rsidR="004B52BD" w:rsidRDefault="004B52BD">
      <w:pPr>
        <w:pStyle w:val="Default"/>
        <w:spacing w:line="360" w:lineRule="auto"/>
        <w:rPr>
          <w:rFonts w:cstheme="minorBidi"/>
          <w:color w:val="auto"/>
        </w:rPr>
      </w:pPr>
    </w:p>
    <w:p w:rsidR="004B52BD" w:rsidRDefault="00F32BCB">
      <w:pPr>
        <w:spacing w:line="360" w:lineRule="auto"/>
        <w:jc w:val="center"/>
        <w:rPr>
          <w:b/>
          <w:sz w:val="48"/>
          <w:szCs w:val="48"/>
        </w:rPr>
      </w:pPr>
      <w:r>
        <w:rPr>
          <w:rFonts w:hint="eastAsia"/>
          <w:b/>
          <w:sz w:val="48"/>
          <w:szCs w:val="48"/>
        </w:rPr>
        <w:t>关于平安合信</w:t>
      </w:r>
      <w:r>
        <w:rPr>
          <w:rFonts w:hint="eastAsia"/>
          <w:b/>
          <w:sz w:val="48"/>
          <w:szCs w:val="48"/>
        </w:rPr>
        <w:t>3</w:t>
      </w:r>
      <w:r>
        <w:rPr>
          <w:rFonts w:hint="eastAsia"/>
          <w:b/>
          <w:sz w:val="48"/>
          <w:szCs w:val="48"/>
        </w:rPr>
        <w:t>个月定期开放债券型发起式证券投资基金</w:t>
      </w:r>
      <w:r>
        <w:rPr>
          <w:b/>
          <w:sz w:val="48"/>
          <w:szCs w:val="48"/>
        </w:rPr>
        <w:t>开放申购、赎回</w:t>
      </w:r>
      <w:r>
        <w:rPr>
          <w:rFonts w:hint="eastAsia"/>
          <w:b/>
          <w:sz w:val="48"/>
          <w:szCs w:val="48"/>
        </w:rPr>
        <w:t>及转换</w:t>
      </w:r>
      <w:r>
        <w:rPr>
          <w:b/>
          <w:sz w:val="48"/>
          <w:szCs w:val="48"/>
        </w:rPr>
        <w:t>业务的公告</w:t>
      </w:r>
    </w:p>
    <w:p w:rsidR="004B52BD" w:rsidRDefault="004B52BD">
      <w:pPr>
        <w:spacing w:line="360" w:lineRule="auto"/>
        <w:jc w:val="center"/>
        <w:rPr>
          <w:b/>
          <w:sz w:val="48"/>
          <w:szCs w:val="48"/>
        </w:rPr>
      </w:pPr>
    </w:p>
    <w:p w:rsidR="004B52BD" w:rsidRDefault="004B52BD">
      <w:pPr>
        <w:pStyle w:val="Default"/>
        <w:spacing w:line="360" w:lineRule="auto"/>
        <w:jc w:val="center"/>
      </w:pPr>
    </w:p>
    <w:p w:rsidR="004B52BD" w:rsidRDefault="004B52BD">
      <w:pPr>
        <w:pStyle w:val="Default"/>
        <w:spacing w:line="360" w:lineRule="auto"/>
        <w:jc w:val="center"/>
        <w:rPr>
          <w:rFonts w:cstheme="minorBidi"/>
          <w:color w:val="auto"/>
        </w:rP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4B52BD">
      <w:pPr>
        <w:spacing w:line="360" w:lineRule="auto"/>
        <w:jc w:val="center"/>
      </w:pPr>
    </w:p>
    <w:p w:rsidR="004B52BD" w:rsidRDefault="00F32BCB">
      <w:pPr>
        <w:spacing w:line="360" w:lineRule="auto"/>
        <w:jc w:val="center"/>
        <w:rPr>
          <w:b/>
        </w:rPr>
      </w:pPr>
      <w:r>
        <w:rPr>
          <w:sz w:val="28"/>
          <w:szCs w:val="28"/>
        </w:rPr>
        <w:t>公告送出日期：</w:t>
      </w:r>
      <w:r>
        <w:rPr>
          <w:rFonts w:hint="eastAsia"/>
          <w:sz w:val="28"/>
          <w:szCs w:val="28"/>
        </w:rPr>
        <w:t>2026</w:t>
      </w:r>
      <w:r>
        <w:rPr>
          <w:rFonts w:hint="eastAsia"/>
          <w:sz w:val="28"/>
          <w:szCs w:val="28"/>
        </w:rPr>
        <w:t>年</w:t>
      </w:r>
      <w:r>
        <w:rPr>
          <w:rFonts w:hint="eastAsia"/>
          <w:sz w:val="28"/>
          <w:szCs w:val="28"/>
        </w:rPr>
        <w:t>1</w:t>
      </w:r>
      <w:r>
        <w:rPr>
          <w:rFonts w:hint="eastAsia"/>
          <w:sz w:val="28"/>
          <w:szCs w:val="28"/>
        </w:rPr>
        <w:t>月</w:t>
      </w:r>
      <w:r>
        <w:rPr>
          <w:rFonts w:hint="eastAsia"/>
          <w:sz w:val="28"/>
          <w:szCs w:val="28"/>
        </w:rPr>
        <w:t>15</w:t>
      </w:r>
      <w:r>
        <w:rPr>
          <w:rFonts w:hint="eastAsia"/>
          <w:sz w:val="28"/>
          <w:szCs w:val="28"/>
        </w:rPr>
        <w:t>日</w:t>
      </w:r>
    </w:p>
    <w:p w:rsidR="004B52BD" w:rsidRDefault="004B52BD">
      <w:pPr>
        <w:spacing w:line="360" w:lineRule="auto"/>
        <w:jc w:val="center"/>
      </w:pPr>
    </w:p>
    <w:p w:rsidR="004B52BD" w:rsidRDefault="00F32BCB">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5381"/>
      </w:tblGrid>
      <w:tr w:rsidR="004B52BD">
        <w:trPr>
          <w:trHeight w:val="277"/>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平安合信</w:t>
            </w:r>
            <w:r>
              <w:rPr>
                <w:rFonts w:ascii="宋体" w:eastAsia="宋体" w:cs="宋体" w:hint="eastAsia"/>
                <w:color w:val="000000"/>
                <w:kern w:val="0"/>
                <w:szCs w:val="21"/>
              </w:rPr>
              <w:t>3</w:t>
            </w:r>
            <w:r>
              <w:rPr>
                <w:rFonts w:ascii="宋体" w:eastAsia="宋体" w:cs="宋体" w:hint="eastAsia"/>
                <w:color w:val="000000"/>
                <w:kern w:val="0"/>
                <w:szCs w:val="21"/>
              </w:rPr>
              <w:t>个月定期开放债券型发起式证券投资基金</w:t>
            </w:r>
          </w:p>
        </w:tc>
      </w:tr>
      <w:tr w:rsidR="004B52BD">
        <w:trPr>
          <w:trHeight w:val="122"/>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基金简称</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平安合信定开债</w:t>
            </w:r>
          </w:p>
        </w:tc>
      </w:tr>
      <w:tr w:rsidR="004B52BD">
        <w:trPr>
          <w:trHeight w:val="120"/>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基金主代码</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004630</w:t>
            </w:r>
          </w:p>
        </w:tc>
      </w:tr>
      <w:tr w:rsidR="004B52BD">
        <w:trPr>
          <w:trHeight w:val="120"/>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381" w:type="dxa"/>
          </w:tcPr>
          <w:p w:rsidR="004B52BD" w:rsidRDefault="00F32BCB">
            <w:pPr>
              <w:autoSpaceDE w:val="0"/>
              <w:autoSpaceDN w:val="0"/>
              <w:adjustRightInd w:val="0"/>
              <w:spacing w:line="360" w:lineRule="auto"/>
              <w:rPr>
                <w:rFonts w:ascii="宋体" w:eastAsia="宋体" w:cs="宋体"/>
                <w:color w:val="000000"/>
                <w:kern w:val="0"/>
                <w:szCs w:val="21"/>
              </w:rPr>
            </w:pPr>
            <w:r>
              <w:rPr>
                <w:rFonts w:ascii="宋体" w:eastAsia="宋体" w:cs="宋体" w:hint="eastAsia"/>
                <w:color w:val="000000"/>
                <w:kern w:val="0"/>
                <w:szCs w:val="21"/>
              </w:rPr>
              <w:t>本基金以定期开放方式运作，即采取在封闭期内封闭运作、封闭期与封闭期之间定期开放的运作方式。本基金的封闭期为自基金合同生效之日起（含）或自每一开放期结束之日次日起（含）至</w:t>
            </w:r>
            <w:r>
              <w:rPr>
                <w:rFonts w:ascii="宋体" w:eastAsia="宋体" w:cs="宋体" w:hint="eastAsia"/>
                <w:color w:val="000000"/>
                <w:kern w:val="0"/>
                <w:szCs w:val="21"/>
              </w:rPr>
              <w:t>3</w:t>
            </w:r>
            <w:r>
              <w:rPr>
                <w:rFonts w:ascii="宋体" w:eastAsia="宋体" w:cs="宋体" w:hint="eastAsia"/>
                <w:color w:val="000000"/>
                <w:kern w:val="0"/>
                <w:szCs w:val="21"/>
              </w:rPr>
              <w:t>个月（含）后对应日的前一日止（若该对应日为非工作日或无该对应日，则顺延至下一工作日）。本基金在封闭期内不办理申购与赎回业务，也不上市交易。本基金每个开放期的长度为</w:t>
            </w:r>
            <w:r>
              <w:rPr>
                <w:rFonts w:ascii="宋体" w:eastAsia="宋体" w:cs="宋体" w:hint="eastAsia"/>
                <w:color w:val="000000"/>
                <w:kern w:val="0"/>
                <w:szCs w:val="21"/>
              </w:rPr>
              <w:t>1</w:t>
            </w:r>
            <w:r>
              <w:rPr>
                <w:rFonts w:ascii="宋体" w:eastAsia="宋体" w:cs="宋体" w:hint="eastAsia"/>
                <w:color w:val="000000"/>
                <w:kern w:val="0"/>
                <w:szCs w:val="21"/>
              </w:rPr>
              <w:t>-</w:t>
            </w:r>
            <w:r>
              <w:rPr>
                <w:rFonts w:ascii="宋体" w:eastAsia="宋体" w:cs="宋体" w:hint="eastAsia"/>
                <w:color w:val="000000"/>
                <w:kern w:val="0"/>
                <w:szCs w:val="21"/>
              </w:rPr>
              <w:t>10</w:t>
            </w:r>
            <w:r>
              <w:rPr>
                <w:rFonts w:ascii="宋体" w:eastAsia="宋体" w:cs="宋体" w:hint="eastAsia"/>
                <w:color w:val="000000"/>
                <w:kern w:val="0"/>
                <w:szCs w:val="21"/>
              </w:rPr>
              <w:t>个工作日，本次基金开放日为</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r>
              <w:rPr>
                <w:rFonts w:ascii="宋体" w:eastAsia="宋体" w:cs="宋体" w:hint="eastAsia"/>
                <w:color w:val="000000"/>
                <w:kern w:val="0"/>
                <w:szCs w:val="21"/>
              </w:rPr>
              <w:t>含）至</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29</w:t>
            </w:r>
            <w:r>
              <w:rPr>
                <w:rFonts w:ascii="宋体" w:eastAsia="宋体" w:cs="宋体" w:hint="eastAsia"/>
                <w:color w:val="000000"/>
                <w:kern w:val="0"/>
                <w:szCs w:val="21"/>
              </w:rPr>
              <w:t>日（含）</w:t>
            </w:r>
            <w:r>
              <w:rPr>
                <w:rFonts w:ascii="宋体" w:eastAsia="宋体" w:cs="宋体" w:hint="eastAsia"/>
                <w:color w:val="000000"/>
                <w:kern w:val="0"/>
                <w:szCs w:val="21"/>
              </w:rPr>
              <w:t>，共</w:t>
            </w:r>
            <w:r>
              <w:rPr>
                <w:rFonts w:ascii="宋体" w:eastAsia="宋体" w:cs="宋体" w:hint="eastAsia"/>
                <w:color w:val="000000"/>
                <w:kern w:val="0"/>
                <w:szCs w:val="21"/>
              </w:rPr>
              <w:t>10</w:t>
            </w:r>
            <w:r>
              <w:rPr>
                <w:rFonts w:ascii="宋体" w:eastAsia="宋体" w:cs="宋体" w:hint="eastAsia"/>
                <w:color w:val="000000"/>
                <w:kern w:val="0"/>
                <w:szCs w:val="21"/>
              </w:rPr>
              <w:t>个工作日。</w:t>
            </w:r>
            <w:bookmarkStart w:id="0" w:name="_GoBack"/>
            <w:bookmarkEnd w:id="0"/>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w:t>
            </w:r>
            <w:r>
              <w:rPr>
                <w:rFonts w:ascii="宋体" w:eastAsia="宋体" w:cs="宋体" w:hint="eastAsia"/>
                <w:color w:val="000000"/>
                <w:kern w:val="0"/>
                <w:szCs w:val="21"/>
              </w:rPr>
              <w:t>19</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中国光大银行股份有限公司</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4B52BD">
        <w:trPr>
          <w:trHeight w:val="570"/>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平安合信</w:t>
            </w:r>
            <w:r>
              <w:rPr>
                <w:rFonts w:ascii="Arial" w:hAnsi="Arial" w:cs="Arial" w:hint="eastAsia"/>
                <w:kern w:val="0"/>
                <w:szCs w:val="21"/>
              </w:rPr>
              <w:t>3</w:t>
            </w:r>
            <w:r>
              <w:rPr>
                <w:rFonts w:ascii="Arial" w:hAnsi="Arial" w:cs="Arial" w:hint="eastAsia"/>
                <w:kern w:val="0"/>
                <w:szCs w:val="21"/>
              </w:rPr>
              <w:t>个月定期开放债券型发起式证券投资基金</w:t>
            </w:r>
            <w:r>
              <w:rPr>
                <w:rFonts w:ascii="Arial" w:hAnsi="Arial" w:cs="Arial"/>
                <w:kern w:val="0"/>
                <w:szCs w:val="21"/>
              </w:rPr>
              <w:t>基金合同》、《</w:t>
            </w:r>
            <w:r>
              <w:rPr>
                <w:rFonts w:ascii="宋体" w:hAnsi="宋体" w:cs="宋体" w:hint="eastAsia"/>
                <w:kern w:val="0"/>
                <w:szCs w:val="21"/>
              </w:rPr>
              <w:t>平安合信</w:t>
            </w:r>
            <w:r>
              <w:rPr>
                <w:rFonts w:ascii="宋体" w:hAnsi="宋体" w:cs="宋体" w:hint="eastAsia"/>
                <w:kern w:val="0"/>
                <w:szCs w:val="21"/>
              </w:rPr>
              <w:t>3</w:t>
            </w:r>
            <w:r>
              <w:rPr>
                <w:rFonts w:ascii="宋体" w:hAnsi="宋体" w:cs="宋体" w:hint="eastAsia"/>
                <w:kern w:val="0"/>
                <w:szCs w:val="21"/>
              </w:rPr>
              <w:t>个月定期开放债券型发起式证券投资基金</w:t>
            </w:r>
            <w:r>
              <w:rPr>
                <w:rFonts w:ascii="Arial" w:hAnsi="Arial" w:cs="Arial"/>
                <w:kern w:val="0"/>
                <w:szCs w:val="21"/>
              </w:rPr>
              <w:t>招募说明书》等</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4B52BD">
        <w:trPr>
          <w:trHeight w:val="105"/>
        </w:trPr>
        <w:tc>
          <w:tcPr>
            <w:tcW w:w="3256"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381" w:type="dxa"/>
          </w:tcPr>
          <w:p w:rsidR="004B52BD" w:rsidRDefault="00F32BC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1</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bl>
    <w:p w:rsidR="004B52BD" w:rsidRDefault="004B52BD">
      <w:pPr>
        <w:autoSpaceDE w:val="0"/>
        <w:autoSpaceDN w:val="0"/>
        <w:adjustRightInd w:val="0"/>
        <w:spacing w:line="360" w:lineRule="auto"/>
        <w:jc w:val="left"/>
        <w:rPr>
          <w:rFonts w:ascii="宋体" w:eastAsia="宋体" w:cs="宋体"/>
          <w:color w:val="000000"/>
          <w:kern w:val="0"/>
          <w:sz w:val="24"/>
          <w:szCs w:val="24"/>
        </w:rPr>
      </w:pPr>
    </w:p>
    <w:p w:rsidR="004B52BD" w:rsidRDefault="00F32BCB">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4B52BD" w:rsidRDefault="00F32BCB">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上海证券交易所、深圳证券交易所的正常交易日的交易时间，但基金管理人根据法律法规、中国证监会的要求或本基金合同的规定公告暂停申购、赎回时除外。在封闭期内，本基金不办理申购、赎回业务，也不上市交易。</w:t>
      </w:r>
    </w:p>
    <w:p w:rsidR="004B52BD" w:rsidRDefault="00F32BCB">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4B52BD" w:rsidRDefault="00F32BCB">
      <w:pPr>
        <w:spacing w:line="360" w:lineRule="auto"/>
        <w:ind w:firstLine="420"/>
        <w:rPr>
          <w:rFonts w:ascii="宋体" w:hAnsi="宋体"/>
          <w:szCs w:val="21"/>
        </w:rPr>
      </w:pPr>
      <w:r>
        <w:rPr>
          <w:rFonts w:ascii="宋体" w:hAnsi="宋体"/>
          <w:szCs w:val="21"/>
        </w:rPr>
        <w:t>本基金在开放期内办理申购与赎回业务。本次开放期时间</w:t>
      </w:r>
      <w:r>
        <w:rPr>
          <w:rFonts w:ascii="宋体" w:hAnsi="宋体"/>
          <w:szCs w:val="21"/>
        </w:rPr>
        <w:t>为</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16</w:t>
      </w:r>
      <w:r>
        <w:rPr>
          <w:rFonts w:ascii="宋体" w:hAnsi="宋体" w:hint="eastAsia"/>
          <w:szCs w:val="21"/>
        </w:rPr>
        <w:t>日（含）至</w:t>
      </w: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29</w:t>
      </w:r>
      <w:r>
        <w:rPr>
          <w:rFonts w:ascii="宋体" w:hAnsi="宋体" w:hint="eastAsia"/>
          <w:szCs w:val="21"/>
        </w:rPr>
        <w:t>日（含）</w:t>
      </w:r>
      <w:r>
        <w:rPr>
          <w:rFonts w:ascii="宋体" w:hAnsi="宋体" w:hint="eastAsia"/>
          <w:szCs w:val="21"/>
        </w:rPr>
        <w:t>。</w:t>
      </w:r>
      <w:r>
        <w:rPr>
          <w:rFonts w:ascii="宋体" w:hAnsi="宋体"/>
          <w:szCs w:val="21"/>
        </w:rPr>
        <w:t>开放期内本基金接受申购、赎回</w:t>
      </w:r>
      <w:r>
        <w:rPr>
          <w:rFonts w:ascii="宋体" w:hAnsi="宋体" w:hint="eastAsia"/>
          <w:szCs w:val="21"/>
        </w:rPr>
        <w:t>及</w:t>
      </w:r>
      <w:r>
        <w:rPr>
          <w:rFonts w:ascii="宋体" w:hAnsi="宋体"/>
          <w:szCs w:val="21"/>
        </w:rPr>
        <w:t>转换申请。基金管理人不得在基金合同约定之外的日期或者时间办理基金份额的申购、赎回或者转换。</w:t>
      </w:r>
      <w:r>
        <w:rPr>
          <w:rFonts w:ascii="宋体" w:hAnsi="宋体" w:hint="eastAsia"/>
          <w:szCs w:val="21"/>
        </w:rPr>
        <w:t>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4B52BD" w:rsidRDefault="00F32BCB">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4B52BD" w:rsidRDefault="00F32BCB">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4B52BD" w:rsidRDefault="00F32BCB">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、投资者通过其他销售机构申购，单个基金帐户</w:t>
      </w:r>
      <w:r>
        <w:rPr>
          <w:rFonts w:ascii="宋体" w:hAnsi="宋体" w:hint="eastAsia"/>
          <w:szCs w:val="21"/>
        </w:rPr>
        <w:t>单笔最低申购金额起点为</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w:t>
      </w:r>
      <w:r>
        <w:rPr>
          <w:rFonts w:ascii="宋体" w:hAnsi="宋体" w:hint="eastAsia"/>
          <w:szCs w:val="21"/>
        </w:rPr>
        <w:t>50,000</w:t>
      </w:r>
      <w:r>
        <w:rPr>
          <w:rFonts w:ascii="宋体" w:hAnsi="宋体" w:hint="eastAsia"/>
          <w:szCs w:val="21"/>
        </w:rPr>
        <w:t>元（含申购费），追加申购的最低金额为单笔</w:t>
      </w:r>
      <w:r>
        <w:rPr>
          <w:rFonts w:ascii="宋体" w:hAnsi="宋体" w:hint="eastAsia"/>
          <w:szCs w:val="21"/>
        </w:rPr>
        <w:t>20,000</w:t>
      </w:r>
      <w:r>
        <w:rPr>
          <w:rFonts w:ascii="宋体" w:hAnsi="宋体" w:hint="eastAsia"/>
          <w:szCs w:val="21"/>
        </w:rPr>
        <w:t>元（含申购费）。</w:t>
      </w:r>
    </w:p>
    <w:p w:rsidR="004B52BD" w:rsidRDefault="00F32BCB">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4B52BD" w:rsidRDefault="00F32BC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、本基金目前对单个投资人累计持有份额不设上限限制，基金管理人可以规定单个投资者累计持有的基金份额数量限制，具体规定见更新的招募说明书或相关公告。</w:t>
      </w:r>
    </w:p>
    <w:p w:rsidR="004B52BD" w:rsidRDefault="00F32BC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、当接受申购申请对存量基金份额持有人</w:t>
      </w:r>
      <w:r>
        <w:rPr>
          <w:rFonts w:ascii="宋体" w:hAnsi="宋体" w:hint="eastAsia"/>
          <w:szCs w:val="21"/>
        </w:rPr>
        <w:t>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4B52BD" w:rsidRDefault="00F32BCB">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4B52BD" w:rsidRDefault="00F32BCB">
      <w:pPr>
        <w:spacing w:line="360" w:lineRule="auto"/>
        <w:ind w:firstLine="420"/>
        <w:jc w:val="left"/>
        <w:rPr>
          <w:szCs w:val="21"/>
        </w:rPr>
      </w:pPr>
      <w:r>
        <w:rPr>
          <w:rFonts w:hint="eastAsia"/>
          <w:szCs w:val="21"/>
        </w:rPr>
        <w:t>本基金采用前端收费模式收取基金申购费用。</w:t>
      </w:r>
    </w:p>
    <w:p w:rsidR="004B52BD" w:rsidRDefault="00F32BCB">
      <w:pPr>
        <w:spacing w:line="360" w:lineRule="auto"/>
        <w:ind w:firstLine="420"/>
        <w:jc w:val="left"/>
        <w:rPr>
          <w:szCs w:val="21"/>
        </w:rPr>
      </w:pPr>
      <w:r>
        <w:rPr>
          <w:rFonts w:hint="eastAsia"/>
          <w:szCs w:val="21"/>
        </w:rPr>
        <w:t>本基金对申购设置级差费率，申购费用应在投资人申购基金份额时收取。投资者在一天之内如果有多笔申购，适用费率按单笔分别计算，如下表所示：</w:t>
      </w:r>
    </w:p>
    <w:tbl>
      <w:tblPr>
        <w:tblStyle w:val="a8"/>
        <w:tblW w:w="3702" w:type="dxa"/>
        <w:jc w:val="center"/>
        <w:tblLook w:val="04A0"/>
      </w:tblPr>
      <w:tblGrid>
        <w:gridCol w:w="1951"/>
        <w:gridCol w:w="1751"/>
      </w:tblGrid>
      <w:tr w:rsidR="004B52BD">
        <w:trPr>
          <w:jc w:val="center"/>
        </w:trPr>
        <w:tc>
          <w:tcPr>
            <w:tcW w:w="1951" w:type="dxa"/>
            <w:vAlign w:val="center"/>
          </w:tcPr>
          <w:p w:rsidR="004B52BD" w:rsidRDefault="00F32BCB">
            <w:pPr>
              <w:spacing w:line="360" w:lineRule="auto"/>
              <w:jc w:val="center"/>
              <w:rPr>
                <w:szCs w:val="21"/>
              </w:rPr>
            </w:pPr>
            <w:r>
              <w:rPr>
                <w:rFonts w:hint="eastAsia"/>
                <w:szCs w:val="21"/>
              </w:rPr>
              <w:t>申购金额（</w:t>
            </w:r>
            <w:r>
              <w:rPr>
                <w:rFonts w:hint="eastAsia"/>
                <w:szCs w:val="21"/>
              </w:rPr>
              <w:t>M</w:t>
            </w:r>
            <w:r>
              <w:rPr>
                <w:szCs w:val="21"/>
              </w:rPr>
              <w:t>）</w:t>
            </w:r>
          </w:p>
        </w:tc>
        <w:tc>
          <w:tcPr>
            <w:tcW w:w="1751" w:type="dxa"/>
            <w:vAlign w:val="center"/>
          </w:tcPr>
          <w:p w:rsidR="004B52BD" w:rsidRDefault="00F32BCB">
            <w:pPr>
              <w:spacing w:line="360" w:lineRule="auto"/>
              <w:jc w:val="center"/>
              <w:rPr>
                <w:szCs w:val="21"/>
              </w:rPr>
            </w:pPr>
            <w:r>
              <w:rPr>
                <w:rFonts w:hint="eastAsia"/>
                <w:szCs w:val="21"/>
              </w:rPr>
              <w:t>申购费率</w:t>
            </w:r>
          </w:p>
        </w:tc>
      </w:tr>
      <w:tr w:rsidR="004B52BD">
        <w:trPr>
          <w:jc w:val="center"/>
        </w:trPr>
        <w:tc>
          <w:tcPr>
            <w:tcW w:w="1951" w:type="dxa"/>
            <w:vAlign w:val="center"/>
          </w:tcPr>
          <w:p w:rsidR="004B52BD" w:rsidRDefault="00F32BCB">
            <w:pPr>
              <w:spacing w:line="360" w:lineRule="auto"/>
              <w:jc w:val="center"/>
              <w:rPr>
                <w:szCs w:val="21"/>
              </w:rPr>
            </w:pPr>
            <w:r>
              <w:rPr>
                <w:szCs w:val="21"/>
              </w:rPr>
              <w:t>M</w:t>
            </w:r>
            <w:r>
              <w:rPr>
                <w:szCs w:val="21"/>
              </w:rPr>
              <w:t>＜</w:t>
            </w:r>
            <w:r>
              <w:rPr>
                <w:szCs w:val="21"/>
              </w:rPr>
              <w:t>100</w:t>
            </w:r>
            <w:r>
              <w:rPr>
                <w:szCs w:val="21"/>
              </w:rPr>
              <w:t>万</w:t>
            </w:r>
          </w:p>
        </w:tc>
        <w:tc>
          <w:tcPr>
            <w:tcW w:w="1751" w:type="dxa"/>
            <w:vAlign w:val="center"/>
          </w:tcPr>
          <w:p w:rsidR="004B52BD" w:rsidRDefault="00F32BCB">
            <w:pPr>
              <w:spacing w:line="360" w:lineRule="auto"/>
              <w:jc w:val="center"/>
              <w:rPr>
                <w:szCs w:val="21"/>
              </w:rPr>
            </w:pPr>
            <w:r>
              <w:rPr>
                <w:szCs w:val="21"/>
              </w:rPr>
              <w:t>0.</w:t>
            </w:r>
            <w:r>
              <w:rPr>
                <w:rFonts w:hint="eastAsia"/>
                <w:szCs w:val="21"/>
              </w:rPr>
              <w:t>6</w:t>
            </w:r>
            <w:r>
              <w:rPr>
                <w:szCs w:val="21"/>
              </w:rPr>
              <w:t>0%</w:t>
            </w:r>
          </w:p>
        </w:tc>
      </w:tr>
      <w:tr w:rsidR="004B52BD">
        <w:trPr>
          <w:jc w:val="center"/>
        </w:trPr>
        <w:tc>
          <w:tcPr>
            <w:tcW w:w="1951" w:type="dxa"/>
            <w:vAlign w:val="center"/>
          </w:tcPr>
          <w:p w:rsidR="004B52BD" w:rsidRDefault="00F32BCB">
            <w:pPr>
              <w:spacing w:line="360" w:lineRule="auto"/>
              <w:jc w:val="center"/>
              <w:rPr>
                <w:szCs w:val="21"/>
              </w:rPr>
            </w:pPr>
            <w:r>
              <w:rPr>
                <w:szCs w:val="21"/>
              </w:rPr>
              <w:t>100</w:t>
            </w:r>
            <w:r>
              <w:rPr>
                <w:szCs w:val="21"/>
              </w:rPr>
              <w:t>万</w:t>
            </w:r>
            <w:r>
              <w:rPr>
                <w:szCs w:val="21"/>
              </w:rPr>
              <w:t>≤M</w:t>
            </w:r>
            <w:r>
              <w:rPr>
                <w:szCs w:val="21"/>
              </w:rPr>
              <w:t>＜</w:t>
            </w:r>
            <w:r>
              <w:rPr>
                <w:szCs w:val="21"/>
              </w:rPr>
              <w:t>300</w:t>
            </w:r>
            <w:r>
              <w:rPr>
                <w:szCs w:val="21"/>
              </w:rPr>
              <w:t>万</w:t>
            </w:r>
          </w:p>
        </w:tc>
        <w:tc>
          <w:tcPr>
            <w:tcW w:w="1751" w:type="dxa"/>
            <w:vAlign w:val="center"/>
          </w:tcPr>
          <w:p w:rsidR="004B52BD" w:rsidRDefault="00F32BCB">
            <w:pPr>
              <w:spacing w:line="360" w:lineRule="auto"/>
              <w:jc w:val="center"/>
              <w:rPr>
                <w:szCs w:val="21"/>
              </w:rPr>
            </w:pPr>
            <w:r>
              <w:rPr>
                <w:szCs w:val="21"/>
              </w:rPr>
              <w:t>0.</w:t>
            </w:r>
            <w:r>
              <w:rPr>
                <w:rFonts w:hint="eastAsia"/>
                <w:szCs w:val="21"/>
              </w:rPr>
              <w:t>4</w:t>
            </w:r>
            <w:r>
              <w:rPr>
                <w:szCs w:val="21"/>
              </w:rPr>
              <w:t>0%</w:t>
            </w:r>
          </w:p>
        </w:tc>
      </w:tr>
      <w:tr w:rsidR="004B52BD">
        <w:trPr>
          <w:jc w:val="center"/>
        </w:trPr>
        <w:tc>
          <w:tcPr>
            <w:tcW w:w="1951" w:type="dxa"/>
            <w:vAlign w:val="center"/>
          </w:tcPr>
          <w:p w:rsidR="004B52BD" w:rsidRDefault="00F32BCB">
            <w:pPr>
              <w:spacing w:line="360" w:lineRule="auto"/>
              <w:jc w:val="center"/>
              <w:rPr>
                <w:szCs w:val="21"/>
              </w:rPr>
            </w:pPr>
            <w:r>
              <w:rPr>
                <w:szCs w:val="21"/>
              </w:rPr>
              <w:t>300</w:t>
            </w:r>
            <w:r>
              <w:rPr>
                <w:szCs w:val="21"/>
              </w:rPr>
              <w:t>万</w:t>
            </w:r>
            <w:r>
              <w:rPr>
                <w:szCs w:val="21"/>
              </w:rPr>
              <w:t>≤M</w:t>
            </w:r>
            <w:r>
              <w:rPr>
                <w:szCs w:val="21"/>
              </w:rPr>
              <w:t>＜</w:t>
            </w:r>
            <w:r>
              <w:rPr>
                <w:szCs w:val="21"/>
              </w:rPr>
              <w:t>500</w:t>
            </w:r>
            <w:r>
              <w:rPr>
                <w:szCs w:val="21"/>
              </w:rPr>
              <w:t>万</w:t>
            </w:r>
          </w:p>
        </w:tc>
        <w:tc>
          <w:tcPr>
            <w:tcW w:w="1751" w:type="dxa"/>
            <w:vAlign w:val="center"/>
          </w:tcPr>
          <w:p w:rsidR="004B52BD" w:rsidRDefault="00F32BCB">
            <w:pPr>
              <w:spacing w:line="360" w:lineRule="auto"/>
              <w:jc w:val="center"/>
              <w:rPr>
                <w:szCs w:val="21"/>
              </w:rPr>
            </w:pPr>
            <w:r>
              <w:rPr>
                <w:szCs w:val="21"/>
              </w:rPr>
              <w:t>0.</w:t>
            </w:r>
            <w:r>
              <w:rPr>
                <w:rFonts w:hint="eastAsia"/>
                <w:szCs w:val="21"/>
              </w:rPr>
              <w:t>2</w:t>
            </w:r>
            <w:r>
              <w:rPr>
                <w:szCs w:val="21"/>
              </w:rPr>
              <w:t>0%</w:t>
            </w:r>
          </w:p>
        </w:tc>
      </w:tr>
      <w:tr w:rsidR="004B52BD">
        <w:trPr>
          <w:jc w:val="center"/>
        </w:trPr>
        <w:tc>
          <w:tcPr>
            <w:tcW w:w="1951" w:type="dxa"/>
            <w:vAlign w:val="center"/>
          </w:tcPr>
          <w:p w:rsidR="004B52BD" w:rsidRDefault="00F32BCB">
            <w:pPr>
              <w:spacing w:line="360" w:lineRule="auto"/>
              <w:jc w:val="center"/>
              <w:rPr>
                <w:szCs w:val="21"/>
              </w:rPr>
            </w:pPr>
            <w:r>
              <w:rPr>
                <w:szCs w:val="21"/>
              </w:rPr>
              <w:t>M≥500</w:t>
            </w:r>
            <w:r>
              <w:rPr>
                <w:szCs w:val="21"/>
              </w:rPr>
              <w:t>万</w:t>
            </w:r>
          </w:p>
        </w:tc>
        <w:tc>
          <w:tcPr>
            <w:tcW w:w="1751" w:type="dxa"/>
            <w:vAlign w:val="center"/>
          </w:tcPr>
          <w:p w:rsidR="004B52BD" w:rsidRDefault="00F32BCB">
            <w:pPr>
              <w:spacing w:line="360" w:lineRule="auto"/>
              <w:jc w:val="center"/>
              <w:rPr>
                <w:szCs w:val="21"/>
              </w:rPr>
            </w:pPr>
            <w:r>
              <w:rPr>
                <w:szCs w:val="21"/>
              </w:rPr>
              <w:t>每笔</w:t>
            </w:r>
            <w:r>
              <w:rPr>
                <w:szCs w:val="21"/>
              </w:rPr>
              <w:t>1000</w:t>
            </w:r>
            <w:r>
              <w:rPr>
                <w:szCs w:val="21"/>
              </w:rPr>
              <w:t>元</w:t>
            </w:r>
          </w:p>
        </w:tc>
      </w:tr>
    </w:tbl>
    <w:p w:rsidR="004B52BD" w:rsidRDefault="00F32BCB">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本基金的申购费用由投资人承担，主要用于本基金的市场推广、销售、登记等各项费用，不列入基金财产。</w:t>
      </w:r>
    </w:p>
    <w:p w:rsidR="004B52BD" w:rsidRDefault="00F32BCB">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4B52BD" w:rsidRDefault="00F32BCB">
      <w:pPr>
        <w:spacing w:line="360" w:lineRule="auto"/>
        <w:ind w:firstLineChars="200" w:firstLine="420"/>
        <w:rPr>
          <w:szCs w:val="21"/>
        </w:rPr>
      </w:pPr>
      <w:r>
        <w:rPr>
          <w:rFonts w:hint="eastAsia"/>
          <w:szCs w:val="21"/>
        </w:rPr>
        <w:t>3</w:t>
      </w:r>
      <w:r>
        <w:rPr>
          <w:rFonts w:hint="eastAsia"/>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并进行公告。</w:t>
      </w:r>
    </w:p>
    <w:p w:rsidR="004B52BD" w:rsidRDefault="00F32BCB">
      <w:pPr>
        <w:spacing w:line="360" w:lineRule="auto"/>
        <w:ind w:firstLineChars="200" w:firstLine="420"/>
        <w:rPr>
          <w:szCs w:val="21"/>
        </w:rPr>
      </w:pPr>
      <w:r>
        <w:rPr>
          <w:rFonts w:hint="eastAsia"/>
          <w:szCs w:val="21"/>
        </w:rPr>
        <w:t>4</w:t>
      </w:r>
      <w:r>
        <w:rPr>
          <w:rFonts w:hint="eastAsia"/>
          <w:szCs w:val="21"/>
        </w:rPr>
        <w:t>、当本基金发生大额申购或赎回情形时，基金管理人可采用摆动定价机制，以确保基金估值的公平性，摆动定价机制的处理原则与操作规范参见法律法规和自律组织的自律规则，具体见基金管理人届时的相关公告。</w:t>
      </w:r>
    </w:p>
    <w:p w:rsidR="004B52BD" w:rsidRDefault="00F32BCB">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4B52BD" w:rsidRDefault="00F32BCB">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、每个交易账户赎回最低起点不设最低限制，转换转出的</w:t>
      </w:r>
      <w:r>
        <w:rPr>
          <w:rFonts w:ascii="宋体" w:hAnsi="宋体" w:hint="eastAsia"/>
          <w:szCs w:val="21"/>
        </w:rPr>
        <w:t>基金份额不得低于</w:t>
      </w:r>
      <w:r>
        <w:rPr>
          <w:rFonts w:ascii="宋体" w:hAnsi="宋体" w:hint="eastAsia"/>
          <w:szCs w:val="21"/>
        </w:rPr>
        <w:t>1</w:t>
      </w:r>
      <w:r>
        <w:rPr>
          <w:rFonts w:ascii="宋体" w:hAnsi="宋体" w:hint="eastAsia"/>
          <w:szCs w:val="21"/>
        </w:rPr>
        <w:t>份，账户最低持有份额为</w:t>
      </w:r>
      <w:r>
        <w:rPr>
          <w:rFonts w:ascii="宋体" w:hAnsi="宋体" w:hint="eastAsia"/>
          <w:szCs w:val="21"/>
        </w:rPr>
        <w:t>1</w:t>
      </w:r>
      <w:r>
        <w:rPr>
          <w:rFonts w:ascii="宋体" w:hAnsi="宋体" w:hint="eastAsia"/>
          <w:szCs w:val="21"/>
        </w:rPr>
        <w:t>份，基金份额持有人全部赎回时不受上述限制。</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4B52BD" w:rsidRDefault="00F32BCB">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在基金份额持有人赎回基金份额时收取，未计入基金财产的部分用于支付登记费和其他必要的手续费。投资人赎回基金份额收取赎回费用，该费用随基金份额的持有时间递减，如下表所示：</w:t>
      </w:r>
    </w:p>
    <w:tbl>
      <w:tblPr>
        <w:tblW w:w="5344" w:type="dxa"/>
        <w:jc w:val="center"/>
        <w:tblCellMar>
          <w:left w:w="0" w:type="dxa"/>
          <w:right w:w="0" w:type="dxa"/>
        </w:tblCellMar>
        <w:tblLook w:val="04A0"/>
      </w:tblPr>
      <w:tblGrid>
        <w:gridCol w:w="3768"/>
        <w:gridCol w:w="1576"/>
      </w:tblGrid>
      <w:tr w:rsidR="004B52BD">
        <w:trPr>
          <w:trHeight w:val="433"/>
          <w:jc w:val="center"/>
        </w:trPr>
        <w:tc>
          <w:tcPr>
            <w:tcW w:w="3768" w:type="dxa"/>
            <w:tcBorders>
              <w:top w:val="single" w:sz="8" w:space="0" w:color="auto"/>
              <w:left w:val="single" w:sz="8" w:space="0" w:color="auto"/>
              <w:bottom w:val="single" w:sz="8" w:space="0" w:color="auto"/>
              <w:right w:val="single" w:sz="8" w:space="0" w:color="auto"/>
            </w:tcBorders>
            <w:vAlign w:val="center"/>
          </w:tcPr>
          <w:p w:rsidR="004B52BD" w:rsidRDefault="00F32BCB">
            <w:pPr>
              <w:spacing w:line="360" w:lineRule="auto"/>
              <w:jc w:val="center"/>
              <w:rPr>
                <w:szCs w:val="21"/>
              </w:rPr>
            </w:pPr>
            <w:r>
              <w:rPr>
                <w:szCs w:val="21"/>
              </w:rPr>
              <w:t>持有期限（</w:t>
            </w:r>
            <w:r>
              <w:rPr>
                <w:szCs w:val="21"/>
              </w:rPr>
              <w:t>N</w:t>
            </w:r>
            <w:r>
              <w:rPr>
                <w:szCs w:val="21"/>
              </w:rPr>
              <w:t>为日历日）</w:t>
            </w:r>
          </w:p>
        </w:tc>
        <w:tc>
          <w:tcPr>
            <w:tcW w:w="1576" w:type="dxa"/>
            <w:tcBorders>
              <w:top w:val="single" w:sz="8" w:space="0" w:color="auto"/>
              <w:left w:val="single" w:sz="8" w:space="0" w:color="auto"/>
              <w:bottom w:val="single" w:sz="8" w:space="0" w:color="auto"/>
              <w:right w:val="single" w:sz="8" w:space="0" w:color="auto"/>
            </w:tcBorders>
            <w:vAlign w:val="center"/>
          </w:tcPr>
          <w:p w:rsidR="004B52BD" w:rsidRDefault="00F32BCB">
            <w:pPr>
              <w:spacing w:line="360" w:lineRule="auto"/>
              <w:jc w:val="center"/>
              <w:rPr>
                <w:szCs w:val="21"/>
              </w:rPr>
            </w:pPr>
            <w:r>
              <w:rPr>
                <w:rFonts w:hint="eastAsia"/>
                <w:szCs w:val="21"/>
              </w:rPr>
              <w:t>赎回</w:t>
            </w:r>
            <w:r>
              <w:rPr>
                <w:szCs w:val="21"/>
              </w:rPr>
              <w:t>费率</w:t>
            </w:r>
          </w:p>
        </w:tc>
      </w:tr>
      <w:tr w:rsidR="004B52BD">
        <w:trPr>
          <w:trHeight w:val="433"/>
          <w:jc w:val="center"/>
        </w:trPr>
        <w:tc>
          <w:tcPr>
            <w:tcW w:w="3768" w:type="dxa"/>
            <w:tcBorders>
              <w:top w:val="single" w:sz="8" w:space="0" w:color="auto"/>
              <w:left w:val="single" w:sz="8" w:space="0" w:color="auto"/>
              <w:bottom w:val="single" w:sz="8" w:space="0" w:color="auto"/>
              <w:right w:val="single" w:sz="8" w:space="0" w:color="auto"/>
            </w:tcBorders>
            <w:shd w:val="clear" w:color="auto" w:fill="auto"/>
          </w:tcPr>
          <w:p w:rsidR="004B52BD" w:rsidRDefault="00F32BCB">
            <w:pPr>
              <w:spacing w:line="360" w:lineRule="auto"/>
              <w:jc w:val="center"/>
              <w:rPr>
                <w:szCs w:val="21"/>
              </w:rPr>
            </w:pPr>
            <w:r>
              <w:rPr>
                <w:rFonts w:hint="eastAsia"/>
                <w:szCs w:val="21"/>
              </w:rPr>
              <w:t>0</w:t>
            </w:r>
            <w:r>
              <w:rPr>
                <w:rFonts w:hint="eastAsia"/>
                <w:szCs w:val="21"/>
              </w:rPr>
              <w:t>天≤</w:t>
            </w:r>
            <w:r>
              <w:rPr>
                <w:rFonts w:hint="eastAsia"/>
                <w:szCs w:val="21"/>
              </w:rPr>
              <w:t>N</w:t>
            </w:r>
            <w:r>
              <w:rPr>
                <w:rFonts w:hint="eastAsia"/>
                <w:szCs w:val="21"/>
              </w:rPr>
              <w:t>＜</w:t>
            </w:r>
            <w:r>
              <w:rPr>
                <w:rFonts w:hint="eastAsia"/>
                <w:szCs w:val="21"/>
              </w:rPr>
              <w:t>7</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shd w:val="clear" w:color="auto" w:fill="auto"/>
          </w:tcPr>
          <w:p w:rsidR="004B52BD" w:rsidRDefault="00F32BCB">
            <w:pPr>
              <w:spacing w:line="360" w:lineRule="auto"/>
              <w:jc w:val="center"/>
              <w:rPr>
                <w:szCs w:val="21"/>
              </w:rPr>
            </w:pPr>
            <w:r>
              <w:rPr>
                <w:rFonts w:hint="eastAsia"/>
                <w:szCs w:val="21"/>
              </w:rPr>
              <w:t>1.50%</w:t>
            </w:r>
          </w:p>
        </w:tc>
      </w:tr>
      <w:tr w:rsidR="004B52BD">
        <w:trPr>
          <w:trHeight w:val="433"/>
          <w:jc w:val="center"/>
        </w:trPr>
        <w:tc>
          <w:tcPr>
            <w:tcW w:w="3768" w:type="dxa"/>
            <w:tcBorders>
              <w:top w:val="single" w:sz="8" w:space="0" w:color="auto"/>
              <w:left w:val="single" w:sz="8" w:space="0" w:color="auto"/>
              <w:bottom w:val="single" w:sz="8" w:space="0" w:color="auto"/>
              <w:right w:val="single" w:sz="8" w:space="0" w:color="auto"/>
            </w:tcBorders>
          </w:tcPr>
          <w:p w:rsidR="004B52BD" w:rsidRDefault="00F32BCB">
            <w:pPr>
              <w:spacing w:line="360" w:lineRule="auto"/>
              <w:jc w:val="center"/>
              <w:rPr>
                <w:szCs w:val="21"/>
              </w:rPr>
            </w:pPr>
            <w:r>
              <w:rPr>
                <w:rFonts w:hint="eastAsia"/>
                <w:szCs w:val="21"/>
              </w:rPr>
              <w:t>7</w:t>
            </w:r>
            <w:r>
              <w:rPr>
                <w:rFonts w:hint="eastAsia"/>
                <w:szCs w:val="21"/>
              </w:rPr>
              <w:t>天≤</w:t>
            </w:r>
            <w:r>
              <w:rPr>
                <w:rFonts w:hint="eastAsia"/>
                <w:szCs w:val="21"/>
              </w:rPr>
              <w:t>N</w:t>
            </w:r>
            <w:r>
              <w:rPr>
                <w:rFonts w:hint="eastAsia"/>
                <w:szCs w:val="21"/>
              </w:rPr>
              <w:t>＜</w:t>
            </w:r>
            <w:r>
              <w:rPr>
                <w:rFonts w:hint="eastAsia"/>
                <w:szCs w:val="21"/>
              </w:rPr>
              <w:t>30</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tcPr>
          <w:p w:rsidR="004B52BD" w:rsidRDefault="00F32BCB">
            <w:pPr>
              <w:spacing w:line="360" w:lineRule="auto"/>
              <w:jc w:val="center"/>
              <w:rPr>
                <w:szCs w:val="21"/>
              </w:rPr>
            </w:pPr>
            <w:r>
              <w:rPr>
                <w:rFonts w:hint="eastAsia"/>
                <w:szCs w:val="21"/>
              </w:rPr>
              <w:t>0.10%</w:t>
            </w:r>
          </w:p>
        </w:tc>
      </w:tr>
      <w:tr w:rsidR="004B52BD">
        <w:trPr>
          <w:trHeight w:val="445"/>
          <w:jc w:val="center"/>
        </w:trPr>
        <w:tc>
          <w:tcPr>
            <w:tcW w:w="3768" w:type="dxa"/>
            <w:tcBorders>
              <w:top w:val="single" w:sz="8" w:space="0" w:color="auto"/>
              <w:left w:val="single" w:sz="8" w:space="0" w:color="auto"/>
              <w:bottom w:val="single" w:sz="8" w:space="0" w:color="auto"/>
              <w:right w:val="single" w:sz="8" w:space="0" w:color="auto"/>
            </w:tcBorders>
          </w:tcPr>
          <w:p w:rsidR="004B52BD" w:rsidRDefault="00F32BCB">
            <w:pPr>
              <w:spacing w:line="360" w:lineRule="auto"/>
              <w:jc w:val="center"/>
              <w:rPr>
                <w:szCs w:val="21"/>
              </w:rPr>
            </w:pPr>
            <w:r>
              <w:rPr>
                <w:rFonts w:hint="eastAsia"/>
                <w:szCs w:val="21"/>
              </w:rPr>
              <w:t>N</w:t>
            </w:r>
            <w:r>
              <w:rPr>
                <w:rFonts w:hint="eastAsia"/>
                <w:szCs w:val="21"/>
              </w:rPr>
              <w:t>≥</w:t>
            </w:r>
            <w:r>
              <w:rPr>
                <w:rFonts w:hint="eastAsia"/>
                <w:szCs w:val="21"/>
              </w:rPr>
              <w:t>30</w:t>
            </w:r>
            <w:r>
              <w:rPr>
                <w:rFonts w:hint="eastAsia"/>
                <w:szCs w:val="21"/>
              </w:rPr>
              <w:t>天</w:t>
            </w:r>
          </w:p>
        </w:tc>
        <w:tc>
          <w:tcPr>
            <w:tcW w:w="1576" w:type="dxa"/>
            <w:tcBorders>
              <w:top w:val="single" w:sz="8" w:space="0" w:color="auto"/>
              <w:left w:val="single" w:sz="8" w:space="0" w:color="auto"/>
              <w:bottom w:val="single" w:sz="8" w:space="0" w:color="auto"/>
              <w:right w:val="single" w:sz="8" w:space="0" w:color="auto"/>
            </w:tcBorders>
          </w:tcPr>
          <w:p w:rsidR="004B52BD" w:rsidRDefault="00F32BCB">
            <w:pPr>
              <w:spacing w:line="360" w:lineRule="auto"/>
              <w:jc w:val="center"/>
              <w:rPr>
                <w:szCs w:val="21"/>
              </w:rPr>
            </w:pPr>
            <w:r>
              <w:rPr>
                <w:rFonts w:hint="eastAsia"/>
                <w:szCs w:val="21"/>
              </w:rPr>
              <w:t>0%</w:t>
            </w:r>
          </w:p>
        </w:tc>
      </w:tr>
    </w:tbl>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赎回费用由赎回基金份额的基金份额持有人承担。对持续持有期少于</w:t>
      </w:r>
      <w:r>
        <w:rPr>
          <w:rFonts w:ascii="宋体" w:hAnsi="宋体" w:hint="eastAsia"/>
          <w:szCs w:val="21"/>
        </w:rPr>
        <w:t>7</w:t>
      </w:r>
      <w:r>
        <w:rPr>
          <w:rFonts w:ascii="宋体" w:hAnsi="宋体" w:hint="eastAsia"/>
          <w:szCs w:val="21"/>
        </w:rPr>
        <w:t>日的收取不低于</w:t>
      </w:r>
      <w:r>
        <w:rPr>
          <w:rFonts w:ascii="宋体" w:hAnsi="宋体" w:hint="eastAsia"/>
          <w:szCs w:val="21"/>
        </w:rPr>
        <w:t>1.50%</w:t>
      </w:r>
      <w:r>
        <w:rPr>
          <w:rFonts w:ascii="宋体" w:hAnsi="宋体" w:hint="eastAsia"/>
          <w:szCs w:val="21"/>
        </w:rPr>
        <w:t>的赎回费，对持续持有期长于</w:t>
      </w:r>
      <w:r>
        <w:rPr>
          <w:rFonts w:ascii="宋体" w:hAnsi="宋体" w:hint="eastAsia"/>
          <w:szCs w:val="21"/>
        </w:rPr>
        <w:t>7</w:t>
      </w:r>
      <w:r>
        <w:rPr>
          <w:rFonts w:ascii="宋体" w:hAnsi="宋体" w:hint="eastAsia"/>
          <w:szCs w:val="21"/>
        </w:rPr>
        <w:t>日（含</w:t>
      </w:r>
      <w:r>
        <w:rPr>
          <w:rFonts w:ascii="宋体" w:hAnsi="宋体" w:hint="eastAsia"/>
          <w:szCs w:val="21"/>
        </w:rPr>
        <w:t>7</w:t>
      </w:r>
      <w:r>
        <w:rPr>
          <w:rFonts w:ascii="宋体" w:hAnsi="宋体" w:hint="eastAsia"/>
          <w:szCs w:val="21"/>
        </w:rPr>
        <w:t>日）但少于</w:t>
      </w:r>
      <w:r>
        <w:rPr>
          <w:rFonts w:ascii="宋体" w:hAnsi="宋体" w:hint="eastAsia"/>
          <w:szCs w:val="21"/>
        </w:rPr>
        <w:t>30</w:t>
      </w:r>
      <w:r>
        <w:rPr>
          <w:rFonts w:ascii="宋体" w:hAnsi="宋体" w:hint="eastAsia"/>
          <w:szCs w:val="21"/>
        </w:rPr>
        <w:t>日的收取不低于</w:t>
      </w:r>
      <w:r>
        <w:rPr>
          <w:rFonts w:ascii="宋体" w:hAnsi="宋体" w:hint="eastAsia"/>
          <w:szCs w:val="21"/>
        </w:rPr>
        <w:t>0.10%</w:t>
      </w:r>
      <w:r>
        <w:rPr>
          <w:rFonts w:ascii="宋体" w:hAnsi="宋体" w:hint="eastAsia"/>
          <w:szCs w:val="21"/>
        </w:rPr>
        <w:t>的赎回费，并将上述赎回费全额计入基金财产。</w:t>
      </w:r>
    </w:p>
    <w:p w:rsidR="004B52BD" w:rsidRDefault="00F32BCB">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、基金管理人可以在不违反法律法规规定及基金合同约定的情形下根据市场情况制定基金促销计划，定期或不定期地开展基金促销活动</w:t>
      </w:r>
      <w:r>
        <w:rPr>
          <w:rFonts w:ascii="宋体" w:hAnsi="宋体" w:hint="eastAsia"/>
          <w:szCs w:val="21"/>
        </w:rPr>
        <w:t>。在基金促销活动期间，按相关监管部门要求履行必要手续后，基金管理人可以适当调低基金赎回费率，并进行公告。</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当本基金发生大额申购或赎回情形时，基金管理人可采用摆动定价机制，以确保基金估值的公平性，摆动定价机制的处理原则与操作规范参见法律法规和自律组织的自律规则，具体见基金管理人届时的相关公告。</w:t>
      </w:r>
    </w:p>
    <w:p w:rsidR="004B52BD" w:rsidRDefault="00F32BCB">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4B52BD" w:rsidRDefault="00F32BCB">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4B52BD" w:rsidRDefault="00F32BCB">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4B52BD" w:rsidRDefault="00F32BC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4B52BD" w:rsidRDefault="00F32BCB">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w:t>
      </w:r>
      <w:r>
        <w:rPr>
          <w:rFonts w:ascii="宋体" w:hAnsi="宋体" w:hint="eastAsia"/>
          <w:szCs w:val="21"/>
        </w:rPr>
        <w:t>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4B52BD" w:rsidRDefault="00F32BCB">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4B52BD" w:rsidRDefault="00F32BCB">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4B52BD" w:rsidRDefault="00F32BCB">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4B52BD" w:rsidRDefault="00F32BCB">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4B52BD" w:rsidRDefault="00F32BCB">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w:t>
      </w:r>
      <w:r>
        <w:rPr>
          <w:rFonts w:ascii="宋体" w:hAnsi="宋体"/>
          <w:szCs w:val="21"/>
        </w:rPr>
        <w:t>率）或，固定申购补差费</w:t>
      </w:r>
    </w:p>
    <w:p w:rsidR="004B52BD" w:rsidRDefault="00F32BCB">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4B52BD" w:rsidRDefault="00F32BCB">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4B52BD" w:rsidRDefault="00F32BCB">
      <w:pPr>
        <w:spacing w:line="360" w:lineRule="auto"/>
        <w:ind w:firstLine="420"/>
        <w:jc w:val="left"/>
        <w:rPr>
          <w:rFonts w:ascii="宋体" w:hAnsi="宋体"/>
          <w:szCs w:val="21"/>
        </w:rPr>
      </w:pPr>
      <w:r>
        <w:rPr>
          <w:rFonts w:ascii="宋体" w:hAnsi="宋体"/>
          <w:szCs w:val="21"/>
        </w:rPr>
        <w:t>本基金作为转换基金时，具体转换费率如下：</w:t>
      </w:r>
    </w:p>
    <w:p w:rsidR="004B52BD" w:rsidRDefault="00F32BCB">
      <w:pPr>
        <w:spacing w:line="360" w:lineRule="auto"/>
        <w:ind w:firstLine="420"/>
        <w:jc w:val="left"/>
        <w:rPr>
          <w:rFonts w:ascii="宋体" w:hAnsi="宋体"/>
          <w:szCs w:val="21"/>
        </w:rPr>
      </w:pPr>
      <w:r>
        <w:rPr>
          <w:rFonts w:ascii="宋体" w:hAnsi="宋体"/>
          <w:szCs w:val="21"/>
        </w:rPr>
        <w:t>A</w:t>
      </w:r>
      <w:r>
        <w:rPr>
          <w:rFonts w:ascii="宋体" w:hAnsi="宋体"/>
          <w:szCs w:val="21"/>
        </w:rPr>
        <w:t>、转换金额对应申购费率较高的基金转入到本基金时</w:t>
      </w:r>
    </w:p>
    <w:p w:rsidR="004B52BD" w:rsidRDefault="00F32BCB">
      <w:pPr>
        <w:spacing w:line="360" w:lineRule="auto"/>
        <w:ind w:firstLine="420"/>
        <w:jc w:val="left"/>
        <w:rPr>
          <w:rFonts w:ascii="宋体" w:hAnsi="宋体"/>
          <w:szCs w:val="21"/>
        </w:rPr>
      </w:pPr>
      <w:r>
        <w:rPr>
          <w:rFonts w:ascii="宋体" w:hAnsi="宋体" w:hint="eastAsia"/>
          <w:szCs w:val="21"/>
        </w:rPr>
        <w:t>例</w:t>
      </w:r>
      <w:r>
        <w:rPr>
          <w:rFonts w:ascii="宋体" w:hAnsi="宋体"/>
          <w:szCs w:val="21"/>
        </w:rPr>
        <w:t>1</w:t>
      </w:r>
      <w:r>
        <w:rPr>
          <w:rFonts w:ascii="宋体" w:hAnsi="宋体"/>
          <w:szCs w:val="21"/>
        </w:rPr>
        <w:t>、某投资人</w:t>
      </w:r>
      <w:r>
        <w:rPr>
          <w:rFonts w:ascii="宋体" w:hAnsi="宋体"/>
          <w:szCs w:val="21"/>
        </w:rPr>
        <w:t>N</w:t>
      </w:r>
      <w:r>
        <w:rPr>
          <w:rFonts w:ascii="宋体" w:hAnsi="宋体"/>
          <w:szCs w:val="21"/>
        </w:rPr>
        <w:t>日持有</w:t>
      </w:r>
      <w:r>
        <w:rPr>
          <w:rFonts w:ascii="宋体" w:hAnsi="宋体" w:hint="eastAsia"/>
          <w:szCs w:val="21"/>
        </w:rPr>
        <w:t>平安消费精选混合型证券投资基金</w:t>
      </w:r>
      <w:r>
        <w:rPr>
          <w:rFonts w:ascii="宋体" w:hAnsi="宋体"/>
          <w:szCs w:val="21"/>
        </w:rPr>
        <w:t>A</w:t>
      </w:r>
      <w:r>
        <w:rPr>
          <w:rFonts w:ascii="宋体" w:hAnsi="宋体"/>
          <w:szCs w:val="21"/>
        </w:rPr>
        <w:t>类份额</w:t>
      </w:r>
      <w:r>
        <w:rPr>
          <w:rFonts w:ascii="宋体" w:hAnsi="宋体"/>
          <w:szCs w:val="21"/>
        </w:rPr>
        <w:t>10,000</w:t>
      </w:r>
      <w:r>
        <w:rPr>
          <w:rFonts w:ascii="宋体" w:hAnsi="宋体"/>
          <w:szCs w:val="21"/>
        </w:rPr>
        <w:t>份，持有期为三个月（对应的赎回费率为</w:t>
      </w:r>
      <w:r>
        <w:rPr>
          <w:rFonts w:ascii="宋体" w:hAnsi="宋体"/>
          <w:szCs w:val="21"/>
        </w:rPr>
        <w:t>0.50%</w:t>
      </w:r>
      <w:r>
        <w:rPr>
          <w:rFonts w:ascii="宋体" w:hAnsi="宋体"/>
          <w:szCs w:val="21"/>
        </w:rPr>
        <w:t>），拟于</w:t>
      </w:r>
      <w:r>
        <w:rPr>
          <w:rFonts w:ascii="宋体" w:hAnsi="宋体"/>
          <w:szCs w:val="21"/>
        </w:rPr>
        <w:t>N</w:t>
      </w:r>
      <w:r>
        <w:rPr>
          <w:rFonts w:ascii="宋体" w:hAnsi="宋体"/>
          <w:szCs w:val="21"/>
        </w:rPr>
        <w:t>日转换为</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定期开放债券型发起式证券投资基金，假设</w:t>
      </w:r>
      <w:r>
        <w:rPr>
          <w:rFonts w:ascii="宋体" w:hAnsi="宋体"/>
          <w:szCs w:val="21"/>
        </w:rPr>
        <w:t>N</w:t>
      </w:r>
      <w:r>
        <w:rPr>
          <w:rFonts w:ascii="宋体" w:hAnsi="宋体"/>
          <w:szCs w:val="21"/>
        </w:rPr>
        <w:t>日平安消费精选混合型证券投资基金</w:t>
      </w:r>
      <w:r>
        <w:rPr>
          <w:rFonts w:ascii="宋体" w:hAnsi="宋体"/>
          <w:szCs w:val="21"/>
        </w:rPr>
        <w:t>A</w:t>
      </w:r>
      <w:r>
        <w:rPr>
          <w:rFonts w:ascii="宋体" w:hAnsi="宋体"/>
          <w:szCs w:val="21"/>
        </w:rPr>
        <w:t>类份额</w:t>
      </w:r>
      <w:r>
        <w:rPr>
          <w:rFonts w:ascii="宋体" w:hAnsi="宋体" w:hint="eastAsia"/>
          <w:szCs w:val="21"/>
        </w:rPr>
        <w:t>的基金份额净值为</w:t>
      </w:r>
      <w:r>
        <w:rPr>
          <w:rFonts w:ascii="宋体" w:hAnsi="宋体"/>
          <w:szCs w:val="21"/>
        </w:rPr>
        <w:t>1.150</w:t>
      </w:r>
      <w:r>
        <w:rPr>
          <w:rFonts w:ascii="宋体" w:hAnsi="宋体"/>
          <w:szCs w:val="21"/>
        </w:rPr>
        <w:t>元，</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定期开放债券型发起式证券投资基金的基金份额净值为</w:t>
      </w:r>
      <w:r>
        <w:rPr>
          <w:rFonts w:ascii="宋体" w:hAnsi="宋体"/>
          <w:szCs w:val="21"/>
        </w:rPr>
        <w:t>1.0500</w:t>
      </w:r>
      <w:r>
        <w:rPr>
          <w:rFonts w:ascii="宋体" w:hAnsi="宋体" w:hint="eastAsia"/>
          <w:szCs w:val="21"/>
        </w:rPr>
        <w:t>元，则：</w:t>
      </w:r>
    </w:p>
    <w:p w:rsidR="004B52BD" w:rsidRDefault="00F32BCB">
      <w:pPr>
        <w:spacing w:line="360" w:lineRule="auto"/>
        <w:ind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转出基金即平安消费精选混合型证券投资基金</w:t>
      </w:r>
      <w:r>
        <w:rPr>
          <w:rFonts w:ascii="宋体" w:hAnsi="宋体"/>
          <w:szCs w:val="21"/>
        </w:rPr>
        <w:t>A</w:t>
      </w:r>
      <w:r>
        <w:rPr>
          <w:rFonts w:ascii="宋体" w:hAnsi="宋体"/>
          <w:szCs w:val="21"/>
        </w:rPr>
        <w:t>类份额</w:t>
      </w:r>
      <w:r>
        <w:rPr>
          <w:rFonts w:ascii="宋体" w:hAnsi="宋体" w:hint="eastAsia"/>
          <w:szCs w:val="21"/>
        </w:rPr>
        <w:t>的赎回费用：</w:t>
      </w:r>
    </w:p>
    <w:p w:rsidR="004B52BD" w:rsidRDefault="00F32BCB">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szCs w:val="21"/>
        </w:rPr>
        <w:t>=10,000×1.150×0.50%=57.50</w:t>
      </w:r>
      <w:r>
        <w:rPr>
          <w:rFonts w:ascii="宋体" w:hAnsi="宋体" w:hint="eastAsia"/>
          <w:szCs w:val="21"/>
        </w:rPr>
        <w:t>元</w:t>
      </w:r>
    </w:p>
    <w:p w:rsidR="004B52BD" w:rsidRDefault="00F32BCB">
      <w:pPr>
        <w:spacing w:line="360" w:lineRule="auto"/>
        <w:ind w:firstLine="420"/>
        <w:jc w:val="left"/>
        <w:rPr>
          <w:rFonts w:ascii="宋体" w:hAnsi="宋体"/>
          <w:szCs w:val="21"/>
        </w:rPr>
      </w:pPr>
      <w:r>
        <w:rPr>
          <w:rFonts w:ascii="宋体" w:hAnsi="宋体"/>
          <w:szCs w:val="21"/>
        </w:rPr>
        <w:t>2</w:t>
      </w:r>
      <w:r>
        <w:rPr>
          <w:rFonts w:ascii="宋体" w:hAnsi="宋体"/>
          <w:szCs w:val="21"/>
        </w:rPr>
        <w:t>、</w:t>
      </w:r>
      <w:r>
        <w:rPr>
          <w:rFonts w:ascii="宋体" w:hAnsi="宋体" w:hint="eastAsia"/>
          <w:szCs w:val="21"/>
        </w:rPr>
        <w:t>对应转换金额平安消费精选混合型证券投资基金</w:t>
      </w:r>
      <w:r>
        <w:rPr>
          <w:rFonts w:ascii="宋体" w:hAnsi="宋体"/>
          <w:szCs w:val="21"/>
        </w:rPr>
        <w:t>A</w:t>
      </w:r>
      <w:r>
        <w:rPr>
          <w:rFonts w:ascii="宋体" w:hAnsi="宋体"/>
          <w:szCs w:val="21"/>
        </w:rPr>
        <w:t>类份额</w:t>
      </w:r>
      <w:r>
        <w:rPr>
          <w:rFonts w:ascii="宋体" w:hAnsi="宋体" w:hint="eastAsia"/>
          <w:szCs w:val="21"/>
        </w:rPr>
        <w:t>的申购费率</w:t>
      </w:r>
      <w:r>
        <w:rPr>
          <w:rFonts w:ascii="宋体" w:hAnsi="宋体"/>
          <w:szCs w:val="21"/>
        </w:rPr>
        <w:t>1.5%</w:t>
      </w:r>
      <w:r>
        <w:rPr>
          <w:rFonts w:ascii="宋体" w:hAnsi="宋体"/>
          <w:szCs w:val="21"/>
        </w:rPr>
        <w:t>高于</w:t>
      </w:r>
      <w:r>
        <w:rPr>
          <w:rFonts w:ascii="宋体" w:hAnsi="宋体" w:hint="eastAsia"/>
          <w:szCs w:val="21"/>
        </w:rPr>
        <w:t>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定期开放债券型发起式证券投资基金的申购费率</w:t>
      </w:r>
      <w:r>
        <w:rPr>
          <w:rFonts w:ascii="宋体" w:hAnsi="宋体"/>
          <w:szCs w:val="21"/>
        </w:rPr>
        <w:t>0.</w:t>
      </w:r>
      <w:r>
        <w:rPr>
          <w:rFonts w:ascii="宋体" w:hAnsi="宋体" w:hint="eastAsia"/>
          <w:szCs w:val="21"/>
        </w:rPr>
        <w:t>6</w:t>
      </w:r>
      <w:r>
        <w:rPr>
          <w:rFonts w:ascii="宋体" w:hAnsi="宋体"/>
          <w:szCs w:val="21"/>
        </w:rPr>
        <w:t>0%</w:t>
      </w:r>
      <w:r>
        <w:rPr>
          <w:rFonts w:ascii="宋体" w:hAnsi="宋体"/>
          <w:szCs w:val="21"/>
        </w:rPr>
        <w:t>，因此不收取申购补差费用，即费用为</w:t>
      </w:r>
      <w:r>
        <w:rPr>
          <w:rFonts w:ascii="宋体" w:hAnsi="宋体"/>
          <w:szCs w:val="21"/>
        </w:rPr>
        <w:t>0</w:t>
      </w:r>
      <w:r>
        <w:rPr>
          <w:rFonts w:ascii="宋体" w:hAnsi="宋体"/>
          <w:szCs w:val="21"/>
        </w:rPr>
        <w:t>。</w:t>
      </w:r>
    </w:p>
    <w:p w:rsidR="004B52BD" w:rsidRDefault="00F32BCB">
      <w:pPr>
        <w:spacing w:line="360" w:lineRule="auto"/>
        <w:ind w:firstLine="420"/>
        <w:jc w:val="left"/>
        <w:rPr>
          <w:rFonts w:ascii="宋体" w:hAnsi="宋体"/>
          <w:szCs w:val="21"/>
        </w:rPr>
      </w:pPr>
      <w:r>
        <w:rPr>
          <w:rFonts w:ascii="宋体" w:hAnsi="宋体"/>
          <w:szCs w:val="21"/>
        </w:rPr>
        <w:t>3</w:t>
      </w:r>
      <w:r>
        <w:rPr>
          <w:rFonts w:ascii="宋体" w:hAnsi="宋体"/>
          <w:szCs w:val="21"/>
        </w:rPr>
        <w:t>、</w:t>
      </w:r>
      <w:r>
        <w:rPr>
          <w:rFonts w:ascii="宋体" w:hAnsi="宋体" w:hint="eastAsia"/>
          <w:szCs w:val="21"/>
        </w:rPr>
        <w:t>此次转换费用：</w:t>
      </w:r>
    </w:p>
    <w:p w:rsidR="004B52BD" w:rsidRDefault="00F32BCB">
      <w:pPr>
        <w:spacing w:line="360" w:lineRule="auto"/>
        <w:ind w:firstLine="420"/>
        <w:jc w:val="left"/>
        <w:rPr>
          <w:rFonts w:ascii="宋体" w:hAnsi="宋体"/>
          <w:szCs w:val="21"/>
        </w:rPr>
      </w:pPr>
      <w:r>
        <w:rPr>
          <w:rFonts w:ascii="宋体" w:hAnsi="宋体" w:hint="eastAsia"/>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r>
        <w:rPr>
          <w:rFonts w:ascii="宋体" w:hAnsi="宋体"/>
          <w:szCs w:val="21"/>
        </w:rPr>
        <w:t>=57.50</w:t>
      </w:r>
      <w:r>
        <w:rPr>
          <w:rFonts w:ascii="宋体" w:hAnsi="宋体"/>
          <w:szCs w:val="21"/>
        </w:rPr>
        <w:t>+0=57.50</w:t>
      </w:r>
      <w:r>
        <w:rPr>
          <w:rFonts w:ascii="宋体" w:hAnsi="宋体" w:hint="eastAsia"/>
          <w:szCs w:val="21"/>
        </w:rPr>
        <w:t>元</w:t>
      </w:r>
    </w:p>
    <w:p w:rsidR="004B52BD" w:rsidRDefault="00F32BCB">
      <w:pPr>
        <w:spacing w:line="360" w:lineRule="auto"/>
        <w:ind w:firstLine="420"/>
        <w:jc w:val="left"/>
        <w:rPr>
          <w:rFonts w:ascii="宋体" w:hAnsi="宋体"/>
          <w:szCs w:val="21"/>
        </w:rPr>
      </w:pPr>
      <w:r>
        <w:rPr>
          <w:rFonts w:ascii="宋体" w:hAnsi="宋体"/>
          <w:szCs w:val="21"/>
        </w:rPr>
        <w:t>4</w:t>
      </w:r>
      <w:r>
        <w:rPr>
          <w:rFonts w:ascii="宋体" w:hAnsi="宋体"/>
          <w:szCs w:val="21"/>
        </w:rPr>
        <w:t>、</w:t>
      </w:r>
      <w:r>
        <w:rPr>
          <w:rFonts w:ascii="宋体" w:hAnsi="宋体" w:hint="eastAsia"/>
          <w:szCs w:val="21"/>
        </w:rPr>
        <w:t>转换后可得到的平安合信</w:t>
      </w:r>
      <w:r>
        <w:rPr>
          <w:rFonts w:ascii="宋体" w:hAnsi="宋体"/>
          <w:szCs w:val="21"/>
        </w:rPr>
        <w:t>3</w:t>
      </w:r>
      <w:r>
        <w:rPr>
          <w:rFonts w:ascii="宋体" w:hAnsi="宋体"/>
          <w:szCs w:val="21"/>
        </w:rPr>
        <w:t>个月</w:t>
      </w:r>
      <w:r>
        <w:rPr>
          <w:rFonts w:ascii="宋体" w:hAnsi="宋体" w:hint="eastAsia"/>
          <w:szCs w:val="21"/>
        </w:rPr>
        <w:t>定期开放债券型发起式证券投资基金的基金份额为：</w:t>
      </w:r>
    </w:p>
    <w:p w:rsidR="004B52BD" w:rsidRDefault="00F32BCB">
      <w:pPr>
        <w:spacing w:line="360" w:lineRule="auto"/>
        <w:ind w:firstLine="420"/>
        <w:jc w:val="left"/>
        <w:rPr>
          <w:rFonts w:ascii="宋体" w:hAnsi="宋体"/>
          <w:szCs w:val="21"/>
        </w:rPr>
      </w:pPr>
      <w:r>
        <w:rPr>
          <w:rFonts w:ascii="宋体" w:hAnsi="宋体" w:hint="eastAsia"/>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转入基金当日基金份额净值</w:t>
      </w:r>
      <w:r>
        <w:rPr>
          <w:rFonts w:ascii="宋体" w:hAnsi="宋体"/>
          <w:szCs w:val="21"/>
        </w:rPr>
        <w:t>=</w:t>
      </w:r>
      <w:r>
        <w:rPr>
          <w:rFonts w:ascii="宋体" w:hAnsi="宋体"/>
          <w:szCs w:val="21"/>
        </w:rPr>
        <w:t>（</w:t>
      </w:r>
      <w:r>
        <w:rPr>
          <w:rFonts w:ascii="宋体" w:hAnsi="宋体"/>
          <w:szCs w:val="21"/>
        </w:rPr>
        <w:t>10000×1.150-57.50</w:t>
      </w:r>
      <w:r>
        <w:rPr>
          <w:rFonts w:ascii="宋体" w:hAnsi="宋体" w:hint="eastAsia"/>
          <w:szCs w:val="21"/>
        </w:rPr>
        <w:t>）÷</w:t>
      </w:r>
      <w:r>
        <w:rPr>
          <w:rFonts w:ascii="宋体" w:hAnsi="宋体"/>
          <w:szCs w:val="21"/>
        </w:rPr>
        <w:t>1.0500=10897.62</w:t>
      </w:r>
      <w:r>
        <w:rPr>
          <w:rFonts w:ascii="宋体" w:hAnsi="宋体"/>
          <w:szCs w:val="21"/>
        </w:rPr>
        <w:t>份</w:t>
      </w:r>
    </w:p>
    <w:p w:rsidR="004B52BD" w:rsidRDefault="00F32BCB">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4B52BD" w:rsidRDefault="00F32BCB">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日持有平安合信</w:t>
      </w:r>
      <w:r>
        <w:rPr>
          <w:rFonts w:ascii="宋体" w:hAnsi="宋体" w:hint="eastAsia"/>
          <w:szCs w:val="21"/>
        </w:rPr>
        <w:t>3</w:t>
      </w:r>
      <w:r>
        <w:rPr>
          <w:rFonts w:ascii="宋体" w:hAnsi="宋体" w:hint="eastAsia"/>
          <w:szCs w:val="21"/>
        </w:rPr>
        <w:t>个月定期开放债券型发起式证券投资基金的基金份额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日转换为平安消费精选混合型证券投资基金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w:t>
      </w:r>
      <w:r>
        <w:rPr>
          <w:rFonts w:ascii="宋体" w:hAnsi="宋体" w:hint="eastAsia"/>
          <w:szCs w:val="21"/>
        </w:rPr>
        <w:t>安合信</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元，平安消费精选混合型证券投资基金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4B52BD" w:rsidRDefault="00F32BC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、转出基金即平安合信</w:t>
      </w:r>
      <w:r>
        <w:rPr>
          <w:rFonts w:ascii="宋体" w:hAnsi="宋体" w:hint="eastAsia"/>
          <w:szCs w:val="21"/>
        </w:rPr>
        <w:t>3</w:t>
      </w:r>
      <w:r>
        <w:rPr>
          <w:rFonts w:ascii="宋体" w:hAnsi="宋体" w:hint="eastAsia"/>
          <w:szCs w:val="21"/>
        </w:rPr>
        <w:t>个月定期开放债券型发起式证券投资基金的基金份额的赎回费用：</w:t>
      </w:r>
    </w:p>
    <w:p w:rsidR="004B52BD" w:rsidRDefault="00F32BCB">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=0</w:t>
      </w:r>
      <w:r>
        <w:rPr>
          <w:rFonts w:ascii="宋体" w:hAnsi="宋体" w:hint="eastAsia"/>
          <w:szCs w:val="21"/>
        </w:rPr>
        <w:t>元</w:t>
      </w:r>
    </w:p>
    <w:p w:rsidR="004B52BD" w:rsidRDefault="00F32BC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4B52BD" w:rsidRDefault="00F32BCB">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0-0</w:t>
      </w:r>
      <w:r>
        <w:rPr>
          <w:rFonts w:ascii="宋体" w:hAnsi="宋体" w:hint="eastAsia"/>
          <w:szCs w:val="21"/>
        </w:rPr>
        <w:t>=10500</w:t>
      </w:r>
      <w:r>
        <w:rPr>
          <w:rFonts w:ascii="宋体" w:hAnsi="宋体"/>
          <w:szCs w:val="21"/>
        </w:rPr>
        <w:t>.00</w:t>
      </w:r>
      <w:r>
        <w:rPr>
          <w:rFonts w:ascii="宋体" w:hAnsi="宋体" w:hint="eastAsia"/>
          <w:szCs w:val="21"/>
        </w:rPr>
        <w:t>元</w:t>
      </w:r>
    </w:p>
    <w:p w:rsidR="004B52BD" w:rsidRDefault="00F32BCB">
      <w:pPr>
        <w:spacing w:line="360" w:lineRule="auto"/>
        <w:ind w:firstLine="420"/>
        <w:jc w:val="left"/>
        <w:rPr>
          <w:rFonts w:ascii="宋体" w:hAnsi="宋体"/>
          <w:szCs w:val="21"/>
        </w:rPr>
      </w:pPr>
      <w:r>
        <w:rPr>
          <w:rFonts w:ascii="宋体" w:hAnsi="宋体" w:hint="eastAsia"/>
          <w:szCs w:val="21"/>
        </w:rPr>
        <w:t>对应转换基金平</w:t>
      </w:r>
      <w:r>
        <w:rPr>
          <w:rFonts w:ascii="宋体" w:hAnsi="宋体" w:hint="eastAsia"/>
          <w:szCs w:val="21"/>
        </w:rPr>
        <w:t>安消费精选混合型证券投资基金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0.6%</w:t>
      </w:r>
      <w:r>
        <w:rPr>
          <w:rFonts w:ascii="宋体" w:hAnsi="宋体" w:hint="eastAsia"/>
          <w:szCs w:val="21"/>
        </w:rPr>
        <w:t>。</w:t>
      </w:r>
    </w:p>
    <w:p w:rsidR="004B52BD" w:rsidRDefault="00F32BCB">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w:t>
      </w:r>
      <w:r>
        <w:rPr>
          <w:rFonts w:ascii="宋体" w:hAnsi="宋体"/>
          <w:szCs w:val="21"/>
        </w:rPr>
        <w:t>=10500.00</w:t>
      </w:r>
      <w:r>
        <w:rPr>
          <w:rFonts w:ascii="宋体" w:hAnsi="宋体" w:hint="eastAsia"/>
          <w:szCs w:val="21"/>
        </w:rPr>
        <w:t>×</w:t>
      </w:r>
      <w:r>
        <w:rPr>
          <w:rFonts w:ascii="宋体" w:hAnsi="宋体"/>
          <w:szCs w:val="21"/>
        </w:rPr>
        <w:t>1.5%÷</w:t>
      </w:r>
      <w:r>
        <w:rPr>
          <w:rFonts w:ascii="宋体" w:hAnsi="宋体"/>
          <w:szCs w:val="21"/>
        </w:rPr>
        <w:t>（</w:t>
      </w:r>
      <w:r>
        <w:rPr>
          <w:rFonts w:ascii="宋体" w:hAnsi="宋体"/>
          <w:szCs w:val="21"/>
        </w:rPr>
        <w:t>1+1.5%</w:t>
      </w:r>
      <w:r>
        <w:rPr>
          <w:rFonts w:ascii="宋体" w:hAnsi="宋体"/>
          <w:szCs w:val="21"/>
        </w:rPr>
        <w:t>）</w:t>
      </w:r>
      <w:r>
        <w:rPr>
          <w:rFonts w:ascii="宋体" w:hAnsi="宋体"/>
          <w:szCs w:val="21"/>
        </w:rPr>
        <w:t>-10500.00</w:t>
      </w:r>
      <w:r>
        <w:rPr>
          <w:rFonts w:ascii="宋体" w:hAnsi="宋体" w:hint="eastAsia"/>
          <w:szCs w:val="21"/>
        </w:rPr>
        <w:t>×</w:t>
      </w:r>
      <w:r>
        <w:rPr>
          <w:rFonts w:ascii="宋体" w:hAnsi="宋体"/>
          <w:szCs w:val="21"/>
        </w:rPr>
        <w:t>0.</w:t>
      </w:r>
      <w:r>
        <w:rPr>
          <w:rFonts w:ascii="宋体" w:hAnsi="宋体" w:hint="eastAsia"/>
          <w:szCs w:val="21"/>
        </w:rPr>
        <w:t>6</w:t>
      </w:r>
      <w:r>
        <w:rPr>
          <w:rFonts w:ascii="宋体" w:hAnsi="宋体"/>
          <w:szCs w:val="21"/>
        </w:rPr>
        <w:t>%÷</w:t>
      </w:r>
      <w:r>
        <w:rPr>
          <w:rFonts w:ascii="宋体" w:hAnsi="宋体"/>
          <w:szCs w:val="21"/>
        </w:rPr>
        <w:t>（</w:t>
      </w:r>
      <w:r>
        <w:rPr>
          <w:rFonts w:ascii="宋体" w:hAnsi="宋体"/>
          <w:szCs w:val="21"/>
        </w:rPr>
        <w:t>1+0.</w:t>
      </w:r>
      <w:r>
        <w:rPr>
          <w:rFonts w:ascii="宋体" w:hAnsi="宋体" w:hint="eastAsia"/>
          <w:szCs w:val="21"/>
        </w:rPr>
        <w:t>6</w:t>
      </w:r>
      <w:r>
        <w:rPr>
          <w:rFonts w:ascii="宋体" w:hAnsi="宋体"/>
          <w:szCs w:val="21"/>
        </w:rPr>
        <w:t>%</w:t>
      </w:r>
      <w:r>
        <w:rPr>
          <w:rFonts w:ascii="宋体" w:hAnsi="宋体"/>
          <w:szCs w:val="21"/>
        </w:rPr>
        <w:t>）</w:t>
      </w:r>
      <w:r>
        <w:rPr>
          <w:rFonts w:ascii="宋体" w:hAnsi="宋体"/>
          <w:szCs w:val="21"/>
        </w:rPr>
        <w:t>=</w:t>
      </w:r>
      <w:r>
        <w:rPr>
          <w:rFonts w:ascii="宋体" w:hAnsi="宋体" w:hint="eastAsia"/>
          <w:szCs w:val="21"/>
        </w:rPr>
        <w:t>92.55</w:t>
      </w:r>
      <w:r>
        <w:rPr>
          <w:rFonts w:ascii="宋体" w:hAnsi="宋体"/>
          <w:szCs w:val="21"/>
        </w:rPr>
        <w:t>元</w:t>
      </w:r>
    </w:p>
    <w:p w:rsidR="004B52BD" w:rsidRDefault="00F32BCB">
      <w:pPr>
        <w:spacing w:line="360" w:lineRule="auto"/>
        <w:ind w:firstLine="420"/>
        <w:jc w:val="left"/>
        <w:rPr>
          <w:rFonts w:ascii="宋体" w:hAnsi="宋体"/>
          <w:szCs w:val="21"/>
        </w:rPr>
      </w:pPr>
      <w:r>
        <w:rPr>
          <w:rFonts w:ascii="宋体" w:hAnsi="宋体"/>
          <w:szCs w:val="21"/>
        </w:rPr>
        <w:t>3</w:t>
      </w:r>
      <w:r>
        <w:rPr>
          <w:rFonts w:ascii="宋体" w:hAnsi="宋体"/>
          <w:szCs w:val="21"/>
        </w:rPr>
        <w:t>、</w:t>
      </w:r>
      <w:r>
        <w:rPr>
          <w:rFonts w:ascii="宋体" w:hAnsi="宋体" w:hint="eastAsia"/>
          <w:szCs w:val="21"/>
        </w:rPr>
        <w:t>此次转换费用：</w:t>
      </w:r>
    </w:p>
    <w:p w:rsidR="004B52BD" w:rsidRDefault="00F32BCB">
      <w:pPr>
        <w:spacing w:line="360" w:lineRule="auto"/>
        <w:ind w:firstLine="420"/>
        <w:jc w:val="left"/>
        <w:rPr>
          <w:rFonts w:ascii="宋体" w:hAnsi="宋体"/>
          <w:szCs w:val="21"/>
        </w:rPr>
      </w:pPr>
      <w:r>
        <w:rPr>
          <w:rFonts w:ascii="宋体" w:hAnsi="宋体" w:hint="eastAsia"/>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r>
        <w:rPr>
          <w:rFonts w:ascii="宋体" w:hAnsi="宋体"/>
          <w:szCs w:val="21"/>
        </w:rPr>
        <w:t>=0+</w:t>
      </w:r>
      <w:r>
        <w:rPr>
          <w:rFonts w:ascii="宋体" w:hAnsi="宋体" w:hint="eastAsia"/>
          <w:szCs w:val="21"/>
        </w:rPr>
        <w:t>92.55</w:t>
      </w:r>
      <w:r>
        <w:rPr>
          <w:rFonts w:ascii="宋体" w:hAnsi="宋体"/>
          <w:szCs w:val="21"/>
        </w:rPr>
        <w:t>=</w:t>
      </w:r>
      <w:r>
        <w:rPr>
          <w:rFonts w:ascii="宋体" w:hAnsi="宋体" w:hint="eastAsia"/>
          <w:szCs w:val="21"/>
        </w:rPr>
        <w:t>92.55</w:t>
      </w:r>
      <w:r>
        <w:rPr>
          <w:rFonts w:ascii="宋体" w:hAnsi="宋体"/>
          <w:szCs w:val="21"/>
        </w:rPr>
        <w:t>元</w:t>
      </w:r>
    </w:p>
    <w:p w:rsidR="004B52BD" w:rsidRDefault="00F32BCB">
      <w:pPr>
        <w:spacing w:line="360" w:lineRule="auto"/>
        <w:ind w:firstLine="420"/>
        <w:jc w:val="left"/>
        <w:rPr>
          <w:rFonts w:ascii="宋体" w:hAnsi="宋体"/>
          <w:szCs w:val="21"/>
        </w:rPr>
      </w:pPr>
      <w:r>
        <w:rPr>
          <w:rFonts w:ascii="宋体" w:hAnsi="宋体"/>
          <w:szCs w:val="21"/>
        </w:rPr>
        <w:t>4</w:t>
      </w:r>
      <w:r>
        <w:rPr>
          <w:rFonts w:ascii="宋体" w:hAnsi="宋体"/>
          <w:szCs w:val="21"/>
        </w:rPr>
        <w:t>、</w:t>
      </w:r>
      <w:r>
        <w:rPr>
          <w:rFonts w:ascii="宋体" w:hAnsi="宋体" w:hint="eastAsia"/>
          <w:szCs w:val="21"/>
        </w:rPr>
        <w:t>转换后可得到的平安消费精选混合型证券投资基金</w:t>
      </w:r>
      <w:r>
        <w:rPr>
          <w:rFonts w:ascii="宋体" w:hAnsi="宋体"/>
          <w:szCs w:val="21"/>
        </w:rPr>
        <w:t>A</w:t>
      </w:r>
      <w:r>
        <w:rPr>
          <w:rFonts w:ascii="宋体" w:hAnsi="宋体"/>
          <w:szCs w:val="21"/>
        </w:rPr>
        <w:t>类</w:t>
      </w:r>
      <w:r>
        <w:rPr>
          <w:rFonts w:ascii="宋体" w:hAnsi="宋体" w:hint="eastAsia"/>
          <w:szCs w:val="21"/>
        </w:rPr>
        <w:t>份额为：</w:t>
      </w:r>
    </w:p>
    <w:p w:rsidR="004B52BD" w:rsidRDefault="00F32BCB">
      <w:pPr>
        <w:spacing w:line="360" w:lineRule="auto"/>
        <w:ind w:firstLine="420"/>
        <w:jc w:val="left"/>
        <w:rPr>
          <w:rFonts w:ascii="宋体" w:hAnsi="宋体"/>
          <w:szCs w:val="21"/>
        </w:rPr>
      </w:pPr>
      <w:r>
        <w:rPr>
          <w:rFonts w:ascii="宋体" w:hAnsi="宋体" w:hint="eastAsia"/>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转入基金当日基金份额净值</w:t>
      </w:r>
      <w:r>
        <w:rPr>
          <w:rFonts w:ascii="宋体" w:hAnsi="宋体"/>
          <w:szCs w:val="21"/>
        </w:rPr>
        <w:t>=</w:t>
      </w:r>
      <w:r>
        <w:rPr>
          <w:rFonts w:ascii="宋体" w:hAnsi="宋体"/>
          <w:szCs w:val="21"/>
        </w:rPr>
        <w:t>（</w:t>
      </w:r>
      <w:r>
        <w:rPr>
          <w:rFonts w:ascii="宋体" w:hAnsi="宋体"/>
          <w:szCs w:val="21"/>
        </w:rPr>
        <w:t>10000×1.0500-</w:t>
      </w:r>
      <w:r>
        <w:rPr>
          <w:rFonts w:ascii="宋体" w:hAnsi="宋体" w:hint="eastAsia"/>
          <w:szCs w:val="21"/>
        </w:rPr>
        <w:t>92.55</w:t>
      </w:r>
      <w:r>
        <w:rPr>
          <w:rFonts w:ascii="宋体" w:hAnsi="宋体"/>
          <w:szCs w:val="21"/>
        </w:rPr>
        <w:t>）</w:t>
      </w:r>
      <w:r>
        <w:rPr>
          <w:rFonts w:ascii="宋体" w:hAnsi="宋体"/>
          <w:szCs w:val="21"/>
        </w:rPr>
        <w:t>÷1.150=90</w:t>
      </w:r>
      <w:r>
        <w:rPr>
          <w:rFonts w:ascii="宋体" w:hAnsi="宋体" w:hint="eastAsia"/>
          <w:szCs w:val="21"/>
        </w:rPr>
        <w:t>49</w:t>
      </w:r>
      <w:r>
        <w:rPr>
          <w:rFonts w:ascii="宋体" w:hAnsi="宋体"/>
          <w:szCs w:val="21"/>
        </w:rPr>
        <w:t>.9</w:t>
      </w:r>
      <w:r>
        <w:rPr>
          <w:rFonts w:ascii="宋体" w:hAnsi="宋体" w:hint="eastAsia"/>
          <w:szCs w:val="21"/>
        </w:rPr>
        <w:t>6</w:t>
      </w:r>
      <w:r>
        <w:rPr>
          <w:rFonts w:ascii="宋体" w:hAnsi="宋体"/>
          <w:szCs w:val="21"/>
        </w:rPr>
        <w:t>份</w:t>
      </w:r>
    </w:p>
    <w:p w:rsidR="004B52BD" w:rsidRDefault="00F32BCB">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4B52BD" w:rsidRDefault="00F32BCB">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4B52BD" w:rsidRDefault="00F32BCB">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4B52BD" w:rsidRDefault="00F32BCB">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4B52BD" w:rsidRDefault="00F32BCB">
      <w:pPr>
        <w:autoSpaceDE w:val="0"/>
        <w:autoSpaceDN w:val="0"/>
        <w:adjustRightInd w:val="0"/>
        <w:spacing w:line="360" w:lineRule="auto"/>
        <w:ind w:firstLine="426"/>
        <w:jc w:val="left"/>
        <w:rPr>
          <w:color w:val="000000"/>
          <w:sz w:val="28"/>
          <w:szCs w:val="28"/>
        </w:rPr>
      </w:pPr>
      <w:r>
        <w:rPr>
          <w:color w:val="000000"/>
          <w:sz w:val="28"/>
          <w:szCs w:val="28"/>
        </w:rPr>
        <w:t xml:space="preserve">5.2.1 </w:t>
      </w:r>
      <w:r>
        <w:rPr>
          <w:color w:val="000000"/>
          <w:sz w:val="28"/>
          <w:szCs w:val="28"/>
        </w:rPr>
        <w:t>适用基金</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本基金可以与本管理人旗下已开通转换业务的基金转换。</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019591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w:t>
      </w:r>
      <w:r>
        <w:rPr>
          <w:rFonts w:ascii="宋体" w:hAnsi="宋体" w:hint="eastAsia"/>
          <w:szCs w:val="21"/>
        </w:rPr>
        <w:t>金代码</w:t>
      </w:r>
      <w:r>
        <w:rPr>
          <w:rFonts w:ascii="宋体" w:hAnsi="宋体" w:hint="eastAsia"/>
          <w:szCs w:val="21"/>
        </w:rPr>
        <w:t>007859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007860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021970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021507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021508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005868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C</w:t>
      </w:r>
      <w:r>
        <w:rPr>
          <w:rFonts w:ascii="宋体" w:hAnsi="宋体" w:hint="eastAsia"/>
          <w:szCs w:val="21"/>
        </w:rPr>
        <w:t>类，基金代</w:t>
      </w:r>
      <w:r>
        <w:rPr>
          <w:rFonts w:ascii="宋体" w:hAnsi="宋体" w:hint="eastAsia"/>
          <w:szCs w:val="21"/>
        </w:rPr>
        <w:t>码</w:t>
      </w:r>
      <w:r>
        <w:rPr>
          <w:rFonts w:ascii="宋体" w:hAnsi="宋体" w:hint="eastAsia"/>
          <w:szCs w:val="21"/>
        </w:rPr>
        <w:t>005869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002282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007663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002304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002537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000759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012470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017549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平安策略先锋混合型证券投资基金（基金代码</w:t>
      </w:r>
      <w:r>
        <w:rPr>
          <w:rFonts w:ascii="宋体" w:hAnsi="宋体" w:hint="eastAsia"/>
          <w:szCs w:val="21"/>
        </w:rPr>
        <w:t>700003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015485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015486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022119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022120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013687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013688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009012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009013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w:t>
      </w:r>
      <w:r>
        <w:rPr>
          <w:rFonts w:ascii="宋体" w:hAnsi="宋体" w:hint="eastAsia"/>
          <w:szCs w:val="21"/>
        </w:rPr>
        <w:t>济混合型证券投资基金（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009878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009879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002988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020930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023997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023194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005756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010048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020781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020782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02539</w:t>
      </w:r>
      <w:r>
        <w:rPr>
          <w:rFonts w:ascii="宋体" w:hAnsi="宋体" w:hint="eastAsia"/>
          <w:szCs w:val="21"/>
        </w:rPr>
        <w:t>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025391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021046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022748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022749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024534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024535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w:t>
      </w:r>
      <w:r>
        <w:rPr>
          <w:rFonts w:ascii="宋体" w:hAnsi="宋体" w:hint="eastAsia"/>
          <w:szCs w:val="21"/>
        </w:rPr>
        <w:t>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024379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024380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006097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010035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007082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007083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025646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w:t>
      </w:r>
      <w:r>
        <w:rPr>
          <w:rFonts w:ascii="宋体" w:hAnsi="宋体" w:hint="eastAsia"/>
          <w:szCs w:val="21"/>
        </w:rPr>
        <w:t>装备混合型发起式证券投资基金（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007893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007894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006457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004403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004404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平安合丰定期开放纯债债券型发起式证券投资基金（基金代码</w:t>
      </w:r>
      <w:r>
        <w:rPr>
          <w:rFonts w:ascii="宋体" w:hAnsi="宋体" w:hint="eastAsia"/>
          <w:szCs w:val="21"/>
        </w:rPr>
        <w:t>005895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平安合慧定期开放纯债债券型发起式证券投资基金（基金代码</w:t>
      </w:r>
      <w:r>
        <w:rPr>
          <w:rFonts w:ascii="宋体" w:hAnsi="宋体" w:hint="eastAsia"/>
          <w:szCs w:val="21"/>
        </w:rPr>
        <w:t>005896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平安合锦定期开放债券型发起式证券投资基金（基金代码</w:t>
      </w:r>
      <w:r>
        <w:rPr>
          <w:rFonts w:ascii="宋体" w:hAnsi="宋体" w:hint="eastAsia"/>
          <w:szCs w:val="21"/>
        </w:rPr>
        <w:t>006412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平安合进</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012418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平安合聚</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平安合庆</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009053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平安合瑞定期开放债券型发起式证券投资基金（基金代码</w:t>
      </w:r>
      <w:r>
        <w:rPr>
          <w:rFonts w:ascii="宋体" w:hAnsi="宋体" w:hint="eastAsia"/>
          <w:szCs w:val="21"/>
        </w:rPr>
        <w:t>005766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008594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007158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平安合顺</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017776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平安合泰</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004960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平安合禧</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015622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平安合享</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009166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平安合兴</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009453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平安合轩</w:t>
      </w:r>
      <w:r>
        <w:rPr>
          <w:rFonts w:ascii="宋体" w:hAnsi="宋体" w:hint="eastAsia"/>
          <w:szCs w:val="21"/>
        </w:rPr>
        <w:t>1</w:t>
      </w:r>
      <w:r>
        <w:rPr>
          <w:rFonts w:ascii="宋体" w:hAnsi="宋体" w:hint="eastAsia"/>
          <w:szCs w:val="21"/>
        </w:rPr>
        <w:t>年定期开</w:t>
      </w:r>
      <w:r>
        <w:rPr>
          <w:rFonts w:ascii="宋体" w:hAnsi="宋体" w:hint="eastAsia"/>
          <w:szCs w:val="21"/>
        </w:rPr>
        <w:t>放债券型发起式证券投资基金（基金代码</w:t>
      </w:r>
      <w:r>
        <w:rPr>
          <w:rFonts w:ascii="宋体" w:hAnsi="宋体" w:hint="eastAsia"/>
          <w:szCs w:val="21"/>
        </w:rPr>
        <w:t>013482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平安合意定期开放债券型发起式证券投资基金（基金代码</w:t>
      </w:r>
      <w:r>
        <w:rPr>
          <w:rFonts w:ascii="宋体" w:hAnsi="宋体" w:hint="eastAsia"/>
          <w:szCs w:val="21"/>
        </w:rPr>
        <w:t>004632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平安合颖定期开放纯债债券型发起式证券投资基金（基金代码</w:t>
      </w:r>
      <w:r>
        <w:rPr>
          <w:rFonts w:ascii="宋体" w:hAnsi="宋体" w:hint="eastAsia"/>
          <w:szCs w:val="21"/>
        </w:rPr>
        <w:t>005897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平安合悦定期开放债券型发起式证券投资基金（基金代码</w:t>
      </w:r>
      <w:r>
        <w:rPr>
          <w:rFonts w:ascii="宋体" w:hAnsi="宋体" w:hint="eastAsia"/>
          <w:szCs w:val="21"/>
        </w:rPr>
        <w:t>005884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平安合韵定期开放纯债债券型发起式证券投资基金（基金代码</w:t>
      </w:r>
      <w:r>
        <w:rPr>
          <w:rFonts w:ascii="宋体" w:hAnsi="宋体" w:hint="eastAsia"/>
          <w:szCs w:val="21"/>
        </w:rPr>
        <w:t>005077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平安合正定期开放纯债债券型发起式证券投资基金（基金代码</w:t>
      </w:r>
      <w:r>
        <w:rPr>
          <w:rFonts w:ascii="宋体" w:hAnsi="宋体" w:hint="eastAsia"/>
          <w:szCs w:val="21"/>
        </w:rPr>
        <w:t>005127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006720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00672</w:t>
      </w:r>
      <w:r>
        <w:rPr>
          <w:rFonts w:ascii="宋体" w:hAnsi="宋体" w:hint="eastAsia"/>
          <w:szCs w:val="21"/>
        </w:rPr>
        <w:t>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025525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025526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011175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011176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009671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009672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005639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005640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005113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w:t>
      </w:r>
      <w:r>
        <w:rPr>
          <w:rFonts w:ascii="宋体" w:hAnsi="宋体" w:hint="eastAsia"/>
          <w:szCs w:val="21"/>
        </w:rPr>
        <w:t>增强证券投资基金（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005114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平安惠安纯债债券型证券投资基金（基金代码</w:t>
      </w:r>
      <w:r>
        <w:rPr>
          <w:rFonts w:ascii="宋体" w:hAnsi="宋体" w:hint="eastAsia"/>
          <w:szCs w:val="21"/>
        </w:rPr>
        <w:t>006016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006316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022051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015830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015831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平安惠合纯债债券型证券投资基金（基金代码</w:t>
      </w:r>
      <w:r>
        <w:rPr>
          <w:rFonts w:ascii="宋体" w:hAnsi="宋体" w:hint="eastAsia"/>
          <w:szCs w:val="21"/>
        </w:rPr>
        <w:t>007196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平安惠鸿纯债债券型证券投资基金（基金代码</w:t>
      </w:r>
      <w:r>
        <w:rPr>
          <w:rFonts w:ascii="宋体" w:hAnsi="宋体" w:hint="eastAsia"/>
          <w:szCs w:val="21"/>
        </w:rPr>
        <w:t>006889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w:t>
      </w:r>
      <w:r>
        <w:rPr>
          <w:rFonts w:ascii="宋体" w:hAnsi="宋体" w:hint="eastAsia"/>
          <w:szCs w:val="21"/>
        </w:rPr>
        <w:t>20301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020302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003024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006717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005971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021155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平安惠聚纯债债券型证券投资基金（基金代码</w:t>
      </w:r>
      <w:r>
        <w:rPr>
          <w:rFonts w:ascii="宋体" w:hAnsi="宋体" w:hint="eastAsia"/>
          <w:szCs w:val="21"/>
        </w:rPr>
        <w:t>006544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007935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007936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003568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021001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021003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003486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平安惠铭纯债债券型证券投资基金（基金代码</w:t>
      </w:r>
      <w:r>
        <w:rPr>
          <w:rFonts w:ascii="宋体" w:hAnsi="宋体" w:hint="eastAsia"/>
          <w:szCs w:val="21"/>
        </w:rPr>
        <w:t>009306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平安惠融纯债债券型证券投资基金（基金代码</w:t>
      </w:r>
      <w:r>
        <w:rPr>
          <w:rFonts w:ascii="宋体" w:hAnsi="宋体" w:hint="eastAsia"/>
          <w:szCs w:val="21"/>
        </w:rPr>
        <w:t>003487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平安惠润纯债债券型证券投资基金（基金代码</w:t>
      </w:r>
      <w:r>
        <w:rPr>
          <w:rFonts w:ascii="宋体" w:hAnsi="宋体" w:hint="eastAsia"/>
          <w:szCs w:val="21"/>
        </w:rPr>
        <w:t>009509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007447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022659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平安惠添纯债债券型证券投资基金（基金代码</w:t>
      </w:r>
      <w:r>
        <w:rPr>
          <w:rFonts w:ascii="宋体" w:hAnsi="宋体" w:hint="eastAsia"/>
          <w:szCs w:val="21"/>
        </w:rPr>
        <w:t>006997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平安惠文纯债债券型证券投资基金（基金代码</w:t>
      </w:r>
      <w:r>
        <w:rPr>
          <w:rFonts w:ascii="宋体" w:hAnsi="宋体" w:hint="eastAsia"/>
          <w:szCs w:val="21"/>
        </w:rPr>
        <w:t>007953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017207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017208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003286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022021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012440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012441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平安惠兴纯债债券型证券投资基金（基金代码</w:t>
      </w:r>
      <w:r>
        <w:rPr>
          <w:rFonts w:ascii="宋体" w:hAnsi="宋体" w:hint="eastAsia"/>
          <w:szCs w:val="21"/>
        </w:rPr>
        <w:t>006222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019285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019286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006264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021901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002795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安惠盈纯债债券型证券投资基金（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007954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022244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022245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014710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014711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023973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023974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020322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007054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007055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006987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006988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007645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007646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007647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010126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010127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021219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021227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015510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015511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024471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024472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019952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019953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008949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w:t>
      </w:r>
      <w:r>
        <w:rPr>
          <w:rFonts w:ascii="宋体" w:hAnsi="宋体" w:hint="eastAsia"/>
          <w:szCs w:val="21"/>
        </w:rPr>
        <w:t>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003034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015021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003465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007730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022249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015699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015700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013023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013024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009008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009009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w:t>
      </w:r>
      <w:r>
        <w:rPr>
          <w:rFonts w:ascii="宋体" w:hAnsi="宋体" w:hint="eastAsia"/>
          <w:szCs w:val="21"/>
        </w:rPr>
        <w:t>07033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008597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007758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007759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018253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018254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022977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015078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平安日增利货币市场基金（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000379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007017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007018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007019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025176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022550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022551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010239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010056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010057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011828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011829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002450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002451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023547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023548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024609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平安深证</w:t>
      </w:r>
      <w:r>
        <w:rPr>
          <w:rFonts w:ascii="宋体" w:hAnsi="宋体" w:hint="eastAsia"/>
          <w:szCs w:val="21"/>
        </w:rPr>
        <w:t>300</w:t>
      </w:r>
      <w:r>
        <w:rPr>
          <w:rFonts w:ascii="宋体" w:hAnsi="宋体" w:hint="eastAsia"/>
          <w:szCs w:val="21"/>
        </w:rPr>
        <w:t>指数增强型证券投资基金（基金代码</w:t>
      </w:r>
      <w:r>
        <w:rPr>
          <w:rFonts w:ascii="宋体" w:hAnsi="宋体" w:hint="eastAsia"/>
          <w:szCs w:val="21"/>
        </w:rPr>
        <w:t>700002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026273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026274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021675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w:t>
      </w:r>
      <w:r>
        <w:rPr>
          <w:rFonts w:ascii="宋体" w:hAnsi="宋体" w:hint="eastAsia"/>
          <w:szCs w:val="21"/>
        </w:rPr>
        <w:t>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021676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012931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010651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010652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016447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016448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w:t>
      </w:r>
      <w:r>
        <w:rPr>
          <w:rFonts w:ascii="宋体" w:hAnsi="宋体" w:hint="eastAsia"/>
          <w:szCs w:val="21"/>
        </w:rPr>
        <w:t>99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700006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015625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015626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023189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008726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008727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023578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012902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012903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023364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019457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019458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002598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002599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025923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025924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000739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C</w:t>
      </w:r>
      <w:r>
        <w:rPr>
          <w:rFonts w:ascii="宋体" w:hAnsi="宋体" w:hint="eastAsia"/>
          <w:szCs w:val="21"/>
        </w:rPr>
        <w:t>类，基金</w:t>
      </w:r>
      <w:r>
        <w:rPr>
          <w:rFonts w:ascii="宋体" w:hAnsi="宋体" w:hint="eastAsia"/>
          <w:szCs w:val="21"/>
        </w:rPr>
        <w:t>代码</w:t>
      </w:r>
      <w:r>
        <w:rPr>
          <w:rFonts w:ascii="宋体" w:hAnsi="宋体" w:hint="eastAsia"/>
          <w:szCs w:val="21"/>
        </w:rPr>
        <w:t>001515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018714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018715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001664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001665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007049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020262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020263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w:t>
      </w:r>
      <w:r>
        <w:rPr>
          <w:rFonts w:ascii="宋体" w:hAnsi="宋体" w:hint="eastAsia"/>
          <w:szCs w:val="21"/>
        </w:rPr>
        <w:t>3626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006433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011761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023606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001609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024558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007925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平安行业先锋混合型证券投资基金（基金代码</w:t>
      </w:r>
      <w:r>
        <w:rPr>
          <w:rFonts w:ascii="宋体" w:hAnsi="宋体" w:hint="eastAsia"/>
          <w:szCs w:val="21"/>
        </w:rPr>
        <w:t>700001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平安兴鑫回报一年定期开放混合型证券投资基金（基金代码</w:t>
      </w:r>
      <w:r>
        <w:rPr>
          <w:rFonts w:ascii="宋体" w:hAnsi="宋体" w:hint="eastAsia"/>
          <w:szCs w:val="21"/>
        </w:rPr>
        <w:t>011392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014811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014812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w:t>
      </w:r>
      <w:r>
        <w:rPr>
          <w:rFonts w:ascii="宋体" w:hAnsi="宋体" w:hint="eastAsia"/>
          <w:szCs w:val="21"/>
        </w:rPr>
        <w:t>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011807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011808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025065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025066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009661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009662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017533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w:t>
      </w:r>
      <w:r>
        <w:rPr>
          <w:rFonts w:ascii="宋体" w:hAnsi="宋体" w:hint="eastAsia"/>
          <w:szCs w:val="21"/>
        </w:rPr>
        <w:t>金（</w:t>
      </w:r>
      <w:r>
        <w:rPr>
          <w:rFonts w:ascii="宋体" w:hAnsi="宋体" w:hint="eastAsia"/>
          <w:szCs w:val="21"/>
        </w:rPr>
        <w:t>A</w:t>
      </w:r>
      <w:r>
        <w:rPr>
          <w:rFonts w:ascii="宋体" w:hAnsi="宋体" w:hint="eastAsia"/>
          <w:szCs w:val="21"/>
        </w:rPr>
        <w:t>类，基金代码</w:t>
      </w:r>
      <w:r>
        <w:rPr>
          <w:rFonts w:ascii="宋体" w:hAnsi="宋体" w:hint="eastAsia"/>
          <w:szCs w:val="21"/>
        </w:rPr>
        <w:t>021576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020137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024495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024496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006100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006101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012985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012986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012917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012918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012475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008911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008912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008913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016662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016663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w:t>
      </w:r>
      <w:r>
        <w:rPr>
          <w:rFonts w:ascii="宋体" w:hAnsi="宋体" w:hint="eastAsia"/>
          <w:szCs w:val="21"/>
        </w:rPr>
        <w:t>码</w:t>
      </w:r>
      <w:r>
        <w:rPr>
          <w:rFonts w:ascii="宋体" w:hAnsi="宋体" w:hint="eastAsia"/>
          <w:szCs w:val="21"/>
        </w:rPr>
        <w:t>014468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013864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013865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w:t>
      </w:r>
      <w:r>
        <w:rPr>
          <w:rFonts w:ascii="宋体" w:hAnsi="宋体" w:hint="eastAsia"/>
          <w:szCs w:val="21"/>
        </w:rPr>
        <w:t>代码</w:t>
      </w:r>
      <w:r>
        <w:rPr>
          <w:rFonts w:ascii="宋体" w:hAnsi="宋体" w:hint="eastAsia"/>
          <w:szCs w:val="21"/>
        </w:rPr>
        <w:t>021409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021410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022838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022839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013375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013376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023360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023361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015720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015721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009227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009228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009229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平安智慧中国灵活配置混合型证券投资基金（基金代码</w:t>
      </w:r>
      <w:r>
        <w:rPr>
          <w:rFonts w:ascii="宋体" w:hAnsi="宋体" w:hint="eastAsia"/>
          <w:szCs w:val="21"/>
        </w:rPr>
        <w:t>001297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004828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E</w:t>
      </w:r>
      <w:r>
        <w:rPr>
          <w:rFonts w:ascii="宋体" w:hAnsi="宋体" w:hint="eastAsia"/>
          <w:szCs w:val="21"/>
        </w:rPr>
        <w:t>类，</w:t>
      </w:r>
      <w:r>
        <w:rPr>
          <w:rFonts w:ascii="宋体" w:hAnsi="宋体" w:hint="eastAsia"/>
          <w:szCs w:val="21"/>
        </w:rPr>
        <w:t>基金代码</w:t>
      </w:r>
      <w:r>
        <w:rPr>
          <w:rFonts w:ascii="宋体" w:hAnsi="宋体" w:hint="eastAsia"/>
          <w:szCs w:val="21"/>
        </w:rPr>
        <w:t>006851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022002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014081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014082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009721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009722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025347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006214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006215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024556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009336</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009337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023184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023185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021183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021184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019598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01959</w:t>
      </w:r>
      <w:r>
        <w:rPr>
          <w:rFonts w:ascii="宋体" w:hAnsi="宋体" w:hint="eastAsia"/>
          <w:szCs w:val="21"/>
        </w:rPr>
        <w:t>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012722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012723</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022731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022732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中证汽车零部件主题交易型开放式指数证券投资基金发起式联接基金（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024542</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024887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024888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023384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023385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w:t>
      </w:r>
      <w:r>
        <w:rPr>
          <w:rFonts w:ascii="宋体" w:hAnsi="宋体" w:hint="eastAsia"/>
          <w:szCs w:val="21"/>
        </w:rPr>
        <w:t>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024610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平安中证同业存单</w:t>
      </w:r>
      <w:r>
        <w:rPr>
          <w:rFonts w:ascii="宋体" w:hAnsi="宋体" w:hint="eastAsia"/>
          <w:szCs w:val="21"/>
        </w:rPr>
        <w:t>AAA</w:t>
      </w:r>
      <w:r>
        <w:rPr>
          <w:rFonts w:ascii="宋体" w:hAnsi="宋体" w:hint="eastAsia"/>
          <w:szCs w:val="21"/>
        </w:rPr>
        <w:t>指数</w:t>
      </w:r>
      <w:r>
        <w:rPr>
          <w:rFonts w:ascii="宋体" w:hAnsi="宋体" w:hint="eastAsia"/>
          <w:szCs w:val="21"/>
        </w:rPr>
        <w:t>7</w:t>
      </w:r>
      <w:r>
        <w:rPr>
          <w:rFonts w:ascii="宋体" w:hAnsi="宋体" w:hint="eastAsia"/>
          <w:szCs w:val="21"/>
        </w:rPr>
        <w:t>天持有期证券投资基金（基金代码</w:t>
      </w:r>
      <w:r>
        <w:rPr>
          <w:rFonts w:ascii="宋体" w:hAnsi="宋体" w:hint="eastAsia"/>
          <w:szCs w:val="21"/>
        </w:rPr>
        <w:t>015645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025490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025491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026544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015894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015895</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w:t>
      </w:r>
      <w:r>
        <w:rPr>
          <w:rFonts w:ascii="宋体" w:hAnsi="宋体" w:hint="eastAsia"/>
          <w:szCs w:val="21"/>
        </w:rPr>
        <w:t>费电子主题交易型开放式指数证券投资基金发起式联接基金（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024557</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012698</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012699</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024504</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004390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004391</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025650</w:t>
      </w:r>
      <w:r>
        <w:rPr>
          <w:rFonts w:ascii="宋体" w:hAnsi="宋体" w:hint="eastAsia"/>
          <w:szCs w:val="21"/>
        </w:rPr>
        <w:t>）</w:t>
      </w:r>
    </w:p>
    <w:p w:rsidR="004B52BD" w:rsidRDefault="00F32BCB">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025651</w:t>
      </w:r>
      <w:r>
        <w:rPr>
          <w:rFonts w:ascii="宋体" w:hAnsi="宋体" w:hint="eastAsia"/>
          <w:szCs w:val="21"/>
        </w:rPr>
        <w:t>）</w:t>
      </w:r>
      <w:r>
        <w:rPr>
          <w:rFonts w:ascii="宋体" w:hAnsi="宋体" w:hint="eastAsia"/>
          <w:szCs w:val="21"/>
        </w:rPr>
        <w:t>等。</w:t>
      </w:r>
    </w:p>
    <w:p w:rsidR="004B52BD" w:rsidRDefault="00F32BC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参加基金转换的具体基金以各</w:t>
      </w:r>
      <w:r>
        <w:rPr>
          <w:rFonts w:ascii="宋体" w:hAnsi="宋体" w:hint="eastAsia"/>
          <w:szCs w:val="21"/>
        </w:rPr>
        <w:t>基金销售机构</w:t>
      </w:r>
      <w:r>
        <w:rPr>
          <w:rFonts w:ascii="宋体" w:hAnsi="宋体" w:hint="eastAsia"/>
          <w:szCs w:val="21"/>
        </w:rPr>
        <w:t>的规定为准，定期开放的基金处于开放状态时可参与转换，封闭时无法转换。</w:t>
      </w:r>
    </w:p>
    <w:p w:rsidR="004B52BD" w:rsidRDefault="00F32BCB">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4B52BD" w:rsidRDefault="00F32BCB">
      <w:pPr>
        <w:spacing w:line="360" w:lineRule="auto"/>
        <w:ind w:firstLine="420"/>
        <w:jc w:val="left"/>
        <w:rPr>
          <w:rFonts w:ascii="宋体" w:hAnsi="宋体"/>
          <w:szCs w:val="21"/>
        </w:rPr>
      </w:pPr>
      <w:r>
        <w:rPr>
          <w:rFonts w:ascii="宋体" w:hAnsi="宋体" w:hint="eastAsia"/>
          <w:szCs w:val="21"/>
        </w:rPr>
        <w:t>办理本基金与平安基金旗下其它开放式基金之间转换业务的投资者需到同时销售拟转出和转入两只基金的同一销售机构办理基金的转换业务。具体以销售机构规定为准。</w:t>
      </w:r>
    </w:p>
    <w:p w:rsidR="004B52BD" w:rsidRDefault="00F32BCB">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4B52BD" w:rsidRDefault="00F32BCB">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4B52BD" w:rsidRDefault="00F32BC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4B52BD" w:rsidRDefault="00F32BC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、投资者办理基金转换业务时，转出方的基金必须处于可赎回状态，转入方的基金必须处于可申购状态。基金转换只能在同一销售机构的同一交易账号内进行。</w:t>
      </w:r>
    </w:p>
    <w:p w:rsidR="004B52BD" w:rsidRDefault="00F32BC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4B52BD" w:rsidRDefault="00F32BCB">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、基金转换采取“未知价”法，即以申请受理当日各转出、转入基金的基金份额净值为基准进行计</w:t>
      </w:r>
      <w:r>
        <w:rPr>
          <w:rFonts w:ascii="宋体" w:hAnsi="宋体" w:hint="eastAsia"/>
          <w:szCs w:val="21"/>
        </w:rPr>
        <w:t>算。</w:t>
      </w:r>
    </w:p>
    <w:p w:rsidR="004B52BD" w:rsidRDefault="00F32BCB">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4B52BD" w:rsidRDefault="00F32BCB">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4B52BD" w:rsidRDefault="00F32BCB">
      <w:pPr>
        <w:spacing w:line="360" w:lineRule="auto"/>
        <w:ind w:firstLine="420"/>
        <w:jc w:val="left"/>
        <w:rPr>
          <w:rFonts w:ascii="宋体" w:hAnsi="宋体"/>
          <w:szCs w:val="21"/>
        </w:rPr>
      </w:pPr>
      <w:r>
        <w:rPr>
          <w:rFonts w:ascii="宋体" w:hAnsi="宋体" w:hint="eastAsia"/>
          <w:szCs w:val="21"/>
        </w:rPr>
        <w:t>7</w:t>
      </w: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w:t>
      </w:r>
    </w:p>
    <w:p w:rsidR="004B52BD" w:rsidRDefault="00F32BCB">
      <w:pPr>
        <w:spacing w:line="360" w:lineRule="auto"/>
        <w:ind w:firstLine="420"/>
        <w:jc w:val="left"/>
        <w:rPr>
          <w:rFonts w:ascii="宋体" w:hAnsi="宋体"/>
          <w:szCs w:val="21"/>
        </w:rPr>
      </w:pPr>
      <w:r>
        <w:rPr>
          <w:rFonts w:ascii="宋体" w:hAnsi="宋体" w:hint="eastAsia"/>
          <w:szCs w:val="21"/>
        </w:rPr>
        <w:t>通过本基金管理人官网交易平台转换的，每次转出份额不得低于</w:t>
      </w:r>
      <w:r>
        <w:rPr>
          <w:rFonts w:ascii="宋体" w:hAnsi="宋体" w:hint="eastAsia"/>
          <w:szCs w:val="21"/>
        </w:rPr>
        <w:t>1</w:t>
      </w:r>
      <w:r>
        <w:rPr>
          <w:rFonts w:ascii="宋体" w:hAnsi="宋体" w:hint="eastAsia"/>
          <w:szCs w:val="21"/>
        </w:rPr>
        <w:t>份。基金份额持有人全部转出时不受上述限制。</w:t>
      </w:r>
    </w:p>
    <w:p w:rsidR="004B52BD" w:rsidRDefault="00F32BCB">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4B52BD" w:rsidRDefault="00F32BCB">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4B52BD" w:rsidRDefault="00F32BCB">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4B52BD" w:rsidRDefault="00F32BCB">
      <w:pPr>
        <w:autoSpaceDE w:val="0"/>
        <w:autoSpaceDN w:val="0"/>
        <w:adjustRightInd w:val="0"/>
        <w:spacing w:line="360" w:lineRule="auto"/>
        <w:ind w:firstLineChars="100" w:firstLine="280"/>
        <w:jc w:val="left"/>
        <w:rPr>
          <w:color w:val="000000"/>
          <w:sz w:val="28"/>
          <w:szCs w:val="28"/>
        </w:rPr>
      </w:pPr>
      <w:r>
        <w:rPr>
          <w:rFonts w:hint="eastAsia"/>
          <w:color w:val="000000"/>
          <w:sz w:val="28"/>
          <w:szCs w:val="28"/>
        </w:rPr>
        <w:t>7.1</w:t>
      </w:r>
      <w:r>
        <w:rPr>
          <w:rFonts w:hint="eastAsia"/>
          <w:color w:val="000000"/>
          <w:sz w:val="28"/>
          <w:szCs w:val="28"/>
        </w:rPr>
        <w:t>直销机构</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）平安基金管理有限公司直销中心</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电话：</w:t>
      </w:r>
      <w:r>
        <w:rPr>
          <w:rFonts w:ascii="宋体" w:hAnsi="宋体" w:hint="eastAsia"/>
          <w:szCs w:val="21"/>
        </w:rPr>
        <w:t>0755-22627627</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传真：</w:t>
      </w:r>
      <w:r>
        <w:rPr>
          <w:rFonts w:ascii="宋体" w:hAnsi="宋体" w:hint="eastAsia"/>
          <w:szCs w:val="21"/>
        </w:rPr>
        <w:t>0755-23990088</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联系人：郑权</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网址：</w:t>
      </w:r>
      <w:r>
        <w:rPr>
          <w:rFonts w:ascii="宋体" w:hAnsi="宋体" w:hint="eastAsia"/>
          <w:szCs w:val="21"/>
        </w:rPr>
        <w:t>fund.pingan.com</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客户服务电话：</w:t>
      </w:r>
      <w:r>
        <w:rPr>
          <w:rFonts w:ascii="宋体" w:hAnsi="宋体" w:hint="eastAsia"/>
          <w:szCs w:val="21"/>
        </w:rPr>
        <w:t>400-800-4800</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）平安基金网上交易平台</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网址：</w:t>
      </w:r>
      <w:r>
        <w:rPr>
          <w:rFonts w:ascii="宋体" w:hAnsi="宋体" w:hint="eastAsia"/>
          <w:szCs w:val="21"/>
        </w:rPr>
        <w:t>fund.pingan.com</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联系人：张勇</w:t>
      </w:r>
    </w:p>
    <w:p w:rsidR="004B52BD" w:rsidRDefault="00F32BCB">
      <w:pPr>
        <w:autoSpaceDE w:val="0"/>
        <w:autoSpaceDN w:val="0"/>
        <w:adjustRightInd w:val="0"/>
        <w:spacing w:line="360" w:lineRule="auto"/>
        <w:jc w:val="left"/>
        <w:rPr>
          <w:rFonts w:ascii="宋体" w:hAnsi="宋体"/>
          <w:szCs w:val="21"/>
        </w:rPr>
      </w:pPr>
      <w:r>
        <w:rPr>
          <w:rFonts w:ascii="宋体" w:hAnsi="宋体" w:hint="eastAsia"/>
          <w:szCs w:val="21"/>
        </w:rPr>
        <w:t>客户服务电话：</w:t>
      </w:r>
      <w:r>
        <w:rPr>
          <w:rFonts w:ascii="宋体" w:hAnsi="宋体" w:hint="eastAsia"/>
          <w:szCs w:val="21"/>
        </w:rPr>
        <w:t>400-800-4800</w:t>
      </w:r>
    </w:p>
    <w:p w:rsidR="004B52BD" w:rsidRDefault="00F32BCB">
      <w:pPr>
        <w:autoSpaceDE w:val="0"/>
        <w:autoSpaceDN w:val="0"/>
        <w:adjustRightInd w:val="0"/>
        <w:spacing w:line="360" w:lineRule="auto"/>
        <w:ind w:firstLineChars="100" w:firstLine="280"/>
        <w:jc w:val="left"/>
        <w:rPr>
          <w:color w:val="000000"/>
          <w:sz w:val="28"/>
          <w:szCs w:val="28"/>
        </w:rPr>
      </w:pPr>
      <w:r>
        <w:rPr>
          <w:rFonts w:hint="eastAsia"/>
          <w:color w:val="000000"/>
          <w:sz w:val="28"/>
          <w:szCs w:val="28"/>
        </w:rPr>
        <w:t>7.2</w:t>
      </w:r>
      <w:r>
        <w:rPr>
          <w:rFonts w:hint="eastAsia"/>
          <w:color w:val="000000"/>
          <w:sz w:val="28"/>
          <w:szCs w:val="28"/>
        </w:rPr>
        <w:t>其它销售机构</w:t>
      </w:r>
    </w:p>
    <w:p w:rsidR="004B52BD" w:rsidRDefault="00F32BCB">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4B52BD" w:rsidRDefault="00F32BCB">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4B52BD" w:rsidRDefault="00F32BCB">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4B52BD" w:rsidRDefault="00F32BCB">
      <w:pPr>
        <w:spacing w:line="360" w:lineRule="auto"/>
        <w:ind w:firstLine="420"/>
        <w:jc w:val="left"/>
        <w:rPr>
          <w:rFonts w:ascii="宋体" w:hAnsi="宋体"/>
          <w:szCs w:val="21"/>
        </w:rPr>
      </w:pPr>
      <w:r>
        <w:rPr>
          <w:rFonts w:ascii="宋体" w:hAnsi="宋体" w:hint="eastAsia"/>
          <w:szCs w:val="21"/>
        </w:rPr>
        <w:t>在封闭期内，基金管理人应当至少每周在规定网站披露一次基金份额净值和基金份额累计净值。</w:t>
      </w:r>
    </w:p>
    <w:p w:rsidR="004B52BD" w:rsidRDefault="00F32BCB">
      <w:pPr>
        <w:spacing w:line="360" w:lineRule="auto"/>
        <w:ind w:firstLine="420"/>
        <w:jc w:val="left"/>
        <w:rPr>
          <w:rFonts w:ascii="宋体" w:hAnsi="宋体"/>
          <w:szCs w:val="21"/>
        </w:rPr>
      </w:pPr>
      <w:r>
        <w:rPr>
          <w:rFonts w:ascii="宋体" w:hAnsi="宋体" w:hint="eastAsia"/>
          <w:szCs w:val="21"/>
        </w:rPr>
        <w:t>在基金开放期每个开放日的次日，基金管理人应通过规定网站、基金销售机构网站或者营业网点披露前一开放日的基金份额净值和基金份额累计净值。</w:t>
      </w:r>
    </w:p>
    <w:p w:rsidR="004B52BD" w:rsidRDefault="00F32BCB">
      <w:pPr>
        <w:spacing w:line="360" w:lineRule="auto"/>
        <w:ind w:firstLine="420"/>
        <w:jc w:val="left"/>
        <w:rPr>
          <w:rFonts w:ascii="宋体" w:hAnsi="宋体"/>
          <w:szCs w:val="21"/>
        </w:rPr>
      </w:pPr>
      <w:r>
        <w:rPr>
          <w:rFonts w:ascii="宋体" w:hAnsi="宋体" w:hint="eastAsia"/>
          <w:szCs w:val="21"/>
        </w:rPr>
        <w:t>基金管理人应当在不晚于半年度和年度最后一日的次日，在规定网站披露半</w:t>
      </w:r>
      <w:r>
        <w:rPr>
          <w:rFonts w:ascii="宋体" w:hAnsi="宋体" w:hint="eastAsia"/>
          <w:szCs w:val="21"/>
        </w:rPr>
        <w:t>年度和年度最后一日的基金份额净值和基金份额累计净值。</w:t>
      </w:r>
    </w:p>
    <w:p w:rsidR="004B52BD" w:rsidRDefault="00F32BCB">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4B52BD" w:rsidRDefault="00F32BC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4B52BD" w:rsidRDefault="00F32BCB">
      <w:pPr>
        <w:spacing w:line="360" w:lineRule="auto"/>
        <w:ind w:firstLine="420"/>
        <w:jc w:val="left"/>
        <w:rPr>
          <w:rFonts w:ascii="宋体" w:hAnsi="宋体"/>
          <w:szCs w:val="21"/>
        </w:rPr>
      </w:pPr>
      <w:r>
        <w:rPr>
          <w:rFonts w:ascii="宋体" w:hAnsi="宋体" w:hint="eastAsia"/>
          <w:szCs w:val="21"/>
        </w:rPr>
        <w:t>投资人必须根据销售机构规定的程序，在开放期的开放日的具体业务办理时间内提出申购或赎回的申请。</w:t>
      </w:r>
    </w:p>
    <w:p w:rsidR="004B52BD" w:rsidRDefault="00F32BC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4B52BD" w:rsidRDefault="00F32BCB">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4B52BD" w:rsidRDefault="00F32BCB">
      <w:pPr>
        <w:spacing w:line="360" w:lineRule="auto"/>
        <w:ind w:firstLine="420"/>
        <w:jc w:val="left"/>
        <w:rPr>
          <w:rFonts w:ascii="宋体" w:hAnsi="宋体"/>
          <w:szCs w:val="21"/>
        </w:rPr>
      </w:pPr>
      <w:r>
        <w:rPr>
          <w:rFonts w:ascii="宋体" w:hAnsi="宋体" w:hint="eastAsia"/>
          <w:szCs w:val="21"/>
        </w:rPr>
        <w:t>基金份额持有人递交赎回申请，赎回成立；登记机构确认赎回时，赎回生效。投资人赎回申请生效后，基金管理人将在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内支付赎回款项。在发生巨额赎回或本基金合同约定的其他暂停赎回或延缓支付赎回款项的情形时，款项的支付办法参照本基金合同有关条款处理。</w:t>
      </w:r>
    </w:p>
    <w:p w:rsidR="004B52BD" w:rsidRDefault="00F32BCB">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遇交易所或交易市场数据传输延迟、通讯系统故障、银行数据交换系统故障或其他非基金管理人及基金托管人所能控制的因素影响业务处理流程，则赎回款项划付时间相应顺延。</w:t>
      </w:r>
    </w:p>
    <w:p w:rsidR="004B52BD" w:rsidRDefault="00F32BC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4B52BD" w:rsidRDefault="00F32BCB">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w:t>
      </w:r>
      <w:r>
        <w:rPr>
          <w:rFonts w:ascii="宋体" w:hAnsi="宋体" w:hint="eastAsia"/>
          <w:szCs w:val="21"/>
        </w:rPr>
        <w:t>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4B52BD" w:rsidRDefault="00F32BCB">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投资者应及时查询并妥善行使合法权利。</w:t>
      </w:r>
    </w:p>
    <w:p w:rsidR="004B52BD" w:rsidRDefault="00F32BCB">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w:t>
      </w:r>
      <w:r>
        <w:rPr>
          <w:rFonts w:ascii="宋体" w:hAnsi="宋体" w:hint="eastAsia"/>
          <w:szCs w:val="21"/>
        </w:rPr>
        <w:t>，并在调整实施前依照《信息披露办法》的有关规定在规定媒介上公告。</w:t>
      </w:r>
    </w:p>
    <w:p w:rsidR="004B52BD" w:rsidRDefault="00F32BCB">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基金合同》和《</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4B52BD" w:rsidRDefault="00F32BCB">
      <w:pPr>
        <w:spacing w:line="360" w:lineRule="auto"/>
        <w:ind w:firstLine="420"/>
        <w:jc w:val="left"/>
        <w:rPr>
          <w:rFonts w:ascii="宋体" w:hAnsi="宋体"/>
          <w:szCs w:val="21"/>
        </w:rPr>
      </w:pPr>
      <w:r>
        <w:rPr>
          <w:rFonts w:ascii="宋体" w:hAnsi="宋体"/>
          <w:szCs w:val="21"/>
        </w:rPr>
        <w:t>风险提示：</w:t>
      </w:r>
    </w:p>
    <w:p w:rsidR="004B52BD" w:rsidRDefault="00F32BCB">
      <w:pPr>
        <w:spacing w:line="360" w:lineRule="auto"/>
        <w:ind w:firstLine="420"/>
        <w:jc w:val="left"/>
        <w:rPr>
          <w:rFonts w:ascii="宋体" w:hAnsi="宋体"/>
          <w:szCs w:val="21"/>
        </w:rPr>
      </w:pPr>
      <w:r>
        <w:rPr>
          <w:rFonts w:ascii="宋体" w:hAnsi="宋体"/>
          <w:szCs w:val="21"/>
        </w:rPr>
        <w:t>基金管理人依照恪尽职守、诚实信用、谨慎勤勉的原则管理和运用基金财产，但</w:t>
      </w:r>
      <w:r>
        <w:rPr>
          <w:rFonts w:ascii="宋体" w:hAnsi="宋体"/>
          <w:szCs w:val="21"/>
        </w:rPr>
        <w:t>不保证基金一定盈利，也不保证最低收益。</w:t>
      </w:r>
    </w:p>
    <w:p w:rsidR="004B52BD" w:rsidRDefault="00F32BCB">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4B52BD" w:rsidRDefault="00F32BCB">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w:t>
      </w: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个月定期开放债券型发起式证券投资基金招</w:t>
      </w:r>
      <w:r>
        <w:rPr>
          <w:rFonts w:ascii="宋体" w:hAnsi="宋体"/>
          <w:szCs w:val="21"/>
        </w:rPr>
        <w:t>募说明书》等基金法律文件，了解基金的风险收益特征，并根据自身的风险承受能力选择适合自己的基金产品。</w:t>
      </w:r>
    </w:p>
    <w:p w:rsidR="004B52BD" w:rsidRDefault="004B52BD">
      <w:pPr>
        <w:spacing w:line="360" w:lineRule="auto"/>
        <w:ind w:firstLine="420"/>
        <w:jc w:val="left"/>
        <w:rPr>
          <w:rFonts w:ascii="宋体" w:hAnsi="宋体"/>
          <w:szCs w:val="21"/>
        </w:rPr>
      </w:pPr>
    </w:p>
    <w:p w:rsidR="004B52BD" w:rsidRDefault="00F32BCB">
      <w:pPr>
        <w:spacing w:line="360" w:lineRule="auto"/>
        <w:ind w:firstLine="420"/>
        <w:jc w:val="right"/>
        <w:rPr>
          <w:rFonts w:ascii="宋体" w:hAnsi="宋体"/>
          <w:szCs w:val="21"/>
        </w:rPr>
      </w:pPr>
      <w:r>
        <w:rPr>
          <w:rFonts w:ascii="宋体" w:hAnsi="宋体"/>
          <w:szCs w:val="21"/>
        </w:rPr>
        <w:t>平安基金管理有限公司</w:t>
      </w:r>
    </w:p>
    <w:p w:rsidR="004B52BD" w:rsidRDefault="00F32BCB">
      <w:pPr>
        <w:spacing w:line="360" w:lineRule="auto"/>
        <w:ind w:firstLine="420"/>
        <w:jc w:val="right"/>
        <w:rPr>
          <w:szCs w:val="28"/>
        </w:rPr>
      </w:pPr>
      <w:r>
        <w:rPr>
          <w:rFonts w:ascii="宋体" w:hAnsi="宋体" w:hint="eastAsia"/>
          <w:szCs w:val="21"/>
        </w:rPr>
        <w:t>2026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15</w:t>
      </w:r>
      <w:r>
        <w:rPr>
          <w:rFonts w:ascii="宋体" w:hAnsi="宋体" w:hint="eastAsia"/>
          <w:szCs w:val="21"/>
        </w:rPr>
        <w:t>日</w:t>
      </w:r>
    </w:p>
    <w:sectPr w:rsidR="004B52BD" w:rsidSect="004B52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2BD" w:rsidRDefault="004B52BD" w:rsidP="004B52BD">
      <w:r>
        <w:separator/>
      </w:r>
    </w:p>
  </w:endnote>
  <w:endnote w:type="continuationSeparator" w:id="0">
    <w:p w:rsidR="004B52BD" w:rsidRDefault="004B52BD" w:rsidP="004B5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297420"/>
    </w:sdtPr>
    <w:sdtContent>
      <w:p w:rsidR="004B52BD" w:rsidRDefault="004B52BD">
        <w:pPr>
          <w:pStyle w:val="a5"/>
          <w:jc w:val="center"/>
        </w:pPr>
        <w:r>
          <w:fldChar w:fldCharType="begin"/>
        </w:r>
        <w:r w:rsidR="00F32BCB">
          <w:instrText>PAGE   \* MERGEFORMAT</w:instrText>
        </w:r>
        <w:r>
          <w:fldChar w:fldCharType="separate"/>
        </w:r>
        <w:r w:rsidR="00F32BCB" w:rsidRPr="00F32BCB">
          <w:rPr>
            <w:noProof/>
            <w:lang w:val="zh-CN"/>
          </w:rPr>
          <w:t>1</w:t>
        </w:r>
        <w:r>
          <w:fldChar w:fldCharType="end"/>
        </w:r>
      </w:p>
    </w:sdtContent>
  </w:sdt>
  <w:p w:rsidR="004B52BD" w:rsidRDefault="004B52B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2BD" w:rsidRDefault="004B52BD" w:rsidP="004B52BD">
      <w:r>
        <w:separator/>
      </w:r>
    </w:p>
  </w:footnote>
  <w:footnote w:type="continuationSeparator" w:id="0">
    <w:p w:rsidR="004B52BD" w:rsidRDefault="004B52BD" w:rsidP="004B5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8F730A"/>
    <w:multiLevelType w:val="singleLevel"/>
    <w:tmpl w:val="CE8F730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trackRevision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E2DE3"/>
    <w:rsid w:val="00002E30"/>
    <w:rsid w:val="00005BF8"/>
    <w:rsid w:val="00011202"/>
    <w:rsid w:val="00013B78"/>
    <w:rsid w:val="0002187E"/>
    <w:rsid w:val="00032E2F"/>
    <w:rsid w:val="000346F3"/>
    <w:rsid w:val="000467E5"/>
    <w:rsid w:val="000508FA"/>
    <w:rsid w:val="00054A19"/>
    <w:rsid w:val="00076055"/>
    <w:rsid w:val="00076F62"/>
    <w:rsid w:val="00082BD9"/>
    <w:rsid w:val="00083A59"/>
    <w:rsid w:val="000901C8"/>
    <w:rsid w:val="00093A46"/>
    <w:rsid w:val="00096761"/>
    <w:rsid w:val="000A31BF"/>
    <w:rsid w:val="000B070C"/>
    <w:rsid w:val="000C32CE"/>
    <w:rsid w:val="000C7A20"/>
    <w:rsid w:val="000D6A0E"/>
    <w:rsid w:val="000F6B8F"/>
    <w:rsid w:val="00101669"/>
    <w:rsid w:val="001125B1"/>
    <w:rsid w:val="00116FEC"/>
    <w:rsid w:val="00120529"/>
    <w:rsid w:val="001249CD"/>
    <w:rsid w:val="00131E55"/>
    <w:rsid w:val="00134920"/>
    <w:rsid w:val="001349E8"/>
    <w:rsid w:val="00142E33"/>
    <w:rsid w:val="00142F86"/>
    <w:rsid w:val="001523C5"/>
    <w:rsid w:val="001579AF"/>
    <w:rsid w:val="0016547B"/>
    <w:rsid w:val="001671EE"/>
    <w:rsid w:val="0017082A"/>
    <w:rsid w:val="0017287E"/>
    <w:rsid w:val="00175D19"/>
    <w:rsid w:val="001808F6"/>
    <w:rsid w:val="00183064"/>
    <w:rsid w:val="001862FF"/>
    <w:rsid w:val="00192511"/>
    <w:rsid w:val="00196BD9"/>
    <w:rsid w:val="001A18BA"/>
    <w:rsid w:val="001A385D"/>
    <w:rsid w:val="001B00F2"/>
    <w:rsid w:val="001C379E"/>
    <w:rsid w:val="001C44F7"/>
    <w:rsid w:val="001C75AB"/>
    <w:rsid w:val="001C77B0"/>
    <w:rsid w:val="001D3B26"/>
    <w:rsid w:val="001D4F2A"/>
    <w:rsid w:val="001D4F86"/>
    <w:rsid w:val="001D5980"/>
    <w:rsid w:val="001E1ABC"/>
    <w:rsid w:val="001E2DE3"/>
    <w:rsid w:val="00225571"/>
    <w:rsid w:val="00225C49"/>
    <w:rsid w:val="00234095"/>
    <w:rsid w:val="00235E20"/>
    <w:rsid w:val="00236686"/>
    <w:rsid w:val="00237A63"/>
    <w:rsid w:val="002416FC"/>
    <w:rsid w:val="002431A1"/>
    <w:rsid w:val="00245043"/>
    <w:rsid w:val="00246CB3"/>
    <w:rsid w:val="00250C9B"/>
    <w:rsid w:val="00255CEE"/>
    <w:rsid w:val="00260E03"/>
    <w:rsid w:val="002711A0"/>
    <w:rsid w:val="00272017"/>
    <w:rsid w:val="002729CE"/>
    <w:rsid w:val="0028068B"/>
    <w:rsid w:val="0029277B"/>
    <w:rsid w:val="002A42A1"/>
    <w:rsid w:val="002B330C"/>
    <w:rsid w:val="002B672A"/>
    <w:rsid w:val="002C1662"/>
    <w:rsid w:val="002C4FC9"/>
    <w:rsid w:val="002D542B"/>
    <w:rsid w:val="002E753B"/>
    <w:rsid w:val="00304A84"/>
    <w:rsid w:val="003112FF"/>
    <w:rsid w:val="00312903"/>
    <w:rsid w:val="0031291C"/>
    <w:rsid w:val="003174BC"/>
    <w:rsid w:val="00322CC9"/>
    <w:rsid w:val="0032436F"/>
    <w:rsid w:val="003256D3"/>
    <w:rsid w:val="003372EE"/>
    <w:rsid w:val="00347A7F"/>
    <w:rsid w:val="00353D20"/>
    <w:rsid w:val="0036263A"/>
    <w:rsid w:val="00375CB3"/>
    <w:rsid w:val="00375D4C"/>
    <w:rsid w:val="00390CD1"/>
    <w:rsid w:val="00391A43"/>
    <w:rsid w:val="003931D4"/>
    <w:rsid w:val="00395D56"/>
    <w:rsid w:val="003A4B13"/>
    <w:rsid w:val="003A7BFE"/>
    <w:rsid w:val="003B0D98"/>
    <w:rsid w:val="003B1511"/>
    <w:rsid w:val="003B4CD5"/>
    <w:rsid w:val="003C1918"/>
    <w:rsid w:val="003D09C9"/>
    <w:rsid w:val="003E148C"/>
    <w:rsid w:val="003E56A2"/>
    <w:rsid w:val="003E7D89"/>
    <w:rsid w:val="00400632"/>
    <w:rsid w:val="00403C89"/>
    <w:rsid w:val="004075C5"/>
    <w:rsid w:val="004144DD"/>
    <w:rsid w:val="00415946"/>
    <w:rsid w:val="00420B84"/>
    <w:rsid w:val="00420D47"/>
    <w:rsid w:val="0042330B"/>
    <w:rsid w:val="004276C6"/>
    <w:rsid w:val="00427C48"/>
    <w:rsid w:val="00430D69"/>
    <w:rsid w:val="00431F60"/>
    <w:rsid w:val="0043531D"/>
    <w:rsid w:val="004418CD"/>
    <w:rsid w:val="004436A4"/>
    <w:rsid w:val="00444CDB"/>
    <w:rsid w:val="00446B8E"/>
    <w:rsid w:val="00453F55"/>
    <w:rsid w:val="00461F0C"/>
    <w:rsid w:val="00465171"/>
    <w:rsid w:val="0046616A"/>
    <w:rsid w:val="00467CEC"/>
    <w:rsid w:val="0047712C"/>
    <w:rsid w:val="00482F12"/>
    <w:rsid w:val="00487FFC"/>
    <w:rsid w:val="00491A86"/>
    <w:rsid w:val="00491E72"/>
    <w:rsid w:val="0049354E"/>
    <w:rsid w:val="004A21F2"/>
    <w:rsid w:val="004A37E1"/>
    <w:rsid w:val="004A573E"/>
    <w:rsid w:val="004A72AF"/>
    <w:rsid w:val="004A7AC4"/>
    <w:rsid w:val="004B1094"/>
    <w:rsid w:val="004B52BD"/>
    <w:rsid w:val="004B6801"/>
    <w:rsid w:val="004B6A52"/>
    <w:rsid w:val="004C1572"/>
    <w:rsid w:val="004D5F12"/>
    <w:rsid w:val="004E5269"/>
    <w:rsid w:val="004E6BE1"/>
    <w:rsid w:val="004F424E"/>
    <w:rsid w:val="0050737E"/>
    <w:rsid w:val="005134C2"/>
    <w:rsid w:val="0051414D"/>
    <w:rsid w:val="00520B95"/>
    <w:rsid w:val="005243D5"/>
    <w:rsid w:val="00526221"/>
    <w:rsid w:val="005353D7"/>
    <w:rsid w:val="00543D3E"/>
    <w:rsid w:val="00543F52"/>
    <w:rsid w:val="00546968"/>
    <w:rsid w:val="00547050"/>
    <w:rsid w:val="005471EA"/>
    <w:rsid w:val="00550076"/>
    <w:rsid w:val="005529A8"/>
    <w:rsid w:val="00554C26"/>
    <w:rsid w:val="005553F3"/>
    <w:rsid w:val="00581ADC"/>
    <w:rsid w:val="00584B67"/>
    <w:rsid w:val="00587E49"/>
    <w:rsid w:val="00593AA2"/>
    <w:rsid w:val="005A0468"/>
    <w:rsid w:val="005A1D3B"/>
    <w:rsid w:val="005A512A"/>
    <w:rsid w:val="005A6029"/>
    <w:rsid w:val="005B3621"/>
    <w:rsid w:val="005B3A50"/>
    <w:rsid w:val="005B5580"/>
    <w:rsid w:val="005B64ED"/>
    <w:rsid w:val="005B70A9"/>
    <w:rsid w:val="005C6A6C"/>
    <w:rsid w:val="005D0DD4"/>
    <w:rsid w:val="005D12B7"/>
    <w:rsid w:val="005D28CF"/>
    <w:rsid w:val="005E07D1"/>
    <w:rsid w:val="005E1990"/>
    <w:rsid w:val="005F1088"/>
    <w:rsid w:val="005F2B56"/>
    <w:rsid w:val="005F50BA"/>
    <w:rsid w:val="005F622D"/>
    <w:rsid w:val="005F6895"/>
    <w:rsid w:val="005F70B4"/>
    <w:rsid w:val="006009CF"/>
    <w:rsid w:val="006048DC"/>
    <w:rsid w:val="006074C0"/>
    <w:rsid w:val="00610EC6"/>
    <w:rsid w:val="0061674C"/>
    <w:rsid w:val="0062462A"/>
    <w:rsid w:val="00633E08"/>
    <w:rsid w:val="00634EF4"/>
    <w:rsid w:val="0063728D"/>
    <w:rsid w:val="00637734"/>
    <w:rsid w:val="00640A9D"/>
    <w:rsid w:val="00647143"/>
    <w:rsid w:val="006577FC"/>
    <w:rsid w:val="006633D3"/>
    <w:rsid w:val="006645D1"/>
    <w:rsid w:val="006700B9"/>
    <w:rsid w:val="00670985"/>
    <w:rsid w:val="00680F6F"/>
    <w:rsid w:val="006818C7"/>
    <w:rsid w:val="00684291"/>
    <w:rsid w:val="006862CD"/>
    <w:rsid w:val="00687ADA"/>
    <w:rsid w:val="006A72D6"/>
    <w:rsid w:val="006B0307"/>
    <w:rsid w:val="006B1DF8"/>
    <w:rsid w:val="006B5A10"/>
    <w:rsid w:val="006B6736"/>
    <w:rsid w:val="006C18CD"/>
    <w:rsid w:val="006C2121"/>
    <w:rsid w:val="006C3FE6"/>
    <w:rsid w:val="006D2CA6"/>
    <w:rsid w:val="006D70DF"/>
    <w:rsid w:val="006E4486"/>
    <w:rsid w:val="006F4FB1"/>
    <w:rsid w:val="006F657D"/>
    <w:rsid w:val="006F720C"/>
    <w:rsid w:val="00702424"/>
    <w:rsid w:val="0071118D"/>
    <w:rsid w:val="007120B4"/>
    <w:rsid w:val="00712EF5"/>
    <w:rsid w:val="007248B7"/>
    <w:rsid w:val="00732777"/>
    <w:rsid w:val="00734F7E"/>
    <w:rsid w:val="007404B4"/>
    <w:rsid w:val="00744475"/>
    <w:rsid w:val="0074647E"/>
    <w:rsid w:val="00752C5D"/>
    <w:rsid w:val="0075350C"/>
    <w:rsid w:val="007556A5"/>
    <w:rsid w:val="007603EA"/>
    <w:rsid w:val="00762AF3"/>
    <w:rsid w:val="0076637D"/>
    <w:rsid w:val="00766CC8"/>
    <w:rsid w:val="00774127"/>
    <w:rsid w:val="00780AC0"/>
    <w:rsid w:val="007831EB"/>
    <w:rsid w:val="00783D22"/>
    <w:rsid w:val="00790983"/>
    <w:rsid w:val="00795F03"/>
    <w:rsid w:val="007A344C"/>
    <w:rsid w:val="007B1887"/>
    <w:rsid w:val="007C17CC"/>
    <w:rsid w:val="007D0990"/>
    <w:rsid w:val="007D7AF0"/>
    <w:rsid w:val="007E331C"/>
    <w:rsid w:val="007E3541"/>
    <w:rsid w:val="00806B37"/>
    <w:rsid w:val="00807742"/>
    <w:rsid w:val="00826E31"/>
    <w:rsid w:val="00835452"/>
    <w:rsid w:val="0083733C"/>
    <w:rsid w:val="00864265"/>
    <w:rsid w:val="008708D9"/>
    <w:rsid w:val="00896976"/>
    <w:rsid w:val="008A134B"/>
    <w:rsid w:val="008A508B"/>
    <w:rsid w:val="008A6FFC"/>
    <w:rsid w:val="008B0DB0"/>
    <w:rsid w:val="008C6869"/>
    <w:rsid w:val="008D0250"/>
    <w:rsid w:val="008D2319"/>
    <w:rsid w:val="0090086B"/>
    <w:rsid w:val="0090783F"/>
    <w:rsid w:val="00910AF4"/>
    <w:rsid w:val="00910E54"/>
    <w:rsid w:val="009131AB"/>
    <w:rsid w:val="009147B6"/>
    <w:rsid w:val="00920231"/>
    <w:rsid w:val="00922104"/>
    <w:rsid w:val="009225CA"/>
    <w:rsid w:val="00925C6B"/>
    <w:rsid w:val="00930B0F"/>
    <w:rsid w:val="0093382D"/>
    <w:rsid w:val="0093791B"/>
    <w:rsid w:val="00945B46"/>
    <w:rsid w:val="00957AE1"/>
    <w:rsid w:val="00970829"/>
    <w:rsid w:val="00974A63"/>
    <w:rsid w:val="00974D93"/>
    <w:rsid w:val="0098504F"/>
    <w:rsid w:val="00993E59"/>
    <w:rsid w:val="009A4CA5"/>
    <w:rsid w:val="009A709E"/>
    <w:rsid w:val="009C15F4"/>
    <w:rsid w:val="009C37A8"/>
    <w:rsid w:val="009C50BB"/>
    <w:rsid w:val="009C5792"/>
    <w:rsid w:val="009D5359"/>
    <w:rsid w:val="009E246E"/>
    <w:rsid w:val="009E5294"/>
    <w:rsid w:val="009F5F89"/>
    <w:rsid w:val="00A00952"/>
    <w:rsid w:val="00A01364"/>
    <w:rsid w:val="00A01AD6"/>
    <w:rsid w:val="00A3393F"/>
    <w:rsid w:val="00A50331"/>
    <w:rsid w:val="00A57C11"/>
    <w:rsid w:val="00A608EF"/>
    <w:rsid w:val="00A64AE2"/>
    <w:rsid w:val="00A753DF"/>
    <w:rsid w:val="00A82355"/>
    <w:rsid w:val="00A84D17"/>
    <w:rsid w:val="00A9146B"/>
    <w:rsid w:val="00A94AA1"/>
    <w:rsid w:val="00AA1C12"/>
    <w:rsid w:val="00AA25C7"/>
    <w:rsid w:val="00AA62E3"/>
    <w:rsid w:val="00AB2524"/>
    <w:rsid w:val="00AC0132"/>
    <w:rsid w:val="00AC36BE"/>
    <w:rsid w:val="00AC5B9E"/>
    <w:rsid w:val="00AD2893"/>
    <w:rsid w:val="00AD6C02"/>
    <w:rsid w:val="00AE647F"/>
    <w:rsid w:val="00AF0EBC"/>
    <w:rsid w:val="00AF10DE"/>
    <w:rsid w:val="00AF1842"/>
    <w:rsid w:val="00B04FE1"/>
    <w:rsid w:val="00B07D3E"/>
    <w:rsid w:val="00B13026"/>
    <w:rsid w:val="00B148A5"/>
    <w:rsid w:val="00B16CF3"/>
    <w:rsid w:val="00B2578C"/>
    <w:rsid w:val="00B26B0E"/>
    <w:rsid w:val="00B308EB"/>
    <w:rsid w:val="00B30D33"/>
    <w:rsid w:val="00B3142F"/>
    <w:rsid w:val="00B325AA"/>
    <w:rsid w:val="00B33F7E"/>
    <w:rsid w:val="00B422FD"/>
    <w:rsid w:val="00B4323C"/>
    <w:rsid w:val="00B44E77"/>
    <w:rsid w:val="00B56A45"/>
    <w:rsid w:val="00B624C0"/>
    <w:rsid w:val="00B63EDE"/>
    <w:rsid w:val="00B67074"/>
    <w:rsid w:val="00B832D0"/>
    <w:rsid w:val="00B848AD"/>
    <w:rsid w:val="00B85221"/>
    <w:rsid w:val="00B85492"/>
    <w:rsid w:val="00B96CBE"/>
    <w:rsid w:val="00BA0103"/>
    <w:rsid w:val="00BA3B0F"/>
    <w:rsid w:val="00BB4311"/>
    <w:rsid w:val="00BB5D66"/>
    <w:rsid w:val="00BB7193"/>
    <w:rsid w:val="00BC0192"/>
    <w:rsid w:val="00BC1798"/>
    <w:rsid w:val="00BC2990"/>
    <w:rsid w:val="00BE3527"/>
    <w:rsid w:val="00BE37F0"/>
    <w:rsid w:val="00BE41DA"/>
    <w:rsid w:val="00C01AA4"/>
    <w:rsid w:val="00C06EB9"/>
    <w:rsid w:val="00C1099A"/>
    <w:rsid w:val="00C123B8"/>
    <w:rsid w:val="00C26AC9"/>
    <w:rsid w:val="00C304AA"/>
    <w:rsid w:val="00C32416"/>
    <w:rsid w:val="00C334EB"/>
    <w:rsid w:val="00C34C73"/>
    <w:rsid w:val="00C3791D"/>
    <w:rsid w:val="00C43D3B"/>
    <w:rsid w:val="00C50381"/>
    <w:rsid w:val="00C5508A"/>
    <w:rsid w:val="00C555D8"/>
    <w:rsid w:val="00C55DD1"/>
    <w:rsid w:val="00C57416"/>
    <w:rsid w:val="00C60D4E"/>
    <w:rsid w:val="00C6155A"/>
    <w:rsid w:val="00C66BA0"/>
    <w:rsid w:val="00C700A0"/>
    <w:rsid w:val="00C7685A"/>
    <w:rsid w:val="00C76895"/>
    <w:rsid w:val="00C8067D"/>
    <w:rsid w:val="00C921E8"/>
    <w:rsid w:val="00CA44C3"/>
    <w:rsid w:val="00CB2D4B"/>
    <w:rsid w:val="00CB6D9A"/>
    <w:rsid w:val="00CC0FF9"/>
    <w:rsid w:val="00CC12BD"/>
    <w:rsid w:val="00CC35E4"/>
    <w:rsid w:val="00CC6975"/>
    <w:rsid w:val="00CC74AC"/>
    <w:rsid w:val="00CD20AE"/>
    <w:rsid w:val="00CD4C7A"/>
    <w:rsid w:val="00CD4C8B"/>
    <w:rsid w:val="00CD55CA"/>
    <w:rsid w:val="00CD6960"/>
    <w:rsid w:val="00CE3792"/>
    <w:rsid w:val="00CE6CC8"/>
    <w:rsid w:val="00CF31BA"/>
    <w:rsid w:val="00D07D81"/>
    <w:rsid w:val="00D17F8F"/>
    <w:rsid w:val="00D22AFB"/>
    <w:rsid w:val="00D264D3"/>
    <w:rsid w:val="00D400E9"/>
    <w:rsid w:val="00D43BB0"/>
    <w:rsid w:val="00D55CF1"/>
    <w:rsid w:val="00D56E5D"/>
    <w:rsid w:val="00D573E1"/>
    <w:rsid w:val="00D60D55"/>
    <w:rsid w:val="00D61EAE"/>
    <w:rsid w:val="00D66FD1"/>
    <w:rsid w:val="00D67F37"/>
    <w:rsid w:val="00D7048D"/>
    <w:rsid w:val="00D73506"/>
    <w:rsid w:val="00D75E40"/>
    <w:rsid w:val="00D831E4"/>
    <w:rsid w:val="00D86863"/>
    <w:rsid w:val="00DA2264"/>
    <w:rsid w:val="00DA5656"/>
    <w:rsid w:val="00DB00D4"/>
    <w:rsid w:val="00DB57A6"/>
    <w:rsid w:val="00DB662B"/>
    <w:rsid w:val="00DC009D"/>
    <w:rsid w:val="00DD14BF"/>
    <w:rsid w:val="00DD33D5"/>
    <w:rsid w:val="00DE344E"/>
    <w:rsid w:val="00DE3472"/>
    <w:rsid w:val="00DF3FE6"/>
    <w:rsid w:val="00DF6767"/>
    <w:rsid w:val="00E033AE"/>
    <w:rsid w:val="00E04863"/>
    <w:rsid w:val="00E05A24"/>
    <w:rsid w:val="00E07131"/>
    <w:rsid w:val="00E14A0B"/>
    <w:rsid w:val="00E31A3E"/>
    <w:rsid w:val="00E321E2"/>
    <w:rsid w:val="00E32CA4"/>
    <w:rsid w:val="00E34FB5"/>
    <w:rsid w:val="00E66A32"/>
    <w:rsid w:val="00E70D09"/>
    <w:rsid w:val="00E87CD3"/>
    <w:rsid w:val="00E9245A"/>
    <w:rsid w:val="00EC1FED"/>
    <w:rsid w:val="00EC2635"/>
    <w:rsid w:val="00EC5830"/>
    <w:rsid w:val="00ED1A3E"/>
    <w:rsid w:val="00EE1FCB"/>
    <w:rsid w:val="00EE4401"/>
    <w:rsid w:val="00EE5511"/>
    <w:rsid w:val="00EE630C"/>
    <w:rsid w:val="00EF736C"/>
    <w:rsid w:val="00F067E3"/>
    <w:rsid w:val="00F16D0B"/>
    <w:rsid w:val="00F2014D"/>
    <w:rsid w:val="00F23F94"/>
    <w:rsid w:val="00F2572E"/>
    <w:rsid w:val="00F302AF"/>
    <w:rsid w:val="00F32BCB"/>
    <w:rsid w:val="00F5032E"/>
    <w:rsid w:val="00F50F9C"/>
    <w:rsid w:val="00F612CB"/>
    <w:rsid w:val="00F67080"/>
    <w:rsid w:val="00F70859"/>
    <w:rsid w:val="00F71E73"/>
    <w:rsid w:val="00F72566"/>
    <w:rsid w:val="00F77178"/>
    <w:rsid w:val="00F82015"/>
    <w:rsid w:val="00F918CA"/>
    <w:rsid w:val="00F947D9"/>
    <w:rsid w:val="00F97A74"/>
    <w:rsid w:val="00FA614F"/>
    <w:rsid w:val="00FB3324"/>
    <w:rsid w:val="00FB39AB"/>
    <w:rsid w:val="00FB68AA"/>
    <w:rsid w:val="00FB7F53"/>
    <w:rsid w:val="00FC43ED"/>
    <w:rsid w:val="00FC600B"/>
    <w:rsid w:val="00FE005E"/>
    <w:rsid w:val="00FE1EFC"/>
    <w:rsid w:val="00FE31D4"/>
    <w:rsid w:val="00FE6A76"/>
    <w:rsid w:val="00FF20CC"/>
    <w:rsid w:val="00FF3514"/>
    <w:rsid w:val="029C5FFD"/>
    <w:rsid w:val="0BC8618A"/>
    <w:rsid w:val="1BBB7A8F"/>
    <w:rsid w:val="2F3F70DA"/>
    <w:rsid w:val="314E0428"/>
    <w:rsid w:val="32DB0D31"/>
    <w:rsid w:val="35151C0C"/>
    <w:rsid w:val="39561028"/>
    <w:rsid w:val="45E56BCD"/>
    <w:rsid w:val="49970403"/>
    <w:rsid w:val="4AD72E25"/>
    <w:rsid w:val="4D0C4BD3"/>
    <w:rsid w:val="4DE014AF"/>
    <w:rsid w:val="4EBC04A3"/>
    <w:rsid w:val="50EC36EE"/>
    <w:rsid w:val="61C12837"/>
    <w:rsid w:val="6C9846B8"/>
    <w:rsid w:val="715F71FD"/>
    <w:rsid w:val="72357697"/>
    <w:rsid w:val="7DF612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B52BD"/>
    <w:pPr>
      <w:jc w:val="left"/>
    </w:pPr>
  </w:style>
  <w:style w:type="paragraph" w:styleId="a4">
    <w:name w:val="Balloon Text"/>
    <w:basedOn w:val="a"/>
    <w:link w:val="Char0"/>
    <w:uiPriority w:val="99"/>
    <w:semiHidden/>
    <w:unhideWhenUsed/>
    <w:qFormat/>
    <w:rsid w:val="004B52BD"/>
    <w:rPr>
      <w:sz w:val="18"/>
      <w:szCs w:val="18"/>
    </w:rPr>
  </w:style>
  <w:style w:type="paragraph" w:styleId="a5">
    <w:name w:val="footer"/>
    <w:basedOn w:val="a"/>
    <w:link w:val="Char1"/>
    <w:uiPriority w:val="99"/>
    <w:unhideWhenUsed/>
    <w:qFormat/>
    <w:rsid w:val="004B52B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B52B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4B52BD"/>
    <w:rPr>
      <w:b/>
      <w:bCs/>
    </w:rPr>
  </w:style>
  <w:style w:type="table" w:styleId="a8">
    <w:name w:val="Table Grid"/>
    <w:basedOn w:val="a1"/>
    <w:uiPriority w:val="59"/>
    <w:qFormat/>
    <w:rsid w:val="004B5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4B52BD"/>
    <w:rPr>
      <w:color w:val="0000FF" w:themeColor="hyperlink"/>
      <w:u w:val="single"/>
    </w:rPr>
  </w:style>
  <w:style w:type="character" w:styleId="aa">
    <w:name w:val="annotation reference"/>
    <w:basedOn w:val="a0"/>
    <w:uiPriority w:val="99"/>
    <w:semiHidden/>
    <w:unhideWhenUsed/>
    <w:qFormat/>
    <w:rsid w:val="004B52BD"/>
    <w:rPr>
      <w:sz w:val="21"/>
      <w:szCs w:val="21"/>
    </w:rPr>
  </w:style>
  <w:style w:type="character" w:customStyle="1" w:styleId="Char2">
    <w:name w:val="页眉 Char"/>
    <w:basedOn w:val="a0"/>
    <w:link w:val="a6"/>
    <w:uiPriority w:val="99"/>
    <w:qFormat/>
    <w:rsid w:val="004B52BD"/>
    <w:rPr>
      <w:sz w:val="18"/>
      <w:szCs w:val="18"/>
    </w:rPr>
  </w:style>
  <w:style w:type="character" w:customStyle="1" w:styleId="Char1">
    <w:name w:val="页脚 Char"/>
    <w:basedOn w:val="a0"/>
    <w:link w:val="a5"/>
    <w:uiPriority w:val="99"/>
    <w:qFormat/>
    <w:rsid w:val="004B52BD"/>
    <w:rPr>
      <w:sz w:val="18"/>
      <w:szCs w:val="18"/>
    </w:rPr>
  </w:style>
  <w:style w:type="paragraph" w:customStyle="1" w:styleId="Default">
    <w:name w:val="Default"/>
    <w:qFormat/>
    <w:rsid w:val="004B52BD"/>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文字 Char"/>
    <w:basedOn w:val="a0"/>
    <w:link w:val="a3"/>
    <w:uiPriority w:val="99"/>
    <w:semiHidden/>
    <w:qFormat/>
    <w:rsid w:val="004B52BD"/>
  </w:style>
  <w:style w:type="character" w:customStyle="1" w:styleId="Char3">
    <w:name w:val="批注主题 Char"/>
    <w:basedOn w:val="Char"/>
    <w:link w:val="a7"/>
    <w:uiPriority w:val="99"/>
    <w:semiHidden/>
    <w:qFormat/>
    <w:rsid w:val="004B52BD"/>
    <w:rPr>
      <w:b/>
      <w:bCs/>
    </w:rPr>
  </w:style>
  <w:style w:type="character" w:customStyle="1" w:styleId="Char0">
    <w:name w:val="批注框文本 Char"/>
    <w:basedOn w:val="a0"/>
    <w:link w:val="a4"/>
    <w:uiPriority w:val="99"/>
    <w:semiHidden/>
    <w:qFormat/>
    <w:rsid w:val="004B52BD"/>
    <w:rPr>
      <w:sz w:val="18"/>
      <w:szCs w:val="18"/>
    </w:rPr>
  </w:style>
  <w:style w:type="paragraph" w:customStyle="1" w:styleId="1">
    <w:name w:val="修订1"/>
    <w:hidden/>
    <w:uiPriority w:val="99"/>
    <w:semiHidden/>
    <w:qFormat/>
    <w:rsid w:val="004B52BD"/>
    <w:rPr>
      <w:rFonts w:asciiTheme="minorHAnsi" w:eastAsiaTheme="minorEastAsia" w:hAnsiTheme="minorHAnsi" w:cstheme="minorBidi"/>
      <w:kern w:val="2"/>
      <w:sz w:val="21"/>
      <w:szCs w:val="22"/>
    </w:rPr>
  </w:style>
  <w:style w:type="paragraph" w:styleId="ab">
    <w:name w:val="No Spacing"/>
    <w:uiPriority w:val="1"/>
    <w:qFormat/>
    <w:rsid w:val="004B52BD"/>
    <w:pPr>
      <w:widowControl w:val="0"/>
      <w:jc w:val="both"/>
    </w:pPr>
    <w:rPr>
      <w:rFonts w:asciiTheme="minorHAnsi" w:eastAsiaTheme="minorEastAsia" w:hAnsiTheme="minorHAnsi" w:cstheme="minorBidi"/>
      <w:kern w:val="2"/>
      <w:sz w:val="21"/>
      <w:szCs w:val="22"/>
    </w:rPr>
  </w:style>
  <w:style w:type="paragraph" w:styleId="ac">
    <w:name w:val="List Paragraph"/>
    <w:basedOn w:val="a"/>
    <w:uiPriority w:val="34"/>
    <w:qFormat/>
    <w:rsid w:val="004B52B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3064</Words>
  <Characters>17469</Characters>
  <Application>Microsoft Office Word</Application>
  <DocSecurity>4</DocSecurity>
  <Lines>145</Lines>
  <Paragraphs>40</Paragraphs>
  <ScaleCrop>false</ScaleCrop>
  <Company>中国平安保险(集团)股份有限公司</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2026-01-14T16:01:00Z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DF55267FA53844BBA7C505B1DEDB1EC4_12</vt:lpwstr>
  </property>
</Properties>
</file>