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E76" w:rsidRDefault="009C1E76" w:rsidP="009C1E76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天弘基金管理有限公司关于</w:t>
      </w:r>
      <w:r w:rsidR="0046671D">
        <w:rPr>
          <w:rFonts w:ascii="黑体" w:eastAsia="黑体" w:hAnsi="黑体" w:hint="eastAsia"/>
          <w:b/>
          <w:sz w:val="30"/>
          <w:szCs w:val="30"/>
        </w:rPr>
        <w:t>天弘中证红利低波动</w:t>
      </w:r>
      <w:r w:rsidR="0046671D">
        <w:rPr>
          <w:rFonts w:ascii="黑体" w:eastAsia="黑体" w:hAnsi="黑体"/>
          <w:b/>
          <w:sz w:val="30"/>
          <w:szCs w:val="30"/>
        </w:rPr>
        <w:t>100交易型开放式指数证券投资基金联接基金A类基金份额、C类基金份额</w:t>
      </w:r>
      <w:r>
        <w:rPr>
          <w:rFonts w:ascii="黑体" w:eastAsia="黑体" w:hAnsi="黑体" w:hint="eastAsia"/>
          <w:b/>
          <w:sz w:val="30"/>
          <w:szCs w:val="30"/>
        </w:rPr>
        <w:t>暂停</w:t>
      </w:r>
      <w:r w:rsidR="0046671D">
        <w:rPr>
          <w:rFonts w:ascii="黑体" w:eastAsia="黑体" w:hAnsi="黑体" w:hint="eastAsia"/>
          <w:b/>
          <w:sz w:val="30"/>
          <w:szCs w:val="30"/>
        </w:rPr>
        <w:t>机构投资者</w:t>
      </w:r>
      <w:r>
        <w:rPr>
          <w:rFonts w:ascii="黑体" w:eastAsia="黑体" w:hAnsi="黑体" w:hint="eastAsia"/>
          <w:b/>
          <w:sz w:val="30"/>
          <w:szCs w:val="30"/>
        </w:rPr>
        <w:t>大额</w:t>
      </w:r>
      <w:r w:rsidR="0046671D">
        <w:rPr>
          <w:rFonts w:ascii="黑体" w:eastAsia="黑体" w:hAnsi="黑体" w:hint="eastAsia"/>
          <w:b/>
          <w:sz w:val="30"/>
          <w:szCs w:val="30"/>
        </w:rPr>
        <w:t>申购、转换转入及定期定额投资</w:t>
      </w:r>
      <w:r>
        <w:rPr>
          <w:rFonts w:ascii="黑体" w:eastAsia="黑体" w:hAnsi="黑体" w:hint="eastAsia"/>
          <w:b/>
          <w:sz w:val="30"/>
          <w:szCs w:val="30"/>
        </w:rPr>
        <w:t>业务的公告</w:t>
      </w:r>
    </w:p>
    <w:p w:rsidR="009C1E76" w:rsidRDefault="009C1E76" w:rsidP="009C1E76">
      <w:pPr>
        <w:widowControl/>
        <w:wordWrap w:val="0"/>
        <w:spacing w:line="560" w:lineRule="atLeast"/>
        <w:jc w:val="center"/>
        <w:rPr>
          <w:rFonts w:ascii="仿宋_GB2312" w:hAnsi="inherit" w:cs="宋体"/>
          <w:b/>
          <w:kern w:val="0"/>
          <w:sz w:val="24"/>
        </w:rPr>
      </w:pPr>
      <w:r>
        <w:rPr>
          <w:rFonts w:ascii="仿宋_GB2312" w:hAnsi="inherit" w:cs="宋体" w:hint="eastAsia"/>
          <w:b/>
          <w:kern w:val="0"/>
          <w:sz w:val="24"/>
        </w:rPr>
        <w:t>公告送出日期：</w:t>
      </w:r>
      <w:bookmarkStart w:id="0" w:name="PO_inscribe_date_head"/>
      <w:r w:rsidR="0046671D">
        <w:rPr>
          <w:rFonts w:ascii="仿宋_GB2312" w:hAnsi="inherit" w:cs="宋体" w:hint="eastAsia"/>
          <w:b/>
          <w:kern w:val="0"/>
          <w:sz w:val="24"/>
        </w:rPr>
        <w:t>2026</w:t>
      </w:r>
      <w:r w:rsidR="0046671D">
        <w:rPr>
          <w:rFonts w:ascii="仿宋_GB2312" w:hAnsi="inherit" w:cs="宋体" w:hint="eastAsia"/>
          <w:b/>
          <w:kern w:val="0"/>
          <w:sz w:val="24"/>
        </w:rPr>
        <w:t>年</w:t>
      </w:r>
      <w:r w:rsidR="0046671D">
        <w:rPr>
          <w:rFonts w:ascii="仿宋_GB2312" w:hAnsi="inherit" w:cs="宋体" w:hint="eastAsia"/>
          <w:b/>
          <w:kern w:val="0"/>
          <w:sz w:val="24"/>
        </w:rPr>
        <w:t>01</w:t>
      </w:r>
      <w:r w:rsidR="0046671D">
        <w:rPr>
          <w:rFonts w:ascii="仿宋_GB2312" w:hAnsi="inherit" w:cs="宋体" w:hint="eastAsia"/>
          <w:b/>
          <w:kern w:val="0"/>
          <w:sz w:val="24"/>
        </w:rPr>
        <w:t>月</w:t>
      </w:r>
      <w:r w:rsidR="0046671D">
        <w:rPr>
          <w:rFonts w:ascii="仿宋_GB2312" w:hAnsi="inherit" w:cs="宋体" w:hint="eastAsia"/>
          <w:b/>
          <w:kern w:val="0"/>
          <w:sz w:val="24"/>
        </w:rPr>
        <w:t>14</w:t>
      </w:r>
      <w:r w:rsidR="0046671D">
        <w:rPr>
          <w:rFonts w:ascii="仿宋_GB2312" w:hAnsi="inherit" w:cs="宋体" w:hint="eastAsia"/>
          <w:b/>
          <w:kern w:val="0"/>
          <w:sz w:val="24"/>
        </w:rPr>
        <w:t>日</w:t>
      </w:r>
      <w:bookmarkEnd w:id="0"/>
    </w:p>
    <w:p w:rsidR="009C1E76" w:rsidRDefault="009C1E76" w:rsidP="009C1E76">
      <w:pPr>
        <w:widowControl/>
        <w:wordWrap w:val="0"/>
        <w:spacing w:line="560" w:lineRule="atLeast"/>
        <w:jc w:val="center"/>
        <w:rPr>
          <w:rFonts w:ascii="仿宋_GB2312" w:hAnsi="inherit" w:cs="宋体"/>
          <w:b/>
          <w:kern w:val="0"/>
          <w:sz w:val="24"/>
        </w:rPr>
      </w:pPr>
    </w:p>
    <w:p w:rsidR="009C1E76" w:rsidRDefault="009C1E76" w:rsidP="009C1E76">
      <w:pPr>
        <w:pStyle w:val="3"/>
        <w:ind w:firstLine="482"/>
        <w:rPr>
          <w:color w:val="333333"/>
        </w:rPr>
      </w:pPr>
      <w:bookmarkStart w:id="1" w:name="_Toc517881249"/>
      <w:r>
        <w:rPr>
          <w:bdr w:val="none" w:sz="0" w:space="0" w:color="auto" w:frame="1"/>
        </w:rPr>
        <w:t>1</w:t>
      </w:r>
      <w:r>
        <w:rPr>
          <w:rFonts w:hint="eastAsia"/>
          <w:bdr w:val="none" w:sz="0" w:space="0" w:color="auto" w:frame="1"/>
        </w:rPr>
        <w:t>、</w:t>
      </w:r>
      <w:r>
        <w:rPr>
          <w:rFonts w:hint="eastAsia"/>
        </w:rPr>
        <w:t>公告基本信息</w:t>
      </w:r>
      <w:bookmarkEnd w:id="1"/>
    </w:p>
    <w:tbl>
      <w:tblPr>
        <w:tblW w:w="90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86"/>
        <w:gridCol w:w="2411"/>
        <w:gridCol w:w="2084"/>
        <w:gridCol w:w="1880"/>
        <w:gridCol w:w="1706"/>
      </w:tblGrid>
      <w:tr w:rsidR="009C1E76" w:rsidTr="0046671D">
        <w:trPr>
          <w:jc w:val="center"/>
        </w:trPr>
        <w:tc>
          <w:tcPr>
            <w:tcW w:w="339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widowControl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bookmarkStart w:id="2" w:name="PO_base_info_table"/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基金名称</w:t>
            </w: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46671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天弘中证红利低波动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100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交易型开放式指数证券投资基金联接基金</w:t>
            </w:r>
          </w:p>
        </w:tc>
      </w:tr>
      <w:tr w:rsidR="009C1E76" w:rsidTr="0046671D">
        <w:trPr>
          <w:jc w:val="center"/>
        </w:trPr>
        <w:tc>
          <w:tcPr>
            <w:tcW w:w="339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基金简称</w:t>
            </w: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46671D">
            <w:pPr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333333"/>
                <w:kern w:val="0"/>
                <w:sz w:val="24"/>
              </w:rPr>
              <w:t>天弘中证红利低波动</w:t>
            </w:r>
            <w:r>
              <w:rPr>
                <w:rFonts w:ascii="仿宋_GB2312" w:hAnsi="inherit" w:cs="宋体" w:hint="eastAsia"/>
                <w:color w:val="333333"/>
                <w:kern w:val="0"/>
                <w:sz w:val="24"/>
              </w:rPr>
              <w:t>100ETF</w:t>
            </w:r>
            <w:r>
              <w:rPr>
                <w:rFonts w:ascii="仿宋_GB2312" w:hAnsi="inherit" w:cs="宋体" w:hint="eastAsia"/>
                <w:color w:val="333333"/>
                <w:kern w:val="0"/>
                <w:sz w:val="24"/>
              </w:rPr>
              <w:t>联接</w:t>
            </w:r>
          </w:p>
        </w:tc>
      </w:tr>
      <w:tr w:rsidR="009C1E76" w:rsidTr="0046671D">
        <w:trPr>
          <w:jc w:val="center"/>
        </w:trPr>
        <w:tc>
          <w:tcPr>
            <w:tcW w:w="339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基金主代码</w:t>
            </w: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46671D">
            <w:pPr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/>
                <w:color w:val="333333"/>
                <w:kern w:val="0"/>
                <w:sz w:val="24"/>
              </w:rPr>
              <w:t>008114</w:t>
            </w:r>
          </w:p>
        </w:tc>
      </w:tr>
      <w:tr w:rsidR="009C1E76" w:rsidTr="0046671D">
        <w:trPr>
          <w:jc w:val="center"/>
        </w:trPr>
        <w:tc>
          <w:tcPr>
            <w:tcW w:w="339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基金管理人名称</w:t>
            </w: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天弘基金管理有限公司</w:t>
            </w:r>
          </w:p>
        </w:tc>
      </w:tr>
      <w:tr w:rsidR="009C1E76" w:rsidTr="0046671D">
        <w:trPr>
          <w:jc w:val="center"/>
        </w:trPr>
        <w:tc>
          <w:tcPr>
            <w:tcW w:w="339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6" w:rsidRDefault="009C1E76">
            <w:pPr>
              <w:widowControl/>
              <w:wordWrap w:val="0"/>
              <w:spacing w:line="276" w:lineRule="auto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公告依据</w:t>
            </w: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根据法律法规及《</w:t>
            </w:r>
            <w:r w:rsidR="0046671D">
              <w:rPr>
                <w:rFonts w:ascii="仿宋_GB2312" w:hAnsi="inherit" w:cs="宋体" w:hint="eastAsia"/>
                <w:kern w:val="0"/>
                <w:sz w:val="24"/>
              </w:rPr>
              <w:t>天弘中证红利低波动</w:t>
            </w:r>
            <w:r w:rsidR="0046671D">
              <w:rPr>
                <w:rFonts w:ascii="仿宋_GB2312" w:hAnsi="inherit" w:cs="宋体" w:hint="eastAsia"/>
                <w:kern w:val="0"/>
                <w:sz w:val="24"/>
              </w:rPr>
              <w:t>100</w:t>
            </w:r>
            <w:r w:rsidR="0046671D">
              <w:rPr>
                <w:rFonts w:ascii="仿宋_GB2312" w:hAnsi="inherit" w:cs="宋体" w:hint="eastAsia"/>
                <w:kern w:val="0"/>
                <w:sz w:val="24"/>
              </w:rPr>
              <w:t>交易型开放式指数证券投资基金联接基金</w:t>
            </w: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基金合同》、《</w:t>
            </w:r>
            <w:r w:rsidR="0046671D">
              <w:rPr>
                <w:rFonts w:ascii="仿宋_GB2312" w:hAnsi="inherit" w:cs="宋体" w:hint="eastAsia"/>
                <w:kern w:val="0"/>
                <w:sz w:val="24"/>
              </w:rPr>
              <w:t>天弘中证红利低波动</w:t>
            </w:r>
            <w:r w:rsidR="0046671D">
              <w:rPr>
                <w:rFonts w:ascii="仿宋_GB2312" w:hAnsi="inherit" w:cs="宋体" w:hint="eastAsia"/>
                <w:kern w:val="0"/>
                <w:sz w:val="24"/>
              </w:rPr>
              <w:t>100</w:t>
            </w:r>
            <w:r w:rsidR="0046671D">
              <w:rPr>
                <w:rFonts w:ascii="仿宋_GB2312" w:hAnsi="inherit" w:cs="宋体" w:hint="eastAsia"/>
                <w:kern w:val="0"/>
                <w:sz w:val="24"/>
              </w:rPr>
              <w:t>交易型开放式指数证券投资基金联接基金</w:t>
            </w: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招募说明书》等相关规定</w:t>
            </w:r>
          </w:p>
        </w:tc>
      </w:tr>
      <w:tr w:rsidR="009C1E76" w:rsidTr="0046671D">
        <w:trPr>
          <w:jc w:val="center"/>
        </w:trPr>
        <w:tc>
          <w:tcPr>
            <w:tcW w:w="98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6" w:rsidRDefault="009C1E7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暂停相关业务的起始日、金额及原因说明</w:t>
            </w: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暂停大额申购起始日</w:t>
            </w: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46671D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2026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年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01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月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14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日</w:t>
            </w:r>
          </w:p>
        </w:tc>
      </w:tr>
      <w:tr w:rsidR="009C1E76" w:rsidTr="0046671D">
        <w:trPr>
          <w:trHeight w:val="469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C1E76" w:rsidRDefault="009C1E76">
            <w:pPr>
              <w:widowControl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暂停大额转换转入起始日</w:t>
            </w: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6" w:rsidRDefault="0046671D">
            <w:pPr>
              <w:tabs>
                <w:tab w:val="left" w:pos="708"/>
              </w:tabs>
              <w:spacing w:line="276" w:lineRule="auto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2026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年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01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月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14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日</w:t>
            </w:r>
          </w:p>
        </w:tc>
      </w:tr>
      <w:tr w:rsidR="009C1E76" w:rsidTr="0046671D">
        <w:trPr>
          <w:trHeight w:val="469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C1E76" w:rsidRDefault="009C1E76">
            <w:pPr>
              <w:widowControl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暂停大额定期定额投资起始日</w:t>
            </w: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6" w:rsidRDefault="0046671D">
            <w:pPr>
              <w:tabs>
                <w:tab w:val="left" w:pos="708"/>
              </w:tabs>
              <w:spacing w:line="276" w:lineRule="auto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2026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年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01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月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14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日</w:t>
            </w:r>
          </w:p>
        </w:tc>
      </w:tr>
      <w:tr w:rsidR="009C1E76" w:rsidTr="0046671D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C1E76" w:rsidRDefault="009C1E76">
            <w:pPr>
              <w:widowControl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6" w:rsidRDefault="009C1E76">
            <w:pPr>
              <w:widowControl/>
              <w:wordWrap w:val="0"/>
              <w:spacing w:line="276" w:lineRule="auto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暂停大额申购</w:t>
            </w:r>
            <w:r w:rsidR="0046671D">
              <w:rPr>
                <w:rFonts w:ascii="仿宋_GB2312" w:hAnsi="inherit" w:cs="宋体" w:hint="eastAsia"/>
                <w:kern w:val="0"/>
                <w:sz w:val="24"/>
              </w:rPr>
              <w:t>（转换转入、定期定额投资）</w:t>
            </w: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的原因说明</w:t>
            </w: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tabs>
                <w:tab w:val="left" w:pos="708"/>
              </w:tabs>
              <w:spacing w:line="276" w:lineRule="auto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为了保证基金的平稳运作，保护基金份额持有人利益。</w:t>
            </w:r>
          </w:p>
        </w:tc>
      </w:tr>
      <w:tr w:rsidR="0046671D" w:rsidTr="0046671D">
        <w:trPr>
          <w:jc w:val="center"/>
        </w:trPr>
        <w:tc>
          <w:tcPr>
            <w:tcW w:w="98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71D" w:rsidRDefault="0046671D">
            <w:pPr>
              <w:spacing w:line="5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下属分级基金信息</w:t>
            </w: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1D" w:rsidRDefault="0046671D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下属分级基金的基金简称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71D" w:rsidRDefault="0046671D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天弘中证红利低波动</w:t>
            </w:r>
            <w:r>
              <w:rPr>
                <w:rFonts w:ascii="仿宋_GB2312" w:hAnsi="宋体"/>
                <w:sz w:val="24"/>
              </w:rPr>
              <w:t>100ETF</w:t>
            </w:r>
            <w:r>
              <w:rPr>
                <w:rFonts w:ascii="仿宋_GB2312" w:hAnsi="宋体"/>
                <w:sz w:val="24"/>
              </w:rPr>
              <w:t>联接</w:t>
            </w:r>
            <w:r>
              <w:rPr>
                <w:rFonts w:ascii="仿宋_GB2312" w:hAnsi="宋体"/>
                <w:sz w:val="24"/>
              </w:rPr>
              <w:t>A</w:t>
            </w:r>
          </w:p>
        </w:tc>
        <w:tc>
          <w:tcPr>
            <w:tcW w:w="1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71D" w:rsidRDefault="0046671D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天弘中证红利低波动</w:t>
            </w:r>
            <w:r>
              <w:rPr>
                <w:rFonts w:ascii="仿宋_GB2312" w:hAnsi="宋体"/>
                <w:sz w:val="24"/>
              </w:rPr>
              <w:t>100ETF</w:t>
            </w:r>
            <w:r>
              <w:rPr>
                <w:rFonts w:ascii="仿宋_GB2312" w:hAnsi="宋体"/>
                <w:sz w:val="24"/>
              </w:rPr>
              <w:t>联接</w:t>
            </w:r>
            <w:r>
              <w:rPr>
                <w:rFonts w:ascii="仿宋_GB2312" w:hAnsi="宋体"/>
                <w:sz w:val="24"/>
              </w:rPr>
              <w:t>C</w:t>
            </w:r>
          </w:p>
        </w:tc>
        <w:tc>
          <w:tcPr>
            <w:tcW w:w="17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71D" w:rsidRDefault="0046671D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天弘中证红利低波动</w:t>
            </w:r>
            <w:r>
              <w:rPr>
                <w:rFonts w:ascii="仿宋_GB2312" w:hAnsi="宋体"/>
                <w:sz w:val="24"/>
              </w:rPr>
              <w:t>100ETF</w:t>
            </w:r>
            <w:r>
              <w:rPr>
                <w:rFonts w:ascii="仿宋_GB2312" w:hAnsi="宋体"/>
                <w:sz w:val="24"/>
              </w:rPr>
              <w:t>联接</w:t>
            </w:r>
            <w:r>
              <w:rPr>
                <w:rFonts w:ascii="仿宋_GB2312" w:hAnsi="宋体"/>
                <w:sz w:val="24"/>
              </w:rPr>
              <w:t>Y</w:t>
            </w:r>
          </w:p>
        </w:tc>
      </w:tr>
      <w:tr w:rsidR="0046671D" w:rsidTr="0046671D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6671D" w:rsidRDefault="0046671D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1D" w:rsidRDefault="0046671D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下属分级基金的交易代码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71D" w:rsidRDefault="0046671D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008114</w:t>
            </w:r>
          </w:p>
        </w:tc>
        <w:tc>
          <w:tcPr>
            <w:tcW w:w="1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71D" w:rsidRDefault="0046671D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008115</w:t>
            </w:r>
          </w:p>
        </w:tc>
        <w:tc>
          <w:tcPr>
            <w:tcW w:w="17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71D" w:rsidRDefault="0046671D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022980</w:t>
            </w:r>
          </w:p>
        </w:tc>
      </w:tr>
      <w:tr w:rsidR="0046671D" w:rsidTr="0046671D">
        <w:trPr>
          <w:trHeight w:val="674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6671D" w:rsidRDefault="0046671D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1D" w:rsidRDefault="0046671D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该分级基金是否暂停大额申购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（转换转入、</w:t>
            </w:r>
            <w:r>
              <w:rPr>
                <w:rFonts w:ascii="仿宋_GB2312" w:hAnsi="inherit" w:cs="宋体" w:hint="eastAsia"/>
                <w:kern w:val="0"/>
                <w:sz w:val="24"/>
              </w:rPr>
              <w:lastRenderedPageBreak/>
              <w:t>定期定额投资）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71D" w:rsidRDefault="0046671D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lastRenderedPageBreak/>
              <w:t>是</w:t>
            </w:r>
          </w:p>
        </w:tc>
        <w:tc>
          <w:tcPr>
            <w:tcW w:w="1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71D" w:rsidRDefault="0046671D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是</w:t>
            </w:r>
          </w:p>
        </w:tc>
        <w:tc>
          <w:tcPr>
            <w:tcW w:w="17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71D" w:rsidRDefault="0046671D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否</w:t>
            </w:r>
          </w:p>
        </w:tc>
      </w:tr>
      <w:tr w:rsidR="0046671D" w:rsidTr="0046671D">
        <w:trPr>
          <w:trHeight w:val="674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6671D" w:rsidRDefault="0046671D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1D" w:rsidRDefault="0046671D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下属分级基金的限制申购金额（单位：人民币元）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71D" w:rsidRDefault="0046671D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5,000,000.00</w:t>
            </w:r>
          </w:p>
        </w:tc>
        <w:tc>
          <w:tcPr>
            <w:tcW w:w="1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71D" w:rsidRDefault="0046671D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5,000,000.00</w:t>
            </w:r>
          </w:p>
        </w:tc>
        <w:tc>
          <w:tcPr>
            <w:tcW w:w="17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71D" w:rsidRDefault="0046671D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-</w:t>
            </w:r>
          </w:p>
        </w:tc>
      </w:tr>
      <w:tr w:rsidR="0046671D" w:rsidTr="0046671D">
        <w:trPr>
          <w:trHeight w:val="674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6671D" w:rsidRDefault="0046671D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1D" w:rsidRDefault="0046671D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下属分级基金的限制转换转入金额（单位：人民币元）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71D" w:rsidRDefault="0046671D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5,000,000.00</w:t>
            </w:r>
          </w:p>
        </w:tc>
        <w:tc>
          <w:tcPr>
            <w:tcW w:w="1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71D" w:rsidRDefault="0046671D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5,000,000.00</w:t>
            </w:r>
          </w:p>
        </w:tc>
        <w:tc>
          <w:tcPr>
            <w:tcW w:w="17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71D" w:rsidRDefault="0046671D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-</w:t>
            </w:r>
          </w:p>
        </w:tc>
      </w:tr>
      <w:tr w:rsidR="0046671D" w:rsidTr="0046671D">
        <w:trPr>
          <w:trHeight w:val="674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6671D" w:rsidRDefault="0046671D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71D" w:rsidRDefault="0046671D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下属分级基金的限制定期定额投资金额（单位：人民币元）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71D" w:rsidRDefault="0046671D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5,000,000.00</w:t>
            </w:r>
          </w:p>
        </w:tc>
        <w:tc>
          <w:tcPr>
            <w:tcW w:w="1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71D" w:rsidRDefault="0046671D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5,000,000.00</w:t>
            </w:r>
          </w:p>
        </w:tc>
        <w:tc>
          <w:tcPr>
            <w:tcW w:w="17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71D" w:rsidRDefault="0046671D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-</w:t>
            </w:r>
          </w:p>
        </w:tc>
      </w:tr>
    </w:tbl>
    <w:p w:rsidR="009C1E76" w:rsidRDefault="009C1E76" w:rsidP="009C1E76">
      <w:pPr>
        <w:pStyle w:val="3"/>
        <w:ind w:firstLine="482"/>
        <w:rPr>
          <w:color w:val="333333"/>
        </w:rPr>
      </w:pPr>
      <w:bookmarkStart w:id="3" w:name="_Toc517881250"/>
      <w:bookmarkEnd w:id="2"/>
      <w:r>
        <w:rPr>
          <w:bdr w:val="none" w:sz="0" w:space="0" w:color="auto" w:frame="1"/>
        </w:rPr>
        <w:t>2</w:t>
      </w:r>
      <w:r>
        <w:rPr>
          <w:rFonts w:hint="eastAsia"/>
          <w:bdr w:val="none" w:sz="0" w:space="0" w:color="auto" w:frame="1"/>
        </w:rPr>
        <w:t>、</w:t>
      </w:r>
      <w:r>
        <w:rPr>
          <w:rFonts w:hint="eastAsia"/>
        </w:rPr>
        <w:t>其他需要提示的事项</w:t>
      </w:r>
      <w:bookmarkEnd w:id="3"/>
    </w:p>
    <w:p w:rsidR="009C1E76" w:rsidRDefault="009C1E76" w:rsidP="009C1E76">
      <w:pPr>
        <w:widowControl/>
        <w:spacing w:line="360" w:lineRule="auto"/>
        <w:ind w:firstLineChars="150" w:firstLine="360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（</w:t>
      </w:r>
      <w:r>
        <w:rPr>
          <w:rFonts w:ascii="仿宋_GB2312" w:hAnsi="inherit" w:cs="宋体" w:hint="eastAsia"/>
          <w:color w:val="000000"/>
          <w:kern w:val="0"/>
          <w:sz w:val="24"/>
        </w:rPr>
        <w:t>1</w:t>
      </w:r>
      <w:r>
        <w:rPr>
          <w:rFonts w:ascii="仿宋_GB2312" w:hAnsi="inherit" w:cs="宋体" w:hint="eastAsia"/>
          <w:color w:val="000000"/>
          <w:kern w:val="0"/>
          <w:sz w:val="24"/>
        </w:rPr>
        <w:t>）本公司决定自</w:t>
      </w:r>
      <w:r w:rsidR="0046671D">
        <w:rPr>
          <w:rFonts w:ascii="仿宋_GB2312" w:hAnsi="inherit" w:cs="宋体" w:hint="eastAsia"/>
          <w:kern w:val="0"/>
          <w:sz w:val="24"/>
        </w:rPr>
        <w:t>2026</w:t>
      </w:r>
      <w:r w:rsidR="0046671D">
        <w:rPr>
          <w:rFonts w:ascii="仿宋_GB2312" w:hAnsi="inherit" w:cs="宋体" w:hint="eastAsia"/>
          <w:kern w:val="0"/>
          <w:sz w:val="24"/>
        </w:rPr>
        <w:t>年</w:t>
      </w:r>
      <w:r w:rsidR="0046671D">
        <w:rPr>
          <w:rFonts w:ascii="仿宋_GB2312" w:hAnsi="inherit" w:cs="宋体" w:hint="eastAsia"/>
          <w:kern w:val="0"/>
          <w:sz w:val="24"/>
        </w:rPr>
        <w:t>01</w:t>
      </w:r>
      <w:r w:rsidR="0046671D">
        <w:rPr>
          <w:rFonts w:ascii="仿宋_GB2312" w:hAnsi="inherit" w:cs="宋体" w:hint="eastAsia"/>
          <w:kern w:val="0"/>
          <w:sz w:val="24"/>
        </w:rPr>
        <w:t>月</w:t>
      </w:r>
      <w:r w:rsidR="0046671D">
        <w:rPr>
          <w:rFonts w:ascii="仿宋_GB2312" w:hAnsi="inherit" w:cs="宋体" w:hint="eastAsia"/>
          <w:kern w:val="0"/>
          <w:sz w:val="24"/>
        </w:rPr>
        <w:t>14</w:t>
      </w:r>
      <w:r w:rsidR="0046671D">
        <w:rPr>
          <w:rFonts w:ascii="仿宋_GB2312" w:hAnsi="inherit" w:cs="宋体" w:hint="eastAsia"/>
          <w:kern w:val="0"/>
          <w:sz w:val="24"/>
        </w:rPr>
        <w:t>日</w:t>
      </w:r>
      <w:r>
        <w:rPr>
          <w:rFonts w:ascii="仿宋_GB2312" w:hAnsi="inherit" w:cs="宋体" w:hint="eastAsia"/>
          <w:color w:val="000000"/>
          <w:kern w:val="0"/>
          <w:sz w:val="24"/>
        </w:rPr>
        <w:t>起，暂停受理</w:t>
      </w:r>
      <w:r w:rsidR="0046671D">
        <w:rPr>
          <w:rFonts w:ascii="仿宋_GB2312" w:hAnsi="inherit" w:cs="宋体" w:hint="eastAsia"/>
          <w:kern w:val="0"/>
          <w:sz w:val="24"/>
        </w:rPr>
        <w:t>天弘中证红利低波动</w:t>
      </w:r>
      <w:r w:rsidR="0046671D">
        <w:rPr>
          <w:rFonts w:ascii="仿宋_GB2312" w:hAnsi="inherit" w:cs="宋体" w:hint="eastAsia"/>
          <w:kern w:val="0"/>
          <w:sz w:val="24"/>
        </w:rPr>
        <w:t>100</w:t>
      </w:r>
      <w:r w:rsidR="0046671D">
        <w:rPr>
          <w:rFonts w:ascii="仿宋_GB2312" w:hAnsi="inherit" w:cs="宋体" w:hint="eastAsia"/>
          <w:kern w:val="0"/>
          <w:sz w:val="24"/>
        </w:rPr>
        <w:t>交易型开放式指数证券投资基金联接基金</w:t>
      </w:r>
      <w:r>
        <w:rPr>
          <w:rFonts w:ascii="仿宋_GB2312" w:hAnsi="inherit" w:cs="宋体" w:hint="eastAsia"/>
          <w:color w:val="000000"/>
          <w:kern w:val="0"/>
          <w:sz w:val="24"/>
        </w:rPr>
        <w:t>（以下简称“本基金”）</w:t>
      </w:r>
      <w:r w:rsidR="0046671D">
        <w:rPr>
          <w:rFonts w:ascii="仿宋_GB2312" w:hAnsi="inherit" w:cs="宋体" w:hint="eastAsia"/>
          <w:color w:val="000000"/>
          <w:kern w:val="0"/>
          <w:sz w:val="24"/>
        </w:rPr>
        <w:t>A</w:t>
      </w:r>
      <w:r w:rsidR="0046671D">
        <w:rPr>
          <w:rFonts w:ascii="仿宋_GB2312" w:hAnsi="inherit" w:cs="宋体" w:hint="eastAsia"/>
          <w:color w:val="000000"/>
          <w:kern w:val="0"/>
          <w:sz w:val="24"/>
        </w:rPr>
        <w:t>类基金份额或</w:t>
      </w:r>
      <w:r w:rsidR="0046671D">
        <w:rPr>
          <w:rFonts w:ascii="仿宋_GB2312" w:hAnsi="inherit" w:cs="宋体" w:hint="eastAsia"/>
          <w:color w:val="000000"/>
          <w:kern w:val="0"/>
          <w:sz w:val="24"/>
        </w:rPr>
        <w:t>C</w:t>
      </w:r>
      <w:r w:rsidR="0046671D">
        <w:rPr>
          <w:rFonts w:ascii="仿宋_GB2312" w:hAnsi="inherit" w:cs="宋体" w:hint="eastAsia"/>
          <w:color w:val="000000"/>
          <w:kern w:val="0"/>
          <w:sz w:val="24"/>
        </w:rPr>
        <w:t>类基金份额机构投资者的单笔金额</w:t>
      </w:r>
      <w:r w:rsidR="0046671D">
        <w:rPr>
          <w:rFonts w:ascii="仿宋_GB2312" w:hAnsi="inherit" w:cs="宋体" w:hint="eastAsia"/>
          <w:color w:val="000000"/>
          <w:kern w:val="0"/>
          <w:sz w:val="24"/>
        </w:rPr>
        <w:t>500</w:t>
      </w:r>
      <w:r w:rsidR="0046671D">
        <w:rPr>
          <w:rFonts w:ascii="仿宋_GB2312" w:hAnsi="inherit" w:cs="宋体" w:hint="eastAsia"/>
          <w:color w:val="000000"/>
          <w:kern w:val="0"/>
          <w:sz w:val="24"/>
        </w:rPr>
        <w:t>万元以上（不含</w:t>
      </w:r>
      <w:r w:rsidR="0046671D">
        <w:rPr>
          <w:rFonts w:ascii="仿宋_GB2312" w:hAnsi="inherit" w:cs="宋体" w:hint="eastAsia"/>
          <w:color w:val="000000"/>
          <w:kern w:val="0"/>
          <w:sz w:val="24"/>
        </w:rPr>
        <w:t>500</w:t>
      </w:r>
      <w:r w:rsidR="0046671D">
        <w:rPr>
          <w:rFonts w:ascii="仿宋_GB2312" w:hAnsi="inherit" w:cs="宋体" w:hint="eastAsia"/>
          <w:color w:val="000000"/>
          <w:kern w:val="0"/>
          <w:sz w:val="24"/>
        </w:rPr>
        <w:t>万元）的申购（含转换转入及定期定额投资）业务，且机构投资者单个基金账户单日累计申购</w:t>
      </w:r>
      <w:r w:rsidR="0046671D">
        <w:rPr>
          <w:rFonts w:ascii="仿宋_GB2312" w:hAnsi="inherit" w:cs="宋体" w:hint="eastAsia"/>
          <w:color w:val="000000"/>
          <w:kern w:val="0"/>
          <w:sz w:val="24"/>
        </w:rPr>
        <w:t>A</w:t>
      </w:r>
      <w:r w:rsidR="0046671D">
        <w:rPr>
          <w:rFonts w:ascii="仿宋_GB2312" w:hAnsi="inherit" w:cs="宋体" w:hint="eastAsia"/>
          <w:color w:val="000000"/>
          <w:kern w:val="0"/>
          <w:sz w:val="24"/>
        </w:rPr>
        <w:t>类基金份额或</w:t>
      </w:r>
      <w:r w:rsidR="0046671D">
        <w:rPr>
          <w:rFonts w:ascii="仿宋_GB2312" w:hAnsi="inherit" w:cs="宋体" w:hint="eastAsia"/>
          <w:color w:val="000000"/>
          <w:kern w:val="0"/>
          <w:sz w:val="24"/>
        </w:rPr>
        <w:t>C</w:t>
      </w:r>
      <w:r w:rsidR="0046671D">
        <w:rPr>
          <w:rFonts w:ascii="仿宋_GB2312" w:hAnsi="inherit" w:cs="宋体" w:hint="eastAsia"/>
          <w:color w:val="000000"/>
          <w:kern w:val="0"/>
          <w:sz w:val="24"/>
        </w:rPr>
        <w:t>类基金份额金额不得超过</w:t>
      </w:r>
      <w:r w:rsidR="0046671D">
        <w:rPr>
          <w:rFonts w:ascii="仿宋_GB2312" w:hAnsi="inherit" w:cs="宋体" w:hint="eastAsia"/>
          <w:color w:val="000000"/>
          <w:kern w:val="0"/>
          <w:sz w:val="24"/>
        </w:rPr>
        <w:t>500</w:t>
      </w:r>
      <w:r w:rsidR="0046671D">
        <w:rPr>
          <w:rFonts w:ascii="仿宋_GB2312" w:hAnsi="inherit" w:cs="宋体" w:hint="eastAsia"/>
          <w:color w:val="000000"/>
          <w:kern w:val="0"/>
          <w:sz w:val="24"/>
        </w:rPr>
        <w:t>万元（不含</w:t>
      </w:r>
      <w:r w:rsidR="0046671D">
        <w:rPr>
          <w:rFonts w:ascii="仿宋_GB2312" w:hAnsi="inherit" w:cs="宋体" w:hint="eastAsia"/>
          <w:color w:val="000000"/>
          <w:kern w:val="0"/>
          <w:sz w:val="24"/>
        </w:rPr>
        <w:t>500</w:t>
      </w:r>
      <w:r w:rsidR="0046671D">
        <w:rPr>
          <w:rFonts w:ascii="仿宋_GB2312" w:hAnsi="inherit" w:cs="宋体" w:hint="eastAsia"/>
          <w:color w:val="000000"/>
          <w:kern w:val="0"/>
          <w:sz w:val="24"/>
        </w:rPr>
        <w:t>万元）。如机构投资者单日累计申购</w:t>
      </w:r>
      <w:r w:rsidR="0046671D">
        <w:rPr>
          <w:rFonts w:ascii="仿宋_GB2312" w:hAnsi="inherit" w:cs="宋体" w:hint="eastAsia"/>
          <w:color w:val="000000"/>
          <w:kern w:val="0"/>
          <w:sz w:val="24"/>
        </w:rPr>
        <w:t>A</w:t>
      </w:r>
      <w:r w:rsidR="0046671D">
        <w:rPr>
          <w:rFonts w:ascii="仿宋_GB2312" w:hAnsi="inherit" w:cs="宋体" w:hint="eastAsia"/>
          <w:color w:val="000000"/>
          <w:kern w:val="0"/>
          <w:sz w:val="24"/>
        </w:rPr>
        <w:t>类基金份额或</w:t>
      </w:r>
      <w:r w:rsidR="0046671D">
        <w:rPr>
          <w:rFonts w:ascii="仿宋_GB2312" w:hAnsi="inherit" w:cs="宋体" w:hint="eastAsia"/>
          <w:color w:val="000000"/>
          <w:kern w:val="0"/>
          <w:sz w:val="24"/>
        </w:rPr>
        <w:t>C</w:t>
      </w:r>
      <w:r w:rsidR="0046671D">
        <w:rPr>
          <w:rFonts w:ascii="仿宋_GB2312" w:hAnsi="inherit" w:cs="宋体" w:hint="eastAsia"/>
          <w:color w:val="000000"/>
          <w:kern w:val="0"/>
          <w:sz w:val="24"/>
        </w:rPr>
        <w:t>类基金份额的金额超过</w:t>
      </w:r>
      <w:r w:rsidR="0046671D">
        <w:rPr>
          <w:rFonts w:ascii="仿宋_GB2312" w:hAnsi="inherit" w:cs="宋体" w:hint="eastAsia"/>
          <w:color w:val="000000"/>
          <w:kern w:val="0"/>
          <w:sz w:val="24"/>
        </w:rPr>
        <w:t>500</w:t>
      </w:r>
      <w:r w:rsidR="0046671D">
        <w:rPr>
          <w:rFonts w:ascii="仿宋_GB2312" w:hAnsi="inherit" w:cs="宋体" w:hint="eastAsia"/>
          <w:color w:val="000000"/>
          <w:kern w:val="0"/>
          <w:sz w:val="24"/>
        </w:rPr>
        <w:t>万元，本公司有权拒绝。</w:t>
      </w:r>
      <w:r>
        <w:rPr>
          <w:rFonts w:ascii="仿宋_GB2312" w:hAnsi="inherit" w:cs="宋体" w:hint="eastAsia"/>
          <w:color w:val="000000"/>
          <w:kern w:val="0"/>
          <w:sz w:val="24"/>
        </w:rPr>
        <w:t xml:space="preserve"> </w:t>
      </w:r>
    </w:p>
    <w:p w:rsidR="009C1E76" w:rsidRDefault="009C1E76" w:rsidP="009C1E76">
      <w:pPr>
        <w:widowControl/>
        <w:spacing w:line="360" w:lineRule="auto"/>
        <w:ind w:firstLineChars="150" w:firstLine="360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（</w:t>
      </w:r>
      <w:bookmarkStart w:id="4" w:name="PO_other_need_tip_no3"/>
      <w:r w:rsidR="0046671D">
        <w:rPr>
          <w:rFonts w:ascii="仿宋_GB2312" w:hAnsi="inherit" w:cs="宋体"/>
          <w:color w:val="000000"/>
          <w:kern w:val="0"/>
          <w:sz w:val="24"/>
        </w:rPr>
        <w:t>2</w:t>
      </w:r>
      <w:bookmarkEnd w:id="4"/>
      <w:r>
        <w:rPr>
          <w:rFonts w:ascii="仿宋_GB2312" w:hAnsi="inherit" w:cs="宋体" w:hint="eastAsia"/>
          <w:color w:val="000000"/>
          <w:kern w:val="0"/>
          <w:sz w:val="24"/>
        </w:rPr>
        <w:t>）</w:t>
      </w:r>
      <w:r w:rsidR="0046671D">
        <w:rPr>
          <w:rFonts w:ascii="仿宋_GB2312" w:hAnsi="inherit" w:cs="宋体" w:hint="eastAsia"/>
          <w:color w:val="000000"/>
          <w:kern w:val="0"/>
          <w:sz w:val="24"/>
        </w:rPr>
        <w:t>在上述期间的交易日，本基金的赎回业务等其他业务仍正常办理；恢复办理本基金</w:t>
      </w:r>
      <w:r w:rsidR="0046671D">
        <w:rPr>
          <w:rFonts w:ascii="仿宋_GB2312" w:hAnsi="inherit" w:cs="宋体" w:hint="eastAsia"/>
          <w:color w:val="000000"/>
          <w:kern w:val="0"/>
          <w:sz w:val="24"/>
        </w:rPr>
        <w:t>A</w:t>
      </w:r>
      <w:r w:rsidR="0046671D">
        <w:rPr>
          <w:rFonts w:ascii="仿宋_GB2312" w:hAnsi="inherit" w:cs="宋体" w:hint="eastAsia"/>
          <w:color w:val="000000"/>
          <w:kern w:val="0"/>
          <w:sz w:val="24"/>
        </w:rPr>
        <w:t>类基金份额、</w:t>
      </w:r>
      <w:r w:rsidR="0046671D">
        <w:rPr>
          <w:rFonts w:ascii="仿宋_GB2312" w:hAnsi="inherit" w:cs="宋体" w:hint="eastAsia"/>
          <w:color w:val="000000"/>
          <w:kern w:val="0"/>
          <w:sz w:val="24"/>
        </w:rPr>
        <w:t>C</w:t>
      </w:r>
      <w:r w:rsidR="0046671D">
        <w:rPr>
          <w:rFonts w:ascii="仿宋_GB2312" w:hAnsi="inherit" w:cs="宋体" w:hint="eastAsia"/>
          <w:color w:val="000000"/>
          <w:kern w:val="0"/>
          <w:sz w:val="24"/>
        </w:rPr>
        <w:t>类基金份额机构投资者的大额申购（含转换转入及定期定额投资）业务的具体时间，本公司将另行公告。</w:t>
      </w:r>
    </w:p>
    <w:p w:rsidR="009C1E76" w:rsidRDefault="009C1E76" w:rsidP="009C1E76">
      <w:pPr>
        <w:widowControl/>
        <w:wordWrap w:val="0"/>
        <w:spacing w:line="360" w:lineRule="auto"/>
        <w:ind w:firstLineChars="150" w:firstLine="360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（</w:t>
      </w:r>
      <w:bookmarkStart w:id="5" w:name="PO_other_need_tip_no4"/>
      <w:r w:rsidR="0046671D">
        <w:rPr>
          <w:rFonts w:ascii="仿宋_GB2312" w:hAnsi="inherit" w:cs="宋体"/>
          <w:color w:val="000000"/>
          <w:kern w:val="0"/>
          <w:sz w:val="24"/>
        </w:rPr>
        <w:t>3</w:t>
      </w:r>
      <w:bookmarkEnd w:id="5"/>
      <w:r>
        <w:rPr>
          <w:rFonts w:ascii="仿宋_GB2312" w:hAnsi="inherit" w:cs="宋体" w:hint="eastAsia"/>
          <w:color w:val="000000"/>
          <w:kern w:val="0"/>
          <w:sz w:val="24"/>
        </w:rPr>
        <w:t>）投资者可登录本公司网站（</w:t>
      </w:r>
      <w:r>
        <w:rPr>
          <w:rFonts w:ascii="仿宋_GB2312" w:hAnsi="inherit" w:cs="宋体" w:hint="eastAsia"/>
          <w:color w:val="000000"/>
          <w:kern w:val="0"/>
          <w:sz w:val="24"/>
        </w:rPr>
        <w:t>www.thfund.com.cn</w:t>
      </w:r>
      <w:r>
        <w:rPr>
          <w:rFonts w:ascii="仿宋_GB2312" w:hAnsi="inherit" w:cs="宋体" w:hint="eastAsia"/>
          <w:color w:val="000000"/>
          <w:kern w:val="0"/>
          <w:sz w:val="24"/>
        </w:rPr>
        <w:t>）查询相关信息或拨打客户服务电话（</w:t>
      </w:r>
      <w:r w:rsidR="00C870F6" w:rsidRPr="00C870F6">
        <w:rPr>
          <w:rFonts w:ascii="仿宋_GB2312" w:hAnsi="inherit" w:cs="宋体"/>
          <w:color w:val="000000"/>
          <w:kern w:val="0"/>
          <w:sz w:val="24"/>
        </w:rPr>
        <w:t>400-986-8888</w:t>
      </w:r>
      <w:r>
        <w:rPr>
          <w:rFonts w:ascii="仿宋_GB2312" w:hAnsi="inherit" w:cs="宋体" w:hint="eastAsia"/>
          <w:color w:val="000000"/>
          <w:kern w:val="0"/>
          <w:sz w:val="24"/>
        </w:rPr>
        <w:t>）咨询相关事宜。</w:t>
      </w:r>
    </w:p>
    <w:p w:rsidR="009C1E76" w:rsidRDefault="009C1E76" w:rsidP="009C1E76">
      <w:pPr>
        <w:widowControl/>
        <w:wordWrap w:val="0"/>
        <w:spacing w:line="360" w:lineRule="auto"/>
        <w:ind w:firstLine="240"/>
        <w:jc w:val="left"/>
        <w:rPr>
          <w:rFonts w:ascii="仿宋_GB2312" w:hAnsi="inherit" w:cs="宋体"/>
          <w:color w:val="000000"/>
          <w:kern w:val="0"/>
          <w:sz w:val="24"/>
        </w:rPr>
      </w:pPr>
    </w:p>
    <w:p w:rsidR="009C1E76" w:rsidRDefault="009C1E76" w:rsidP="009C1E76">
      <w:pPr>
        <w:widowControl/>
        <w:wordWrap w:val="0"/>
        <w:spacing w:line="360" w:lineRule="auto"/>
        <w:ind w:firstLine="240"/>
        <w:jc w:val="left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 xml:space="preserve">  </w:t>
      </w:r>
      <w:r>
        <w:rPr>
          <w:rFonts w:ascii="仿宋_GB2312" w:hAnsi="inherit" w:cs="宋体" w:hint="eastAsia"/>
          <w:color w:val="000000"/>
          <w:kern w:val="0"/>
          <w:sz w:val="24"/>
        </w:rPr>
        <w:t>风险提示：</w:t>
      </w:r>
      <w:r>
        <w:rPr>
          <w:rFonts w:ascii="仿宋_GB2312" w:hAnsi="inherit" w:cs="宋体" w:hint="eastAsia"/>
          <w:color w:val="000000"/>
          <w:kern w:val="0"/>
          <w:sz w:val="24"/>
        </w:rPr>
        <w:t xml:space="preserve"> </w:t>
      </w:r>
    </w:p>
    <w:p w:rsidR="009C1E76" w:rsidRDefault="009C1E76" w:rsidP="009C1E76">
      <w:pPr>
        <w:widowControl/>
        <w:wordWrap w:val="0"/>
        <w:spacing w:line="360" w:lineRule="auto"/>
        <w:ind w:firstLine="240"/>
        <w:jc w:val="left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 xml:space="preserve">  </w:t>
      </w:r>
      <w:r>
        <w:rPr>
          <w:rFonts w:ascii="仿宋_GB2312" w:hAnsi="inherit" w:cs="宋体" w:hint="eastAsia"/>
          <w:color w:val="000000"/>
          <w:kern w:val="0"/>
          <w:sz w:val="24"/>
        </w:rPr>
        <w:t>本公司承诺以诚实信用、勤勉尽责的原则管理和运用基金资产，但不保证基金一定盈利，也不保证最低收益。</w:t>
      </w:r>
      <w:r w:rsidR="009C5BA7" w:rsidRPr="0046671D">
        <w:rPr>
          <w:rFonts w:ascii="PingFangSC-Regular" w:hAnsi="PingFangSC-Regular" w:hint="eastAsia"/>
          <w:color w:val="222222"/>
          <w:sz w:val="24"/>
          <w:szCs w:val="24"/>
          <w:shd w:val="clear" w:color="auto" w:fill="FFFFFF"/>
        </w:rPr>
        <w:t>投资者投资于本基金时应认真阅读本基金的《基金合同》和《招募说明书》等相关法律文件</w:t>
      </w:r>
      <w:r w:rsidRPr="0046671D">
        <w:rPr>
          <w:rFonts w:ascii="仿宋_GB2312" w:hAnsi="inherit" w:cs="宋体" w:hint="eastAsia"/>
          <w:color w:val="000000"/>
          <w:kern w:val="0"/>
          <w:sz w:val="24"/>
          <w:szCs w:val="24"/>
        </w:rPr>
        <w:t>。</w:t>
      </w:r>
    </w:p>
    <w:p w:rsidR="009C1E76" w:rsidRDefault="009C1E76" w:rsidP="009C1E76">
      <w:pPr>
        <w:widowControl/>
        <w:spacing w:line="480" w:lineRule="atLeast"/>
        <w:ind w:firstLineChars="200" w:firstLine="480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lastRenderedPageBreak/>
        <w:t>特此公告</w:t>
      </w:r>
    </w:p>
    <w:p w:rsidR="009C1E76" w:rsidRDefault="009C1E76" w:rsidP="009C1E76">
      <w:pPr>
        <w:widowControl/>
        <w:spacing w:line="480" w:lineRule="atLeast"/>
        <w:ind w:right="480"/>
        <w:rPr>
          <w:rFonts w:ascii="仿宋_GB2312" w:hAnsi="inherit" w:cs="宋体"/>
          <w:color w:val="000000"/>
          <w:kern w:val="0"/>
          <w:sz w:val="24"/>
        </w:rPr>
      </w:pPr>
    </w:p>
    <w:p w:rsidR="009C1E76" w:rsidRDefault="009C1E76" w:rsidP="009C1E76">
      <w:pPr>
        <w:widowControl/>
        <w:spacing w:line="480" w:lineRule="atLeast"/>
        <w:ind w:firstLine="480"/>
        <w:jc w:val="right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 xml:space="preserve"> </w:t>
      </w:r>
      <w:r>
        <w:rPr>
          <w:rFonts w:ascii="仿宋_GB2312" w:hAnsi="inherit" w:cs="宋体" w:hint="eastAsia"/>
          <w:color w:val="000000"/>
          <w:kern w:val="0"/>
          <w:sz w:val="24"/>
        </w:rPr>
        <w:t>天弘基金管理有限公司</w:t>
      </w:r>
    </w:p>
    <w:p w:rsidR="009C1E76" w:rsidRDefault="0046671D" w:rsidP="009C1E76">
      <w:pPr>
        <w:widowControl/>
        <w:spacing w:line="480" w:lineRule="atLeast"/>
        <w:ind w:firstLine="480"/>
        <w:jc w:val="right"/>
        <w:rPr>
          <w:rFonts w:ascii="仿宋_GB2312" w:hAnsi="inherit" w:cs="宋体"/>
          <w:color w:val="000000"/>
          <w:kern w:val="0"/>
          <w:sz w:val="24"/>
        </w:rPr>
      </w:pPr>
      <w:bookmarkStart w:id="6" w:name="PO_inscribe_date_end"/>
      <w:r>
        <w:rPr>
          <w:rFonts w:ascii="仿宋_GB2312" w:hAnsi="inherit" w:cs="宋体" w:hint="eastAsia"/>
          <w:kern w:val="0"/>
          <w:sz w:val="24"/>
        </w:rPr>
        <w:t>二〇二六年一月十四日</w:t>
      </w:r>
      <w:bookmarkEnd w:id="6"/>
    </w:p>
    <w:p w:rsidR="009C1E76" w:rsidRDefault="009C1E76" w:rsidP="009C1E76"/>
    <w:p w:rsidR="009C1E76" w:rsidRDefault="009C1E76" w:rsidP="009C1E76"/>
    <w:p w:rsidR="003E055C" w:rsidRPr="009C1E76" w:rsidRDefault="00A41069" w:rsidP="009C1E76"/>
    <w:sectPr w:rsidR="003E055C" w:rsidRPr="009C1E76" w:rsidSect="00C92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D67" w:rsidRDefault="00713D67" w:rsidP="00E6559F">
      <w:r>
        <w:separator/>
      </w:r>
    </w:p>
  </w:endnote>
  <w:endnote w:type="continuationSeparator" w:id="0">
    <w:p w:rsidR="00713D67" w:rsidRDefault="00713D67" w:rsidP="00E65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ingFangSC-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D67" w:rsidRDefault="00713D67" w:rsidP="00E6559F">
      <w:r>
        <w:separator/>
      </w:r>
    </w:p>
  </w:footnote>
  <w:footnote w:type="continuationSeparator" w:id="0">
    <w:p w:rsidR="00713D67" w:rsidRDefault="00713D67" w:rsidP="00E655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036A5"/>
    <w:multiLevelType w:val="hybridMultilevel"/>
    <w:tmpl w:val="9E84D3CE"/>
    <w:lvl w:ilvl="0" w:tplc="E72AE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61AE"/>
    <w:rsid w:val="00094F3A"/>
    <w:rsid w:val="000B1CC5"/>
    <w:rsid w:val="000B4E17"/>
    <w:rsid w:val="001B5A7D"/>
    <w:rsid w:val="00293BCF"/>
    <w:rsid w:val="002968E8"/>
    <w:rsid w:val="002B12D7"/>
    <w:rsid w:val="0033193A"/>
    <w:rsid w:val="00405F6F"/>
    <w:rsid w:val="00425AF0"/>
    <w:rsid w:val="0042714E"/>
    <w:rsid w:val="0046671D"/>
    <w:rsid w:val="00566401"/>
    <w:rsid w:val="005D2130"/>
    <w:rsid w:val="00642B65"/>
    <w:rsid w:val="00713D67"/>
    <w:rsid w:val="00841A3F"/>
    <w:rsid w:val="009C1E76"/>
    <w:rsid w:val="009C5BA7"/>
    <w:rsid w:val="009D3F61"/>
    <w:rsid w:val="009F334D"/>
    <w:rsid w:val="00A2256D"/>
    <w:rsid w:val="00A361AE"/>
    <w:rsid w:val="00A41069"/>
    <w:rsid w:val="00A8361C"/>
    <w:rsid w:val="00AE33F8"/>
    <w:rsid w:val="00C16824"/>
    <w:rsid w:val="00C776CE"/>
    <w:rsid w:val="00C870F6"/>
    <w:rsid w:val="00C92D1A"/>
    <w:rsid w:val="00CE5880"/>
    <w:rsid w:val="00D40487"/>
    <w:rsid w:val="00E03118"/>
    <w:rsid w:val="00E6559F"/>
    <w:rsid w:val="00ED1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76"/>
    <w:pPr>
      <w:widowControl w:val="0"/>
      <w:jc w:val="both"/>
    </w:pPr>
  </w:style>
  <w:style w:type="paragraph" w:styleId="3">
    <w:name w:val="heading 3"/>
    <w:basedOn w:val="a"/>
    <w:next w:val="a"/>
    <w:link w:val="3Char"/>
    <w:qFormat/>
    <w:rsid w:val="00E6559F"/>
    <w:pPr>
      <w:keepNext/>
      <w:keepLines/>
      <w:spacing w:line="500" w:lineRule="exact"/>
      <w:ind w:firstLineChars="200" w:firstLine="200"/>
      <w:jc w:val="left"/>
      <w:outlineLvl w:val="2"/>
    </w:pPr>
    <w:rPr>
      <w:rFonts w:ascii="Times New Roman" w:eastAsia="仿宋_GB2312" w:hAnsi="Times New Roman" w:cs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5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55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5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559F"/>
    <w:rPr>
      <w:sz w:val="18"/>
      <w:szCs w:val="18"/>
    </w:rPr>
  </w:style>
  <w:style w:type="character" w:customStyle="1" w:styleId="3Char">
    <w:name w:val="标题 3 Char"/>
    <w:basedOn w:val="a0"/>
    <w:link w:val="3"/>
    <w:rsid w:val="00E6559F"/>
    <w:rPr>
      <w:rFonts w:ascii="Times New Roman" w:eastAsia="仿宋_GB2312" w:hAnsi="Times New Roman" w:cs="Times New Roman"/>
      <w:b/>
      <w:bCs/>
      <w:sz w:val="24"/>
      <w:szCs w:val="32"/>
    </w:rPr>
  </w:style>
  <w:style w:type="character" w:styleId="a5">
    <w:name w:val="annotation reference"/>
    <w:basedOn w:val="a0"/>
    <w:uiPriority w:val="99"/>
    <w:semiHidden/>
    <w:unhideWhenUsed/>
    <w:rsid w:val="00E6559F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E6559F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E6559F"/>
  </w:style>
  <w:style w:type="paragraph" w:styleId="a7">
    <w:name w:val="Balloon Text"/>
    <w:basedOn w:val="a"/>
    <w:link w:val="Char2"/>
    <w:uiPriority w:val="99"/>
    <w:semiHidden/>
    <w:unhideWhenUsed/>
    <w:rsid w:val="00E6559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655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3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193</Words>
  <Characters>1105</Characters>
  <Application>Microsoft Office Word</Application>
  <DocSecurity>4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兰静阳</dc:creator>
  <cp:keywords/>
  <dc:description/>
  <cp:lastModifiedBy>ZHONGM</cp:lastModifiedBy>
  <cp:revision>2</cp:revision>
  <dcterms:created xsi:type="dcterms:W3CDTF">2026-01-13T16:02:00Z</dcterms:created>
  <dcterms:modified xsi:type="dcterms:W3CDTF">2026-01-13T16:02:00Z</dcterms:modified>
</cp:coreProperties>
</file>