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E6950">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DE6950">
      <w:pPr>
        <w:jc w:val="center"/>
      </w:pPr>
      <w:r>
        <w:rPr>
          <w:b/>
          <w:color w:val="000000"/>
          <w:sz w:val="48"/>
          <w:szCs w:val="48"/>
        </w:rPr>
        <w:t>交银施罗德基金管理有限公司关于交银施罗德优势行业灵活配置混合型证券投资基金分红公告</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E6950">
      <w:pPr>
        <w:spacing w:line="360" w:lineRule="auto"/>
        <w:jc w:val="center"/>
      </w:pPr>
      <w:r>
        <w:rPr>
          <w:rFonts w:cs="宋体"/>
          <w:b/>
          <w:bCs/>
          <w:sz w:val="24"/>
          <w:szCs w:val="30"/>
        </w:rPr>
        <w:t>公告送出日期：</w:t>
      </w:r>
      <w:r>
        <w:rPr>
          <w:rFonts w:cs="宋体"/>
          <w:b/>
          <w:bCs/>
          <w:sz w:val="24"/>
          <w:szCs w:val="30"/>
        </w:rPr>
        <w:t>2026</w:t>
      </w:r>
      <w:r>
        <w:rPr>
          <w:rFonts w:cs="宋体"/>
          <w:b/>
          <w:bCs/>
          <w:sz w:val="24"/>
          <w:szCs w:val="30"/>
        </w:rPr>
        <w:t>年</w:t>
      </w:r>
      <w:r>
        <w:rPr>
          <w:rFonts w:cs="宋体"/>
          <w:b/>
          <w:bCs/>
          <w:sz w:val="24"/>
          <w:szCs w:val="30"/>
        </w:rPr>
        <w:t>1</w:t>
      </w:r>
      <w:r>
        <w:rPr>
          <w:rFonts w:cs="宋体"/>
          <w:b/>
          <w:bCs/>
          <w:sz w:val="24"/>
          <w:szCs w:val="30"/>
        </w:rPr>
        <w:t>月</w:t>
      </w:r>
      <w:r>
        <w:rPr>
          <w:rFonts w:cs="宋体"/>
          <w:b/>
          <w:bCs/>
          <w:sz w:val="24"/>
          <w:szCs w:val="30"/>
        </w:rPr>
        <w:t>14</w:t>
      </w:r>
      <w:r>
        <w:rPr>
          <w:rFonts w:cs="宋体"/>
          <w:b/>
          <w:bCs/>
          <w:sz w:val="24"/>
          <w:szCs w:val="30"/>
        </w:rPr>
        <w:t>日</w:t>
      </w:r>
    </w:p>
    <w:p w:rsidR="00000000" w:rsidRDefault="00DE6950">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8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3"/>
        <w:gridCol w:w="3824"/>
        <w:gridCol w:w="3143"/>
      </w:tblGrid>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交银施罗德优势行业灵活配置混合型证券投资基金</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基金简称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交银优势行业混合</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基金主代码</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519697</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基金合同生效日</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2012</w:t>
            </w:r>
            <w:r>
              <w:rPr>
                <w:szCs w:val="21"/>
              </w:rPr>
              <w:t>年</w:t>
            </w:r>
            <w:r>
              <w:rPr>
                <w:szCs w:val="21"/>
              </w:rPr>
              <w:t>2</w:t>
            </w:r>
            <w:r>
              <w:rPr>
                <w:szCs w:val="21"/>
              </w:rPr>
              <w:t>月</w:t>
            </w:r>
            <w:r>
              <w:rPr>
                <w:szCs w:val="21"/>
              </w:rPr>
              <w:t>3</w:t>
            </w:r>
            <w:r>
              <w:rPr>
                <w:szCs w:val="21"/>
              </w:rPr>
              <w:t>日</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基金管理人名称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交银施罗德基金管理有限公司</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基金托管人名称</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中国工商银行股份有限公司</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公告依据</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《公开募集证券投资基金</w:t>
            </w:r>
            <w:r>
              <w:rPr>
                <w:szCs w:val="21"/>
              </w:rPr>
              <w:t>信息披露管理办法》、《交银施罗德优势行业灵活配置混合型证券投资基金基金合同》、《交银施罗德优势行业灵活配置混合型证券投资基金招募说明书》等</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收益分配基准日</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2025</w:t>
            </w:r>
            <w:r>
              <w:rPr>
                <w:szCs w:val="21"/>
              </w:rPr>
              <w:t>年</w:t>
            </w:r>
            <w:r>
              <w:rPr>
                <w:szCs w:val="21"/>
              </w:rPr>
              <w:t>12</w:t>
            </w:r>
            <w:r>
              <w:rPr>
                <w:szCs w:val="21"/>
              </w:rPr>
              <w:t>月</w:t>
            </w:r>
            <w:r>
              <w:rPr>
                <w:szCs w:val="21"/>
              </w:rPr>
              <w:t>31</w:t>
            </w:r>
            <w:r>
              <w:rPr>
                <w:szCs w:val="21"/>
              </w:rPr>
              <w:t>日</w:t>
            </w:r>
          </w:p>
        </w:tc>
      </w:tr>
      <w:tr w:rsidR="00000000">
        <w:tc>
          <w:tcPr>
            <w:tcW w:w="1854" w:type="dxa"/>
            <w:vMerge w:val="restart"/>
            <w:tcBorders>
              <w:top w:val="single" w:sz="4" w:space="0" w:color="auto"/>
              <w:left w:val="single" w:sz="4" w:space="0" w:color="auto"/>
              <w:bottom w:val="single" w:sz="4" w:space="0" w:color="auto"/>
              <w:right w:val="single" w:sz="4" w:space="0" w:color="auto"/>
            </w:tcBorders>
            <w:vAlign w:val="center"/>
          </w:tcPr>
          <w:p w:rsidR="00000000" w:rsidRDefault="00DE6950">
            <w:r>
              <w:rPr>
                <w:szCs w:val="21"/>
              </w:rPr>
              <w:t>截止收益分配基准日的相关指标</w:t>
            </w:r>
            <w:r>
              <w:rPr>
                <w:szCs w:val="21"/>
              </w:rPr>
              <w:t xml:space="preserve"> </w:t>
            </w:r>
          </w:p>
        </w:tc>
        <w:tc>
          <w:tcPr>
            <w:tcW w:w="3825" w:type="dxa"/>
            <w:tcBorders>
              <w:top w:val="single" w:sz="4" w:space="0" w:color="auto"/>
              <w:left w:val="single" w:sz="4" w:space="0" w:color="auto"/>
              <w:bottom w:val="single" w:sz="4" w:space="0" w:color="auto"/>
              <w:right w:val="single" w:sz="4" w:space="0" w:color="auto"/>
            </w:tcBorders>
          </w:tcPr>
          <w:p w:rsidR="00000000" w:rsidRDefault="00DE6950">
            <w:r>
              <w:rPr>
                <w:szCs w:val="21"/>
              </w:rPr>
              <w:t>基准日基金份额净值（单位：</w:t>
            </w:r>
            <w:r>
              <w:rPr>
                <w:szCs w:val="21"/>
              </w:rPr>
              <w:t xml:space="preserve"> </w:t>
            </w:r>
            <w:r>
              <w:rPr>
                <w:szCs w:val="21"/>
              </w:rPr>
              <w:t>人民币元）</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4.703</w:t>
            </w:r>
          </w:p>
        </w:tc>
      </w:tr>
      <w:tr w:rsidR="00000000">
        <w:tc>
          <w:tcPr>
            <w:tcW w:w="1854" w:type="dxa"/>
            <w:vMerge/>
            <w:tcBorders>
              <w:top w:val="single" w:sz="4" w:space="0" w:color="auto"/>
              <w:left w:val="single" w:sz="4" w:space="0" w:color="auto"/>
              <w:bottom w:val="single" w:sz="4" w:space="0" w:color="auto"/>
              <w:right w:val="single" w:sz="4" w:space="0" w:color="auto"/>
            </w:tcBorders>
            <w:vAlign w:val="center"/>
          </w:tcPr>
          <w:p w:rsidR="00000000" w:rsidRDefault="00DE6950">
            <w:pPr>
              <w:rPr>
                <w:sz w:val="20"/>
              </w:rPr>
            </w:pPr>
          </w:p>
        </w:tc>
        <w:tc>
          <w:tcPr>
            <w:tcW w:w="3825" w:type="dxa"/>
            <w:tcBorders>
              <w:top w:val="single" w:sz="4" w:space="0" w:color="auto"/>
              <w:left w:val="single" w:sz="4" w:space="0" w:color="auto"/>
              <w:bottom w:val="single" w:sz="4" w:space="0" w:color="auto"/>
              <w:right w:val="single" w:sz="4" w:space="0" w:color="auto"/>
            </w:tcBorders>
          </w:tcPr>
          <w:p w:rsidR="00000000" w:rsidRDefault="00DE6950">
            <w:r>
              <w:rPr>
                <w:szCs w:val="21"/>
              </w:rPr>
              <w:t>基准日基金可供分配利润（单位：</w:t>
            </w:r>
            <w:r>
              <w:rPr>
                <w:szCs w:val="21"/>
              </w:rPr>
              <w:t xml:space="preserve"> </w:t>
            </w:r>
            <w:r>
              <w:rPr>
                <w:szCs w:val="21"/>
              </w:rPr>
              <w:t>人民币元）</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2,409,624,507.98</w:t>
            </w:r>
          </w:p>
        </w:tc>
      </w:tr>
      <w:tr w:rsidR="00000000">
        <w:tc>
          <w:tcPr>
            <w:tcW w:w="1854" w:type="dxa"/>
            <w:vMerge/>
            <w:tcBorders>
              <w:top w:val="single" w:sz="4" w:space="0" w:color="auto"/>
              <w:left w:val="single" w:sz="4" w:space="0" w:color="auto"/>
              <w:bottom w:val="single" w:sz="4" w:space="0" w:color="auto"/>
              <w:right w:val="single" w:sz="4" w:space="0" w:color="auto"/>
            </w:tcBorders>
            <w:vAlign w:val="center"/>
          </w:tcPr>
          <w:p w:rsidR="00000000" w:rsidRDefault="00DE6950">
            <w:pPr>
              <w:rPr>
                <w:sz w:val="20"/>
              </w:rPr>
            </w:pPr>
          </w:p>
        </w:tc>
        <w:tc>
          <w:tcPr>
            <w:tcW w:w="3825" w:type="dxa"/>
            <w:tcBorders>
              <w:top w:val="single" w:sz="4" w:space="0" w:color="auto"/>
              <w:left w:val="single" w:sz="4" w:space="0" w:color="auto"/>
              <w:bottom w:val="single" w:sz="4" w:space="0" w:color="auto"/>
              <w:right w:val="single" w:sz="4" w:space="0" w:color="auto"/>
            </w:tcBorders>
          </w:tcPr>
          <w:p w:rsidR="00000000" w:rsidRDefault="00DE6950">
            <w:r>
              <w:rPr>
                <w:szCs w:val="21"/>
              </w:rPr>
              <w:t>截止基</w:t>
            </w:r>
            <w:r>
              <w:rPr>
                <w:szCs w:val="21"/>
                <w:shd w:val="clear" w:color="auto" w:fill="FFFFFF"/>
              </w:rPr>
              <w:t>准日按照基金合同约定的分红比例计算的应分配金额（单位：</w:t>
            </w:r>
            <w:r>
              <w:rPr>
                <w:szCs w:val="21"/>
                <w:shd w:val="clear" w:color="auto" w:fill="FFFFFF"/>
              </w:rPr>
              <w:t xml:space="preserve"> </w:t>
            </w:r>
            <w:r>
              <w:rPr>
                <w:szCs w:val="21"/>
                <w:shd w:val="clear" w:color="auto" w:fill="FFFFFF"/>
              </w:rPr>
              <w:t>人民币元</w:t>
            </w:r>
            <w:r>
              <w:rPr>
                <w:szCs w:val="21"/>
              </w:rPr>
              <w:t>）</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120,481,225.40</w:t>
            </w:r>
          </w:p>
        </w:tc>
      </w:tr>
      <w:tr w:rsidR="00000000">
        <w:tc>
          <w:tcPr>
            <w:tcW w:w="5679" w:type="dxa"/>
            <w:gridSpan w:val="2"/>
            <w:tcBorders>
              <w:top w:val="single" w:sz="4" w:space="0" w:color="auto"/>
              <w:left w:val="single" w:sz="4" w:space="0" w:color="auto"/>
              <w:bottom w:val="single" w:sz="4" w:space="0" w:color="auto"/>
              <w:right w:val="single" w:sz="4" w:space="0" w:color="auto"/>
            </w:tcBorders>
          </w:tcPr>
          <w:p w:rsidR="00000000" w:rsidRDefault="00DE6950">
            <w:r>
              <w:rPr>
                <w:szCs w:val="21"/>
              </w:rPr>
              <w:t>本次分红方案（单位：元</w:t>
            </w:r>
            <w:r>
              <w:rPr>
                <w:szCs w:val="21"/>
              </w:rPr>
              <w:t>/10</w:t>
            </w:r>
            <w:r>
              <w:rPr>
                <w:szCs w:val="21"/>
              </w:rPr>
              <w:t>份基金份额）</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tcPr>
          <w:p w:rsidR="00000000" w:rsidRDefault="00DE6950">
            <w:r>
              <w:rPr>
                <w:szCs w:val="21"/>
              </w:rPr>
              <w:t>1.8800</w:t>
            </w:r>
          </w:p>
        </w:tc>
      </w:tr>
      <w:tr w:rsidR="00000000">
        <w:tc>
          <w:tcPr>
            <w:tcW w:w="5679" w:type="dxa"/>
            <w:gridSpan w:val="2"/>
            <w:tcBorders>
              <w:top w:val="single" w:sz="4" w:space="0" w:color="auto"/>
              <w:left w:val="single" w:sz="4" w:space="0" w:color="auto"/>
              <w:bottom w:val="single" w:sz="4" w:space="0" w:color="auto"/>
              <w:right w:val="single" w:sz="4" w:space="0" w:color="auto"/>
            </w:tcBorders>
            <w:vAlign w:val="center"/>
          </w:tcPr>
          <w:p w:rsidR="00000000" w:rsidRDefault="00DE6950">
            <w:r>
              <w:rPr>
                <w:szCs w:val="21"/>
              </w:rPr>
              <w:t>有关年度分红次数的说明</w:t>
            </w:r>
            <w:r>
              <w:rPr>
                <w:szCs w:val="21"/>
              </w:rPr>
              <w:t xml:space="preserve"> </w:t>
            </w:r>
          </w:p>
        </w:tc>
        <w:tc>
          <w:tcPr>
            <w:tcW w:w="3144" w:type="dxa"/>
            <w:tcBorders>
              <w:top w:val="single" w:sz="4" w:space="0" w:color="auto"/>
              <w:left w:val="single" w:sz="4" w:space="0" w:color="auto"/>
              <w:bottom w:val="single" w:sz="4" w:space="0" w:color="auto"/>
              <w:right w:val="single" w:sz="4" w:space="0" w:color="auto"/>
            </w:tcBorders>
            <w:vAlign w:val="center"/>
          </w:tcPr>
          <w:p w:rsidR="00000000" w:rsidRDefault="00DE6950">
            <w:r>
              <w:rPr>
                <w:szCs w:val="21"/>
              </w:rPr>
              <w:t>本次分红为</w:t>
            </w:r>
            <w:r>
              <w:rPr>
                <w:szCs w:val="21"/>
              </w:rPr>
              <w:t>2026</w:t>
            </w:r>
            <w:r>
              <w:rPr>
                <w:szCs w:val="21"/>
              </w:rPr>
              <w:t>年度的第</w:t>
            </w:r>
            <w:r>
              <w:rPr>
                <w:szCs w:val="21"/>
              </w:rPr>
              <w:t>1</w:t>
            </w:r>
            <w:r>
              <w:rPr>
                <w:szCs w:val="21"/>
              </w:rPr>
              <w:t>次分红</w:t>
            </w:r>
          </w:p>
        </w:tc>
      </w:tr>
    </w:tbl>
    <w:p w:rsidR="00000000" w:rsidRDefault="00DE6950">
      <w:pPr>
        <w:adjustRightInd w:val="0"/>
        <w:snapToGrid w:val="0"/>
        <w:spacing w:beforeLines="50" w:line="360" w:lineRule="auto"/>
        <w:jc w:val="left"/>
      </w:pPr>
      <w:r>
        <w:rPr>
          <w:rFonts w:cs="宋体"/>
        </w:rPr>
        <w:t>注：</w:t>
      </w:r>
      <w:r>
        <w:rPr>
          <w:rFonts w:cs="宋体"/>
          <w:szCs w:val="24"/>
        </w:rPr>
        <w:t>根据本基金基金合同约定：在符合有关基金分红条件的前提下，本基金每年收益分配次数最多为</w:t>
      </w:r>
      <w:r>
        <w:rPr>
          <w:rFonts w:cs="宋体"/>
          <w:szCs w:val="24"/>
        </w:rPr>
        <w:t>10</w:t>
      </w:r>
      <w:r>
        <w:rPr>
          <w:rFonts w:cs="宋体"/>
          <w:szCs w:val="24"/>
        </w:rPr>
        <w:t>次，全年分配比例不得低于年度可供分配收益的</w:t>
      </w:r>
      <w:r>
        <w:rPr>
          <w:rFonts w:cs="宋体"/>
          <w:szCs w:val="24"/>
        </w:rPr>
        <w:t>5%</w:t>
      </w:r>
      <w:r>
        <w:rPr>
          <w:rFonts w:cs="宋体"/>
          <w:szCs w:val="24"/>
        </w:rPr>
        <w:t>。截止</w:t>
      </w:r>
      <w:r>
        <w:rPr>
          <w:rFonts w:cs="宋体"/>
          <w:szCs w:val="24"/>
        </w:rPr>
        <w:t>2025</w:t>
      </w:r>
      <w:r>
        <w:rPr>
          <w:rFonts w:cs="宋体"/>
          <w:szCs w:val="24"/>
        </w:rPr>
        <w:t>年</w:t>
      </w:r>
      <w:r>
        <w:rPr>
          <w:rFonts w:cs="宋体"/>
          <w:szCs w:val="24"/>
        </w:rPr>
        <w:t>12</w:t>
      </w:r>
      <w:r>
        <w:rPr>
          <w:rFonts w:cs="宋体"/>
          <w:szCs w:val="24"/>
        </w:rPr>
        <w:t>月</w:t>
      </w:r>
      <w:r>
        <w:rPr>
          <w:rFonts w:cs="宋体"/>
          <w:szCs w:val="24"/>
        </w:rPr>
        <w:t>31</w:t>
      </w:r>
      <w:r>
        <w:rPr>
          <w:rFonts w:cs="宋体"/>
          <w:szCs w:val="24"/>
        </w:rPr>
        <w:t>日，本基金可供分配利润为</w:t>
      </w:r>
      <w:r>
        <w:rPr>
          <w:rFonts w:cs="宋体"/>
          <w:szCs w:val="24"/>
        </w:rPr>
        <w:t>2,409,624,507.98</w:t>
      </w:r>
      <w:r>
        <w:rPr>
          <w:rFonts w:cs="宋体"/>
          <w:szCs w:val="24"/>
        </w:rPr>
        <w:t>元，且本年度已分配金额为</w:t>
      </w:r>
      <w:r>
        <w:rPr>
          <w:rFonts w:cs="宋体"/>
          <w:szCs w:val="24"/>
        </w:rPr>
        <w:t>0.00</w:t>
      </w:r>
      <w:r>
        <w:rPr>
          <w:rFonts w:cs="宋体"/>
          <w:szCs w:val="24"/>
        </w:rPr>
        <w:t>元。“截止基准日按照基金合同约定的分红比例计算的应分配金额”</w:t>
      </w:r>
      <w:r>
        <w:rPr>
          <w:rFonts w:cs="宋体"/>
          <w:szCs w:val="24"/>
        </w:rPr>
        <w:t xml:space="preserve">= </w:t>
      </w:r>
      <w:r>
        <w:rPr>
          <w:rFonts w:cs="宋体"/>
          <w:szCs w:val="24"/>
        </w:rPr>
        <w:t>年度可供分配收益×</w:t>
      </w:r>
      <w:r>
        <w:rPr>
          <w:rFonts w:cs="宋体"/>
          <w:szCs w:val="24"/>
        </w:rPr>
        <w:t>5%-</w:t>
      </w:r>
      <w:r>
        <w:rPr>
          <w:rFonts w:cs="宋体"/>
          <w:szCs w:val="24"/>
        </w:rPr>
        <w:t>本年度已分配金额</w:t>
      </w:r>
      <w:r>
        <w:rPr>
          <w:rFonts w:cs="宋体"/>
          <w:szCs w:val="24"/>
        </w:rPr>
        <w:t>= (</w:t>
      </w:r>
      <w:r>
        <w:rPr>
          <w:rFonts w:cs="宋体"/>
          <w:szCs w:val="24"/>
        </w:rPr>
        <w:t>年末可供分配利润</w:t>
      </w:r>
      <w:r>
        <w:rPr>
          <w:rFonts w:cs="宋体"/>
          <w:szCs w:val="24"/>
        </w:rPr>
        <w:t>+</w:t>
      </w:r>
      <w:r>
        <w:rPr>
          <w:rFonts w:cs="宋体"/>
          <w:szCs w:val="24"/>
        </w:rPr>
        <w:t>本年度已分配金额</w:t>
      </w:r>
      <w:r>
        <w:rPr>
          <w:rFonts w:cs="宋体"/>
          <w:szCs w:val="24"/>
        </w:rPr>
        <w:t>)</w:t>
      </w:r>
      <w:r>
        <w:rPr>
          <w:rFonts w:cs="宋体"/>
          <w:szCs w:val="24"/>
        </w:rPr>
        <w:t>×</w:t>
      </w:r>
      <w:r>
        <w:rPr>
          <w:rFonts w:cs="宋体"/>
          <w:szCs w:val="24"/>
        </w:rPr>
        <w:t>5%-</w:t>
      </w:r>
      <w:r>
        <w:rPr>
          <w:rFonts w:cs="宋体"/>
          <w:szCs w:val="24"/>
        </w:rPr>
        <w:t>本年度已分配金额。因此按照</w:t>
      </w:r>
      <w:r>
        <w:rPr>
          <w:rFonts w:cs="宋体"/>
          <w:szCs w:val="24"/>
        </w:rPr>
        <w:t>基金合同约定的分红比例计算，本次需分配的最低金额为</w:t>
      </w:r>
      <w:r>
        <w:rPr>
          <w:rFonts w:cs="宋体"/>
          <w:szCs w:val="24"/>
        </w:rPr>
        <w:t>120,481,225.40</w:t>
      </w:r>
      <w:r>
        <w:rPr>
          <w:rFonts w:cs="宋体"/>
          <w:szCs w:val="24"/>
        </w:rPr>
        <w:t>元。</w:t>
      </w:r>
      <w:r>
        <w:rPr>
          <w:rFonts w:cs="宋体"/>
          <w:szCs w:val="24"/>
        </w:rPr>
        <w:t xml:space="preserve"> </w:t>
      </w:r>
    </w:p>
    <w:p w:rsidR="00000000" w:rsidRDefault="00DE6950">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2026</w:t>
            </w:r>
            <w:r>
              <w:rPr>
                <w:szCs w:val="21"/>
              </w:rPr>
              <w:t>年</w:t>
            </w:r>
            <w:r>
              <w:rPr>
                <w:szCs w:val="21"/>
              </w:rPr>
              <w:t>1</w:t>
            </w:r>
            <w:r>
              <w:rPr>
                <w:szCs w:val="21"/>
              </w:rPr>
              <w:t>月</w:t>
            </w:r>
            <w:r>
              <w:rPr>
                <w:szCs w:val="21"/>
              </w:rPr>
              <w:t>15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2026</w:t>
            </w:r>
            <w:r>
              <w:rPr>
                <w:szCs w:val="21"/>
              </w:rPr>
              <w:t>年</w:t>
            </w:r>
            <w:r>
              <w:rPr>
                <w:szCs w:val="21"/>
              </w:rPr>
              <w:t>1</w:t>
            </w:r>
            <w:r>
              <w:rPr>
                <w:szCs w:val="21"/>
              </w:rPr>
              <w:t>月</w:t>
            </w:r>
            <w:r>
              <w:rPr>
                <w:szCs w:val="21"/>
              </w:rPr>
              <w:t>15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2026</w:t>
            </w:r>
            <w:r>
              <w:rPr>
                <w:szCs w:val="21"/>
              </w:rPr>
              <w:t>年</w:t>
            </w:r>
            <w:r>
              <w:rPr>
                <w:szCs w:val="21"/>
              </w:rPr>
              <w:t>1</w:t>
            </w:r>
            <w:r>
              <w:rPr>
                <w:szCs w:val="21"/>
              </w:rPr>
              <w:t>月</w:t>
            </w:r>
            <w:r>
              <w:rPr>
                <w:szCs w:val="21"/>
              </w:rPr>
              <w:t>19</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DE6950">
            <w:r>
              <w:rPr>
                <w:szCs w:val="21"/>
              </w:rPr>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选择红利再投资方式的基金份额持有人，其红利将按</w:t>
            </w:r>
            <w:r>
              <w:rPr>
                <w:szCs w:val="21"/>
              </w:rPr>
              <w:t>2026</w:t>
            </w:r>
            <w:r>
              <w:rPr>
                <w:szCs w:val="21"/>
              </w:rPr>
              <w:t>年</w:t>
            </w:r>
            <w:r>
              <w:rPr>
                <w:szCs w:val="21"/>
              </w:rPr>
              <w:t>1</w:t>
            </w:r>
            <w:r>
              <w:rPr>
                <w:szCs w:val="21"/>
              </w:rPr>
              <w:t>月</w:t>
            </w:r>
            <w:r>
              <w:rPr>
                <w:szCs w:val="21"/>
              </w:rPr>
              <w:t>15</w:t>
            </w:r>
            <w:r>
              <w:rPr>
                <w:szCs w:val="21"/>
              </w:rPr>
              <w:t>日除息后的基金份额净值转换为基金份额，再投资所得的基金份额自</w:t>
            </w:r>
            <w:r>
              <w:rPr>
                <w:szCs w:val="21"/>
              </w:rPr>
              <w:t>2026</w:t>
            </w:r>
            <w:r>
              <w:rPr>
                <w:szCs w:val="21"/>
              </w:rPr>
              <w:t>年</w:t>
            </w:r>
            <w:r>
              <w:rPr>
                <w:szCs w:val="21"/>
              </w:rPr>
              <w:t>1</w:t>
            </w:r>
            <w:r>
              <w:rPr>
                <w:szCs w:val="21"/>
              </w:rPr>
              <w:t>月</w:t>
            </w:r>
            <w:r>
              <w:rPr>
                <w:szCs w:val="21"/>
              </w:rPr>
              <w:t>19</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根据财政部、国家税务</w:t>
            </w:r>
            <w:r>
              <w:rPr>
                <w:szCs w:val="21"/>
              </w:rPr>
              <w:t>总局的相关规定，基金向基</w:t>
            </w:r>
            <w:r>
              <w:rPr>
                <w:szCs w:val="21"/>
              </w:rPr>
              <w:lastRenderedPageBreak/>
              <w:t>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E6950">
            <w:r>
              <w:rPr>
                <w:szCs w:val="21"/>
              </w:rPr>
              <w:lastRenderedPageBreak/>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E6950">
            <w:r>
              <w:rPr>
                <w:szCs w:val="21"/>
              </w:rPr>
              <w:t>本基金本次分红免收分红手续费。投资人选择红利再投资，红利再投资的份额免收申购费用。</w:t>
            </w:r>
          </w:p>
        </w:tc>
      </w:tr>
    </w:tbl>
    <w:p w:rsidR="00000000" w:rsidRDefault="00DE6950">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、本分红方案经本基金管理人计算并由基金托管人中国工商银行股份有限公司复核。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、本基金的基金份额持有人事先未做出收益分配方式选择的，则默认方式为现金分红。选择现金红利方式的基金份额持有人的红利款将于现金红利发放日自基金托管账户划出。</w:t>
      </w:r>
      <w:r>
        <w:rPr>
          <w:rFonts w:cs="宋体"/>
          <w:szCs w:val="24"/>
        </w:rPr>
        <w:t xml:space="preserve"> </w:t>
      </w:r>
    </w:p>
    <w:p w:rsidR="00000000" w:rsidRDefault="00DE6950">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DE6950">
      <w:pPr>
        <w:spacing w:line="360" w:lineRule="auto"/>
        <w:ind w:firstLineChars="200" w:firstLine="420"/>
        <w:jc w:val="left"/>
      </w:pPr>
      <w:r>
        <w:rPr>
          <w:rFonts w:cs="宋体"/>
          <w:szCs w:val="21"/>
        </w:rPr>
        <w:t>1</w:t>
      </w:r>
      <w:r>
        <w:rPr>
          <w:rFonts w:cs="宋体"/>
          <w:szCs w:val="21"/>
        </w:rPr>
        <w:t>、本基金收益分配方式分为两种：现金分红与红利再投资。基金份额持有人</w:t>
      </w:r>
      <w:r>
        <w:rPr>
          <w:rFonts w:cs="宋体"/>
          <w:szCs w:val="21"/>
        </w:rPr>
        <w:t>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、权益登记日申请申购的基金份额不享有本次分红权益，权益登记日申请赎回的基金份额享有本次</w:t>
      </w:r>
      <w:r>
        <w:rPr>
          <w:rFonts w:cs="宋体"/>
          <w:szCs w:val="21"/>
        </w:rPr>
        <w:t>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风险提示：基金的分红行为将导致基金净值产生变化，但不会影响基金的风险收益特征。本基金管理人承诺以诚实信用、勤勉尽责的原则管理和运用基金财产，但不保证基金一定盈利，也不保证最低收益。基金</w:t>
      </w:r>
      <w:r>
        <w:rPr>
          <w:rFonts w:cs="宋体"/>
          <w:szCs w:val="21"/>
        </w:rPr>
        <w:t>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DE6950">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DE6950">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E6950">
      <w:r>
        <w:separator/>
      </w:r>
    </w:p>
  </w:endnote>
  <w:endnote w:type="continuationSeparator" w:id="0">
    <w:p w:rsidR="00000000" w:rsidRDefault="00DE6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6950">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6950">
    <w:pPr>
      <w:pStyle w:val="a6"/>
      <w:rPr>
        <w:rFonts w:cs="宋体"/>
      </w:rPr>
    </w:pPr>
    <w:r>
      <w:rPr>
        <w:rFonts w:cs="宋体"/>
      </w:rPr>
      <w:t xml:space="preserve"> </w:t>
    </w:r>
  </w:p>
  <w:p w:rsidR="00000000" w:rsidRDefault="00DE6950">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DE6950">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E6950">
      <w:r>
        <w:separator/>
      </w:r>
    </w:p>
  </w:footnote>
  <w:footnote w:type="continuationSeparator" w:id="0">
    <w:p w:rsidR="00000000" w:rsidRDefault="00DE6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6950">
    <w:pPr>
      <w:pStyle w:val="a7"/>
      <w:jc w:val="right"/>
    </w:pPr>
    <w:r>
      <w:rPr>
        <w:rFonts w:cs="宋体"/>
      </w:rPr>
      <w:t>交银施罗德基金管理有限公司关于交银施罗德优势行业灵活配置混合型证券投资基金分红公告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6950">
    <w:pPr>
      <w:pStyle w:val="a7"/>
      <w:jc w:val="right"/>
    </w:pPr>
    <w:r>
      <w:rPr>
        <w:rFonts w:cs="宋体"/>
      </w:rPr>
      <w:t>交银施罗德基金管理有限公司关于交银施罗德优势行业灵活配置混合型证券投资基金分红公告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51DF4"/>
    <w:multiLevelType w:val="multilevel"/>
    <w:tmpl w:val="6BD51DF4"/>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6950"/>
    <w:rsid w:val="00DE6950"/>
    <w:rsid w:val="7D311E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basedOn w:val="a0"/>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style>
  <w:style w:type="paragraph" w:styleId="a4">
    <w:name w:val="Date"/>
    <w:basedOn w:val="a"/>
    <w:next w:val="a"/>
    <w:link w:val="Char20"/>
    <w:rPr>
      <w:sz w:val="32"/>
    </w:rPr>
  </w:style>
  <w:style w:type="character" w:customStyle="1" w:styleId="Char20">
    <w:name w:val="日期 Char2"/>
    <w:basedOn w:val="a0"/>
    <w:link w:val="a4"/>
    <w:locked/>
    <w:rPr>
      <w:kern w:val="2"/>
      <w:sz w:val="21"/>
    </w:rPr>
  </w:style>
  <w:style w:type="paragraph" w:styleId="a5">
    <w:name w:val="Balloon Text"/>
    <w:basedOn w:val="a"/>
    <w:link w:val="Char1"/>
    <w:uiPriority w:val="99"/>
    <w:unhideWhenUsed/>
    <w:rPr>
      <w:sz w:val="18"/>
      <w:szCs w:val="18"/>
    </w:rPr>
  </w:style>
  <w:style w:type="character" w:customStyle="1" w:styleId="Char1">
    <w:name w:val="批注框文本 Char1"/>
    <w:basedOn w:val="a0"/>
    <w:link w:val="a5"/>
    <w:locked/>
    <w:rPr>
      <w:kern w:val="2"/>
      <w:sz w:val="18"/>
      <w:szCs w:val="18"/>
    </w:rPr>
  </w:style>
  <w:style w:type="paragraph" w:styleId="a6">
    <w:name w:val="footer"/>
    <w:basedOn w:val="a"/>
    <w:link w:val="Char21"/>
    <w:pPr>
      <w:tabs>
        <w:tab w:val="center" w:pos="4153"/>
        <w:tab w:val="right" w:pos="8306"/>
      </w:tabs>
      <w:snapToGrid w:val="0"/>
      <w:jc w:val="left"/>
    </w:pPr>
    <w:rPr>
      <w:sz w:val="18"/>
      <w:szCs w:val="18"/>
    </w:rPr>
  </w:style>
  <w:style w:type="character" w:customStyle="1" w:styleId="Char21">
    <w:name w:val="页脚 Char2"/>
    <w:basedOn w:val="a0"/>
    <w:link w:val="a6"/>
    <w:locked/>
    <w:rPr>
      <w:kern w:val="2"/>
      <w:sz w:val="18"/>
      <w:szCs w:val="18"/>
    </w:rPr>
  </w:style>
  <w:style w:type="paragraph" w:styleId="a7">
    <w:name w:val="header"/>
    <w:basedOn w:val="a"/>
    <w:link w:val="Char22"/>
    <w:pPr>
      <w:pBdr>
        <w:bottom w:val="single" w:sz="6" w:space="1" w:color="auto"/>
      </w:pBdr>
      <w:tabs>
        <w:tab w:val="center" w:pos="4153"/>
        <w:tab w:val="right" w:pos="8306"/>
      </w:tabs>
      <w:snapToGrid w:val="0"/>
      <w:jc w:val="center"/>
    </w:pPr>
    <w:rPr>
      <w:sz w:val="18"/>
      <w:szCs w:val="18"/>
    </w:rPr>
  </w:style>
  <w:style w:type="character" w:customStyle="1" w:styleId="Char22">
    <w:name w:val="页眉 Char2"/>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0"/>
    <w:qFormat/>
    <w:pPr>
      <w:spacing w:before="240" w:after="60" w:line="312" w:lineRule="auto"/>
      <w:jc w:val="left"/>
    </w:pPr>
    <w:rPr>
      <w:rFonts w:eastAsia="宋体"/>
      <w:bCs w:val="0"/>
      <w:kern w:val="24"/>
      <w:sz w:val="24"/>
    </w:rPr>
  </w:style>
  <w:style w:type="character" w:customStyle="1" w:styleId="Char10">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11"/>
    <w:pPr>
      <w:snapToGrid w:val="0"/>
      <w:jc w:val="left"/>
    </w:pPr>
    <w:rPr>
      <w:sz w:val="18"/>
      <w:szCs w:val="18"/>
    </w:rPr>
  </w:style>
  <w:style w:type="character" w:customStyle="1" w:styleId="Char11">
    <w:name w:val="脚注文本 Char1"/>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2"/>
    <w:uiPriority w:val="10"/>
    <w:qFormat/>
    <w:pPr>
      <w:keepNext w:val="0"/>
      <w:keepLines w:val="0"/>
      <w:spacing w:before="240" w:after="60"/>
      <w:jc w:val="center"/>
    </w:pPr>
    <w:rPr>
      <w:rFonts w:ascii="Cambria" w:hAnsi="Cambria" w:hint="default"/>
      <w:kern w:val="0"/>
      <w:sz w:val="32"/>
      <w:szCs w:val="32"/>
    </w:rPr>
  </w:style>
  <w:style w:type="character" w:customStyle="1" w:styleId="Char12">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af0">
    <w:name w:val="脚注文本 字符"/>
    <w:basedOn w:val="a0"/>
    <w:link w:val="a9"/>
    <w:locked/>
    <w:rPr>
      <w:kern w:val="2"/>
      <w:sz w:val="18"/>
      <w:szCs w:val="18"/>
    </w:rPr>
  </w:style>
  <w:style w:type="character" w:customStyle="1" w:styleId="Char">
    <w:name w:val="页脚 Char"/>
    <w:basedOn w:val="a0"/>
    <w:link w:val="a6"/>
    <w:locked/>
    <w:rPr>
      <w:kern w:val="2"/>
      <w:sz w:val="18"/>
      <w:szCs w:val="18"/>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Char0">
    <w:name w:val="脚注文本 Char"/>
    <w:basedOn w:val="a0"/>
    <w:link w:val="a9"/>
    <w:locked/>
    <w:rPr>
      <w:kern w:val="2"/>
      <w:sz w:val="18"/>
      <w:szCs w:val="18"/>
    </w:rPr>
  </w:style>
  <w:style w:type="paragraph" w:customStyle="1" w:styleId="af1">
    <w:name w:val="次标题"/>
    <w:basedOn w:val="3"/>
    <w:next w:val="a"/>
    <w:pPr>
      <w:spacing w:before="120" w:after="120"/>
      <w:jc w:val="left"/>
    </w:pPr>
    <w:rPr>
      <w:sz w:val="21"/>
    </w:rPr>
  </w:style>
  <w:style w:type="character" w:customStyle="1" w:styleId="1Char">
    <w:name w:val="标题 1 Char"/>
    <w:basedOn w:val="a0"/>
    <w:link w:val="1"/>
    <w:locked/>
    <w:rPr>
      <w:b/>
      <w:bCs/>
      <w:kern w:val="44"/>
      <w:sz w:val="44"/>
      <w:szCs w:val="44"/>
    </w:rPr>
  </w:style>
  <w:style w:type="character" w:customStyle="1" w:styleId="Char13">
    <w:name w:val="日期 Char1"/>
    <w:basedOn w:val="a0"/>
    <w:link w:val="a4"/>
    <w:locked/>
    <w:rPr>
      <w:rFonts w:ascii="宋体" w:eastAsia="宋体" w:hAnsi="宋体" w:cs="宋体" w:hint="eastAsia"/>
      <w:kern w:val="2"/>
      <w:sz w:val="32"/>
    </w:rPr>
  </w:style>
  <w:style w:type="character" w:customStyle="1" w:styleId="Char3">
    <w:name w:val="页眉 Char"/>
    <w:basedOn w:val="a0"/>
    <w:link w:val="a7"/>
    <w:locked/>
    <w:rPr>
      <w:kern w:val="2"/>
      <w:sz w:val="18"/>
      <w:szCs w:val="18"/>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Char4">
    <w:name w:val="日期 Char"/>
    <w:basedOn w:val="a0"/>
    <w:link w:val="a4"/>
    <w:locked/>
    <w:rPr>
      <w:kern w:val="2"/>
      <w:sz w:val="21"/>
    </w:rPr>
  </w:style>
  <w:style w:type="paragraph" w:customStyle="1" w:styleId="Char5">
    <w:name w:val="Char"/>
    <w:basedOn w:val="a"/>
  </w:style>
  <w:style w:type="character" w:customStyle="1" w:styleId="Char14">
    <w:name w:val="页脚 Char1"/>
    <w:basedOn w:val="a0"/>
    <w:link w:val="a6"/>
    <w:locked/>
    <w:rPr>
      <w:kern w:val="2"/>
      <w:sz w:val="18"/>
      <w:szCs w:val="18"/>
    </w:rPr>
  </w:style>
  <w:style w:type="character" w:customStyle="1" w:styleId="af2">
    <w:name w:val="标题 字符"/>
    <w:basedOn w:val="a0"/>
    <w:link w:val="ab"/>
    <w:locked/>
    <w:rPr>
      <w:rFonts w:ascii="Cambria" w:eastAsia="宋体" w:hAnsi="Cambria" w:cs="Times New Roman" w:hint="default"/>
      <w:b/>
      <w:bCs/>
      <w:kern w:val="2"/>
      <w:sz w:val="32"/>
      <w:szCs w:val="32"/>
    </w:rPr>
  </w:style>
  <w:style w:type="character" w:customStyle="1" w:styleId="5Char">
    <w:name w:val="标题 5 Char"/>
    <w:basedOn w:val="a0"/>
    <w:link w:val="5"/>
    <w:locked/>
    <w:rPr>
      <w:b/>
      <w:bCs/>
      <w:kern w:val="2"/>
      <w:sz w:val="24"/>
      <w:szCs w:val="24"/>
    </w:rPr>
  </w:style>
  <w:style w:type="character" w:customStyle="1" w:styleId="3Char">
    <w:name w:val="标题 3 Char"/>
    <w:basedOn w:val="a0"/>
    <w:link w:val="3"/>
    <w:locked/>
    <w:rPr>
      <w:b/>
      <w:bCs/>
      <w:kern w:val="2"/>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Char15">
    <w:name w:val="文档结构图 Char1"/>
    <w:basedOn w:val="a0"/>
    <w:link w:val="a3"/>
    <w:locked/>
    <w:rPr>
      <w:rFonts w:ascii="宋体" w:eastAsia="宋体" w:hAnsi="宋体" w:cs="宋体" w:hint="eastAsia"/>
      <w:kern w:val="2"/>
      <w:sz w:val="18"/>
      <w:szCs w:val="18"/>
    </w:rPr>
  </w:style>
  <w:style w:type="paragraph" w:customStyle="1" w:styleId="CharCharCharCharCharChar1CharCharChar">
    <w:name w:val="Char Char Char Char Char Char1 Char Char Char"/>
    <w:basedOn w:val="a"/>
    <w:pPr>
      <w:autoSpaceDE w:val="0"/>
      <w:autoSpaceDN w:val="0"/>
      <w:adjustRightInd w:val="0"/>
      <w:jc w:val="left"/>
    </w:p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6">
    <w:name w:val="标题 Char"/>
    <w:basedOn w:val="a0"/>
    <w:link w:val="ab"/>
    <w:locked/>
    <w:rPr>
      <w:rFonts w:ascii="Cambria" w:eastAsia="Cambria" w:hAnsi="Cambria" w:cs="Times New Roman" w:hint="default"/>
      <w:b/>
      <w:bCs/>
      <w:kern w:val="2"/>
      <w:sz w:val="32"/>
      <w:szCs w:val="32"/>
    </w:rPr>
  </w:style>
  <w:style w:type="character" w:customStyle="1" w:styleId="Char7">
    <w:name w:val="副标题 Char"/>
    <w:basedOn w:val="a0"/>
    <w:link w:val="a8"/>
    <w:locked/>
    <w:rPr>
      <w:rFonts w:ascii="Cambria" w:eastAsia="Cambria" w:hAnsi="Cambria" w:cs="Times New Roman" w:hint="default"/>
      <w:b/>
      <w:bCs/>
      <w:kern w:val="24"/>
      <w:sz w:val="32"/>
      <w:szCs w:val="32"/>
    </w:rPr>
  </w:style>
  <w:style w:type="paragraph" w:customStyle="1" w:styleId="XBRL3">
    <w:name w:val="XBRL标题3"/>
    <w:basedOn w:val="a8"/>
    <w:next w:val="4"/>
    <w:pPr>
      <w:spacing w:beforeLines="50" w:after="0"/>
    </w:pPr>
    <w:rPr>
      <w:bCs/>
    </w:rPr>
  </w:style>
  <w:style w:type="character" w:customStyle="1" w:styleId="Char16">
    <w:name w:val="页眉 Char1"/>
    <w:basedOn w:val="a0"/>
    <w:link w:val="a7"/>
    <w:locked/>
    <w:rPr>
      <w:kern w:val="2"/>
      <w:sz w:val="18"/>
      <w:szCs w:val="18"/>
    </w:rPr>
  </w:style>
  <w:style w:type="character" w:customStyle="1" w:styleId="Char8">
    <w:name w:val="文档结构图 Char"/>
    <w:basedOn w:val="a0"/>
    <w:link w:val="a3"/>
    <w:locked/>
    <w:rPr>
      <w:rFonts w:ascii="宋体" w:eastAsia="宋体" w:hAnsi="宋体" w:cs="宋体" w:hint="eastAsia"/>
      <w:kern w:val="2"/>
      <w:sz w:val="18"/>
      <w:szCs w:val="18"/>
    </w:rPr>
  </w:style>
  <w:style w:type="character" w:customStyle="1" w:styleId="Char9">
    <w:name w:val="批注框文本 Char"/>
    <w:basedOn w:val="a0"/>
    <w:link w:val="a5"/>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BRLTitle6">
    <w:name w:val="XBRLTitle6"/>
    <w:basedOn w:val="a8"/>
    <w:next w:val="4"/>
    <w:pPr>
      <w:numPr>
        <w:ilvl w:val="5"/>
        <w:numId w:val="1"/>
      </w:numPr>
      <w:spacing w:beforeLines="50" w:after="0"/>
    </w:pPr>
    <w:rPr>
      <w:bCs/>
    </w:rPr>
  </w:style>
  <w:style w:type="paragraph" w:customStyle="1" w:styleId="XBRL6">
    <w:name w:val="XBRL标题6"/>
    <w:basedOn w:val="a8"/>
    <w:next w:val="4"/>
    <w:pPr>
      <w:spacing w:beforeLines="50" w:after="0"/>
    </w:pPr>
    <w:rPr>
      <w:bCs/>
    </w:rPr>
  </w:style>
  <w:style w:type="paragraph" w:customStyle="1" w:styleId="XBRL2">
    <w:name w:val="XBRL标题2"/>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XBRL5">
    <w:name w:val="XBRL标题5"/>
    <w:basedOn w:val="a8"/>
    <w:next w:val="4"/>
    <w:pPr>
      <w:spacing w:beforeLines="50" w:after="0"/>
    </w:pPr>
    <w:rPr>
      <w:bCs/>
    </w:rPr>
  </w:style>
  <w:style w:type="paragraph" w:customStyle="1" w:styleId="XBRLTitle5">
    <w:name w:val="XBRLTitle5"/>
    <w:basedOn w:val="a8"/>
    <w:next w:val="4"/>
    <w:pPr>
      <w:numPr>
        <w:ilvl w:val="4"/>
        <w:numId w:val="1"/>
      </w:numPr>
      <w:spacing w:beforeLines="50" w:after="0"/>
    </w:pPr>
    <w:rPr>
      <w:bCs/>
    </w:rPr>
  </w:style>
  <w:style w:type="paragraph" w:customStyle="1" w:styleId="XBRL4">
    <w:name w:val="XBRL标题4"/>
    <w:basedOn w:val="a8"/>
    <w:next w:val="4"/>
    <w:p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hint="default"/>
      <w:kern w:val="0"/>
      <w:sz w:val="24"/>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1">
    <w:name w:val="标题 1 字符"/>
    <w:basedOn w:val="a0"/>
    <w:link w:val="1"/>
    <w:locked/>
    <w:rPr>
      <w:b/>
      <w:bCs/>
      <w:kern w:val="44"/>
      <w:sz w:val="44"/>
      <w:szCs w:val="4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31">
    <w:name w:val="标题 3 字符"/>
    <w:basedOn w:val="a0"/>
    <w:link w:val="3"/>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3">
    <w:name w:val="副标题 字符"/>
    <w:basedOn w:val="a0"/>
    <w:link w:val="a8"/>
    <w:locked/>
    <w:rPr>
      <w:rFonts w:ascii="Calibri" w:eastAsia="宋体" w:hAnsi="Calibri" w:cs="Times New Roman" w:hint="default"/>
      <w:b/>
      <w:bCs/>
      <w:kern w:val="24"/>
      <w:sz w:val="32"/>
      <w:szCs w:val="32"/>
    </w:rPr>
  </w:style>
  <w:style w:type="character" w:customStyle="1" w:styleId="af4">
    <w:name w:val="批注框文本 字符"/>
    <w:basedOn w:val="a0"/>
    <w:link w:val="a5"/>
    <w:locked/>
    <w:rPr>
      <w:kern w:val="2"/>
      <w:sz w:val="18"/>
      <w:szCs w:val="18"/>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1591</Characters>
  <Application>Microsoft Office Word</Application>
  <DocSecurity>4</DocSecurity>
  <Lines>13</Lines>
  <Paragraphs>3</Paragraphs>
  <ScaleCrop>false</ScaleCrop>
  <Company>CNSTOCK</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2026-01-13T16:01:00Z</dcterms:created>
  <dcterms:modified xsi:type="dcterms:W3CDTF">2026-01-13T16:01:00Z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2FF226BD69A6469B8B08C29A049990AA</vt:lpwstr>
  </property>
</Properties>
</file>