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229" w:rsidRDefault="0025569B">
      <w:pPr>
        <w:widowControl/>
        <w:jc w:val="center"/>
        <w:rPr>
          <w:rFonts w:ascii="宋体" w:hAnsi="宋体" w:cs="宋体"/>
          <w:b/>
          <w:color w:val="000000" w:themeColor="text1"/>
          <w:kern w:val="0"/>
          <w:szCs w:val="24"/>
        </w:rPr>
      </w:pPr>
      <w:bookmarkStart w:id="0" w:name="_GoBack"/>
      <w:bookmarkEnd w:id="0"/>
      <w:r>
        <w:rPr>
          <w:rFonts w:ascii="宋体" w:hAnsi="宋体" w:cs="宋体"/>
          <w:b/>
          <w:color w:val="000000" w:themeColor="text1"/>
          <w:kern w:val="0"/>
          <w:szCs w:val="24"/>
        </w:rPr>
        <w:t>华夏基金管理有限公司关于</w:t>
      </w:r>
    </w:p>
    <w:p w:rsidR="00DE7229" w:rsidRDefault="0025569B">
      <w:pPr>
        <w:widowControl/>
        <w:jc w:val="center"/>
        <w:rPr>
          <w:rFonts w:ascii="宋体" w:hAnsi="宋体" w:cs="宋体"/>
          <w:b/>
          <w:color w:val="000000" w:themeColor="text1"/>
          <w:kern w:val="0"/>
          <w:szCs w:val="24"/>
        </w:rPr>
      </w:pPr>
      <w:r>
        <w:rPr>
          <w:rFonts w:ascii="宋体" w:hAnsi="宋体" w:cs="宋体"/>
          <w:b/>
          <w:color w:val="000000" w:themeColor="text1"/>
          <w:kern w:val="0"/>
          <w:szCs w:val="24"/>
        </w:rPr>
        <w:t>华夏新时代灵活配置混合型证券投资基金（QDII）</w:t>
      </w:r>
    </w:p>
    <w:p w:rsidR="00DE7229" w:rsidRDefault="0025569B">
      <w:pPr>
        <w:widowControl/>
        <w:jc w:val="center"/>
        <w:rPr>
          <w:rFonts w:ascii="宋体" w:hAnsi="宋体" w:cs="宋体"/>
          <w:b/>
          <w:color w:val="000000" w:themeColor="text1"/>
          <w:kern w:val="0"/>
          <w:szCs w:val="24"/>
        </w:rPr>
      </w:pPr>
      <w:r>
        <w:rPr>
          <w:rFonts w:ascii="宋体" w:hAnsi="宋体" w:cs="宋体"/>
          <w:b/>
          <w:color w:val="000000" w:themeColor="text1"/>
          <w:kern w:val="0"/>
          <w:szCs w:val="24"/>
        </w:rPr>
        <w:t>在境外主要投资场所2026年节假日暂停申购、赎回等业务的公告</w:t>
      </w:r>
    </w:p>
    <w:p w:rsidR="00DE7229" w:rsidRDefault="00DE7229">
      <w:pPr>
        <w:spacing w:line="560" w:lineRule="exact"/>
        <w:jc w:val="center"/>
        <w:rPr>
          <w:rFonts w:asciiTheme="minorEastAsia" w:eastAsiaTheme="minorEastAsia" w:hAnsiTheme="minorEastAsia" w:cs="宋体"/>
          <w:bCs/>
          <w:color w:val="000000" w:themeColor="text1"/>
          <w:szCs w:val="24"/>
        </w:rPr>
      </w:pP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为保护基金份额持有人的利益，保障基金平稳运作，根据《华夏新时代灵活配置混合型证券投资基金（QDII）基金合同》《华夏新时代灵活配置混合型证券投资基金（QDII）招募说明书》及其更新的相关规定，及基金境外主要投资场所节假日休市安排，华夏新时代灵活配置混合型证券投资基金（QDII）（基金简称“华夏新时代混合（QDII）”，基金代码：005534（人民币）、012924（美元现汇）、012925（美元现钞））将在其境外主要投资场所的节假日</w:t>
      </w:r>
      <w:r>
        <w:rPr>
          <w:rFonts w:asciiTheme="minorEastAsia" w:eastAsiaTheme="minorEastAsia" w:hAnsiTheme="minorEastAsia" w:hint="eastAsia"/>
          <w:color w:val="000000" w:themeColor="text1"/>
          <w:szCs w:val="24"/>
        </w:rPr>
        <w:t>（含</w:t>
      </w:r>
      <w:r w:rsidRPr="00A069C5">
        <w:rPr>
          <w:rFonts w:asciiTheme="minorEastAsia" w:eastAsiaTheme="minorEastAsia" w:hAnsiTheme="minorEastAsia" w:hint="eastAsia"/>
          <w:color w:val="000000" w:themeColor="text1"/>
          <w:szCs w:val="24"/>
        </w:rPr>
        <w:t>香港交易所</w:t>
      </w:r>
      <w:r>
        <w:rPr>
          <w:rFonts w:asciiTheme="minorEastAsia" w:eastAsiaTheme="minorEastAsia" w:hAnsiTheme="minorEastAsia" w:hint="eastAsia"/>
          <w:color w:val="000000" w:themeColor="text1"/>
          <w:szCs w:val="24"/>
        </w:rPr>
        <w:t>半日市）</w:t>
      </w:r>
      <w:r>
        <w:rPr>
          <w:rFonts w:asciiTheme="minorEastAsia" w:eastAsiaTheme="minorEastAsia" w:hAnsiTheme="minorEastAsia"/>
          <w:color w:val="000000" w:themeColor="text1"/>
          <w:szCs w:val="24"/>
        </w:rPr>
        <w:t>暂停办理申购、赎回、定期定额申购（如有）、转换（如有）业务，并将自该节假日结束后首个开放日恢复办理上述业务，届时不再另行公告。各基金份额或各销售币种业务开放状态以其各自规定为准，具体详见本公司发布的有关公告。涉及基金境外主要投资场所2026年节假日提示如下：</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2026年1月19日</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2026年4月3日</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2026年4月7日</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2026年5月25日</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2026年7月1日</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2026年7月3日</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2026年9月7日</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2026年10月19日</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2026年11月26日</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2026年12月24日</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2026年12月25日</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2026年12月31日</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注：1、上述境外主要投资场所节假日已剔除和国内双休日及法定节假日重合的日期。</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2、若上述境外主要投资场所节假日在境内双休日或法定节假日次日的（如</w:t>
      </w:r>
      <w:r>
        <w:rPr>
          <w:rFonts w:asciiTheme="minorEastAsia" w:eastAsiaTheme="minorEastAsia" w:hAnsiTheme="minorEastAsia"/>
          <w:color w:val="000000" w:themeColor="text1"/>
          <w:szCs w:val="24"/>
        </w:rPr>
        <w:lastRenderedPageBreak/>
        <w:t>周一），该基金自节假日前一个开放日15：00后也将暂停接受投资者提交的申购、赎回等业务申请。</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3、如遇该基金因其他原因暂停申购、赎回等业务的，具体业务办理以相关公告为准。</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4、各基金份额或各销售币种业务开放状态以其各自规定为准，具体详见本公司发布的有关公告。</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本公告为因基金境外主要投资场所节假日休市安排暂停和后续恢复相关业务的说明，涉及基金如因其他原因已暂停申购、赎回等业务、限制有关业务上限或有其他交易状态限制的，具体业务办理以相关公告为准。各基金份额或各销售币种业务开放状态以其各自规定为准，具体详见本公司发布的有关公告。</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若节假日安排、境外主要投资场所状况等发生变化，或根据法律法规、基金合同等规定需要调整上述事项的，或中国证监会、证券交易所发布新的节假日放假和休市安排影响基金申赎等业务办理的，本公司将相应调整并及时公告。为避免因假期原因带来的不便，敬请投资者提前进行相关业务安排。</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投资者可登录本公司网站（www.ChinaAMC.com）或拨打本公司客户服务电话（400-818-6666）获取相关信息。</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特此公告</w:t>
      </w:r>
    </w:p>
    <w:p w:rsidR="00DE7229" w:rsidRDefault="00DE7229">
      <w:pPr>
        <w:tabs>
          <w:tab w:val="left" w:pos="2268"/>
        </w:tabs>
        <w:ind w:firstLineChars="200" w:firstLine="480"/>
        <w:rPr>
          <w:rFonts w:asciiTheme="minorEastAsia" w:hAnsiTheme="minorEastAsia"/>
          <w:color w:val="000000" w:themeColor="text1"/>
          <w:szCs w:val="24"/>
        </w:rPr>
      </w:pP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华夏基金管理有限公司</w:t>
      </w:r>
    </w:p>
    <w:p w:rsidR="00DE7229" w:rsidRDefault="0025569B">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二〇二六年一月十四日</w:t>
      </w:r>
    </w:p>
    <w:sectPr w:rsidR="00DE7229"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7E0" w:rsidRDefault="009E07E0" w:rsidP="00D327FA">
      <w:r>
        <w:separator/>
      </w:r>
    </w:p>
  </w:endnote>
  <w:endnote w:type="continuationSeparator" w:id="0">
    <w:p w:rsidR="009E07E0" w:rsidRDefault="009E07E0" w:rsidP="00D32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方正仿宋简体">
    <w:altName w:val="等线"/>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7E0" w:rsidRDefault="009E07E0" w:rsidP="00D327FA">
      <w:r>
        <w:separator/>
      </w:r>
    </w:p>
  </w:footnote>
  <w:footnote w:type="continuationSeparator" w:id="0">
    <w:p w:rsidR="009E07E0" w:rsidRDefault="009E07E0" w:rsidP="00D32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E74DD"/>
    <w:multiLevelType w:val="hybridMultilevel"/>
    <w:tmpl w:val="35289760"/>
    <w:lvl w:ilvl="0" w:tplc="BE9038D6">
      <w:start w:val="1"/>
      <w:numFmt w:val="decimal"/>
      <w:lvlText w:val="%1."/>
      <w:lvlJc w:val="left"/>
      <w:pPr>
        <w:ind w:left="440" w:hanging="440"/>
      </w:pPr>
      <w:rPr>
        <w:rFonts w:eastAsiaTheme="minorEastAsia" w:hint="default"/>
        <w:b/>
        <w:i w:val="0"/>
        <w:caps w:val="0"/>
        <w:strike w:val="0"/>
        <w:dstrike w:val="0"/>
        <w:vanish w:val="0"/>
        <w:color w:val="000000" w:themeColor="text1"/>
        <w:sz w:val="24"/>
        <w:vertAlign w:val="baseli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516D155E"/>
    <w:multiLevelType w:val="hybridMultilevel"/>
    <w:tmpl w:val="35289760"/>
    <w:lvl w:ilvl="0" w:tplc="BE9038D6">
      <w:start w:val="1"/>
      <w:numFmt w:val="decimal"/>
      <w:lvlText w:val="%1."/>
      <w:lvlJc w:val="left"/>
      <w:pPr>
        <w:ind w:left="440" w:hanging="440"/>
      </w:pPr>
      <w:rPr>
        <w:rFonts w:eastAsiaTheme="minorEastAsia" w:hint="default"/>
        <w:b/>
        <w:i w:val="0"/>
        <w:caps w:val="0"/>
        <w:strike w:val="0"/>
        <w:dstrike w:val="0"/>
        <w:vanish w:val="0"/>
        <w:color w:val="000000" w:themeColor="text1"/>
        <w:sz w:val="24"/>
        <w:vertAlign w:val="baseli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D327FA"/>
    <w:rsid w:val="00016DF0"/>
    <w:rsid w:val="0001763B"/>
    <w:rsid w:val="00041353"/>
    <w:rsid w:val="000564C9"/>
    <w:rsid w:val="00063537"/>
    <w:rsid w:val="00072257"/>
    <w:rsid w:val="00073C8F"/>
    <w:rsid w:val="0007778F"/>
    <w:rsid w:val="00080E4E"/>
    <w:rsid w:val="0008508A"/>
    <w:rsid w:val="0009285F"/>
    <w:rsid w:val="000C20D3"/>
    <w:rsid w:val="000D1D8F"/>
    <w:rsid w:val="000D472C"/>
    <w:rsid w:val="000E4B5B"/>
    <w:rsid w:val="000E4CBF"/>
    <w:rsid w:val="000F4816"/>
    <w:rsid w:val="000F55E1"/>
    <w:rsid w:val="00112D72"/>
    <w:rsid w:val="0013025A"/>
    <w:rsid w:val="001349CA"/>
    <w:rsid w:val="00162F21"/>
    <w:rsid w:val="001655B7"/>
    <w:rsid w:val="00165C89"/>
    <w:rsid w:val="00180DA3"/>
    <w:rsid w:val="0018203B"/>
    <w:rsid w:val="00185FAC"/>
    <w:rsid w:val="001A2512"/>
    <w:rsid w:val="001A6784"/>
    <w:rsid w:val="001B4F9F"/>
    <w:rsid w:val="001B6082"/>
    <w:rsid w:val="001B6753"/>
    <w:rsid w:val="001B740D"/>
    <w:rsid w:val="001D378F"/>
    <w:rsid w:val="001D3B58"/>
    <w:rsid w:val="001D4E79"/>
    <w:rsid w:val="00204BA1"/>
    <w:rsid w:val="00212BAA"/>
    <w:rsid w:val="00232F2F"/>
    <w:rsid w:val="002356AE"/>
    <w:rsid w:val="00245724"/>
    <w:rsid w:val="00250A46"/>
    <w:rsid w:val="0025569B"/>
    <w:rsid w:val="00260724"/>
    <w:rsid w:val="00262098"/>
    <w:rsid w:val="00262898"/>
    <w:rsid w:val="00262A65"/>
    <w:rsid w:val="0026472A"/>
    <w:rsid w:val="002674C0"/>
    <w:rsid w:val="002728EF"/>
    <w:rsid w:val="0027595B"/>
    <w:rsid w:val="002832CE"/>
    <w:rsid w:val="00285347"/>
    <w:rsid w:val="00285443"/>
    <w:rsid w:val="00286795"/>
    <w:rsid w:val="002935EF"/>
    <w:rsid w:val="00297148"/>
    <w:rsid w:val="002A31D8"/>
    <w:rsid w:val="002A6277"/>
    <w:rsid w:val="002B746A"/>
    <w:rsid w:val="002C5FA8"/>
    <w:rsid w:val="002E22DD"/>
    <w:rsid w:val="002F21FF"/>
    <w:rsid w:val="002F7241"/>
    <w:rsid w:val="00307C34"/>
    <w:rsid w:val="0032697F"/>
    <w:rsid w:val="00327DA7"/>
    <w:rsid w:val="00333BAD"/>
    <w:rsid w:val="0033424F"/>
    <w:rsid w:val="0033476C"/>
    <w:rsid w:val="00342442"/>
    <w:rsid w:val="00346642"/>
    <w:rsid w:val="00360949"/>
    <w:rsid w:val="0036784E"/>
    <w:rsid w:val="00386B73"/>
    <w:rsid w:val="003D0DCF"/>
    <w:rsid w:val="003D16FB"/>
    <w:rsid w:val="003D3818"/>
    <w:rsid w:val="003F6F60"/>
    <w:rsid w:val="00414C3B"/>
    <w:rsid w:val="00446B14"/>
    <w:rsid w:val="00450C0A"/>
    <w:rsid w:val="004551CD"/>
    <w:rsid w:val="00474071"/>
    <w:rsid w:val="004966BA"/>
    <w:rsid w:val="004A2142"/>
    <w:rsid w:val="004A3334"/>
    <w:rsid w:val="004A334D"/>
    <w:rsid w:val="004B1D96"/>
    <w:rsid w:val="004D5A7A"/>
    <w:rsid w:val="004D6346"/>
    <w:rsid w:val="004E6501"/>
    <w:rsid w:val="004F0521"/>
    <w:rsid w:val="004F51E8"/>
    <w:rsid w:val="005013CF"/>
    <w:rsid w:val="00502B3B"/>
    <w:rsid w:val="005038DB"/>
    <w:rsid w:val="00505DFE"/>
    <w:rsid w:val="005067BC"/>
    <w:rsid w:val="00517899"/>
    <w:rsid w:val="00531865"/>
    <w:rsid w:val="00536E8E"/>
    <w:rsid w:val="00536FEA"/>
    <w:rsid w:val="005527A1"/>
    <w:rsid w:val="0055497B"/>
    <w:rsid w:val="00564113"/>
    <w:rsid w:val="0056511E"/>
    <w:rsid w:val="005679E0"/>
    <w:rsid w:val="005864A5"/>
    <w:rsid w:val="00590722"/>
    <w:rsid w:val="005C1955"/>
    <w:rsid w:val="005C2C79"/>
    <w:rsid w:val="005C6222"/>
    <w:rsid w:val="005E0AEC"/>
    <w:rsid w:val="005E2ED8"/>
    <w:rsid w:val="005F28B9"/>
    <w:rsid w:val="005F2DBE"/>
    <w:rsid w:val="005F768B"/>
    <w:rsid w:val="005F78A9"/>
    <w:rsid w:val="00603A93"/>
    <w:rsid w:val="00633C51"/>
    <w:rsid w:val="006416C7"/>
    <w:rsid w:val="00646522"/>
    <w:rsid w:val="006613A4"/>
    <w:rsid w:val="00663031"/>
    <w:rsid w:val="00677437"/>
    <w:rsid w:val="006834ED"/>
    <w:rsid w:val="006942CA"/>
    <w:rsid w:val="006A0A5E"/>
    <w:rsid w:val="006B1B5E"/>
    <w:rsid w:val="006B222F"/>
    <w:rsid w:val="006B3DF2"/>
    <w:rsid w:val="006B78B0"/>
    <w:rsid w:val="006D03C1"/>
    <w:rsid w:val="006E48AD"/>
    <w:rsid w:val="0073228C"/>
    <w:rsid w:val="007370C3"/>
    <w:rsid w:val="007409E4"/>
    <w:rsid w:val="00753E39"/>
    <w:rsid w:val="00762FED"/>
    <w:rsid w:val="00770DB7"/>
    <w:rsid w:val="007729A5"/>
    <w:rsid w:val="00776EAB"/>
    <w:rsid w:val="00782EEE"/>
    <w:rsid w:val="00797A74"/>
    <w:rsid w:val="007A0F8B"/>
    <w:rsid w:val="007A15A7"/>
    <w:rsid w:val="007A42DE"/>
    <w:rsid w:val="007B0250"/>
    <w:rsid w:val="007B0698"/>
    <w:rsid w:val="007B1D31"/>
    <w:rsid w:val="007D038F"/>
    <w:rsid w:val="007D5CAB"/>
    <w:rsid w:val="007E33A4"/>
    <w:rsid w:val="007F6518"/>
    <w:rsid w:val="0081610F"/>
    <w:rsid w:val="00826C33"/>
    <w:rsid w:val="008472DB"/>
    <w:rsid w:val="00865F38"/>
    <w:rsid w:val="0086663B"/>
    <w:rsid w:val="0087062E"/>
    <w:rsid w:val="00870F3B"/>
    <w:rsid w:val="008712F5"/>
    <w:rsid w:val="00880492"/>
    <w:rsid w:val="00893300"/>
    <w:rsid w:val="008B2368"/>
    <w:rsid w:val="008C3668"/>
    <w:rsid w:val="008C49A5"/>
    <w:rsid w:val="008D6773"/>
    <w:rsid w:val="008E7A23"/>
    <w:rsid w:val="00911863"/>
    <w:rsid w:val="00926537"/>
    <w:rsid w:val="009277E0"/>
    <w:rsid w:val="009341EE"/>
    <w:rsid w:val="00941EB0"/>
    <w:rsid w:val="00956B0F"/>
    <w:rsid w:val="00975DC2"/>
    <w:rsid w:val="0098579D"/>
    <w:rsid w:val="009918F1"/>
    <w:rsid w:val="009B419A"/>
    <w:rsid w:val="009B63CA"/>
    <w:rsid w:val="009C5858"/>
    <w:rsid w:val="009E07E0"/>
    <w:rsid w:val="009E3C65"/>
    <w:rsid w:val="00A07EF6"/>
    <w:rsid w:val="00A15644"/>
    <w:rsid w:val="00A2638C"/>
    <w:rsid w:val="00A26866"/>
    <w:rsid w:val="00A26A77"/>
    <w:rsid w:val="00A3337B"/>
    <w:rsid w:val="00A40355"/>
    <w:rsid w:val="00A428CE"/>
    <w:rsid w:val="00A44FC0"/>
    <w:rsid w:val="00A471A6"/>
    <w:rsid w:val="00A52C5B"/>
    <w:rsid w:val="00A5414E"/>
    <w:rsid w:val="00A54C32"/>
    <w:rsid w:val="00A56326"/>
    <w:rsid w:val="00A61CBB"/>
    <w:rsid w:val="00A62AE0"/>
    <w:rsid w:val="00A73107"/>
    <w:rsid w:val="00A977AA"/>
    <w:rsid w:val="00AB3257"/>
    <w:rsid w:val="00AB7085"/>
    <w:rsid w:val="00AD7BDD"/>
    <w:rsid w:val="00AF024E"/>
    <w:rsid w:val="00AF190C"/>
    <w:rsid w:val="00AF4CDF"/>
    <w:rsid w:val="00B0159D"/>
    <w:rsid w:val="00B101F7"/>
    <w:rsid w:val="00B32966"/>
    <w:rsid w:val="00B40605"/>
    <w:rsid w:val="00B441B1"/>
    <w:rsid w:val="00B47F44"/>
    <w:rsid w:val="00B576A3"/>
    <w:rsid w:val="00B872E5"/>
    <w:rsid w:val="00B9331C"/>
    <w:rsid w:val="00B93A70"/>
    <w:rsid w:val="00BA6DA8"/>
    <w:rsid w:val="00BD545A"/>
    <w:rsid w:val="00BD601B"/>
    <w:rsid w:val="00BD61E9"/>
    <w:rsid w:val="00BE09E1"/>
    <w:rsid w:val="00BE5016"/>
    <w:rsid w:val="00C257D0"/>
    <w:rsid w:val="00C26E00"/>
    <w:rsid w:val="00C5395C"/>
    <w:rsid w:val="00C627EE"/>
    <w:rsid w:val="00C62978"/>
    <w:rsid w:val="00C70EDA"/>
    <w:rsid w:val="00C72266"/>
    <w:rsid w:val="00C92E88"/>
    <w:rsid w:val="00CA34A2"/>
    <w:rsid w:val="00CD3D31"/>
    <w:rsid w:val="00CD5B18"/>
    <w:rsid w:val="00CD722B"/>
    <w:rsid w:val="00CF2747"/>
    <w:rsid w:val="00CF5898"/>
    <w:rsid w:val="00CF6533"/>
    <w:rsid w:val="00D10B03"/>
    <w:rsid w:val="00D114B7"/>
    <w:rsid w:val="00D1480F"/>
    <w:rsid w:val="00D21B00"/>
    <w:rsid w:val="00D327FA"/>
    <w:rsid w:val="00D36BEB"/>
    <w:rsid w:val="00D42AD3"/>
    <w:rsid w:val="00D55DBB"/>
    <w:rsid w:val="00D62915"/>
    <w:rsid w:val="00DA7F28"/>
    <w:rsid w:val="00DB42FE"/>
    <w:rsid w:val="00DB6474"/>
    <w:rsid w:val="00DC1CE2"/>
    <w:rsid w:val="00DC6F56"/>
    <w:rsid w:val="00DD22A8"/>
    <w:rsid w:val="00DD3FEC"/>
    <w:rsid w:val="00DE7229"/>
    <w:rsid w:val="00DF1647"/>
    <w:rsid w:val="00E05533"/>
    <w:rsid w:val="00E06F2D"/>
    <w:rsid w:val="00E3130F"/>
    <w:rsid w:val="00E357F3"/>
    <w:rsid w:val="00E4763B"/>
    <w:rsid w:val="00E53F1B"/>
    <w:rsid w:val="00E71FA8"/>
    <w:rsid w:val="00E779C9"/>
    <w:rsid w:val="00E830A4"/>
    <w:rsid w:val="00E855DB"/>
    <w:rsid w:val="00E9370C"/>
    <w:rsid w:val="00E95E76"/>
    <w:rsid w:val="00E97C50"/>
    <w:rsid w:val="00EB47E2"/>
    <w:rsid w:val="00EB5758"/>
    <w:rsid w:val="00EC78C9"/>
    <w:rsid w:val="00ED2002"/>
    <w:rsid w:val="00EE1823"/>
    <w:rsid w:val="00EF09EE"/>
    <w:rsid w:val="00EF5AEE"/>
    <w:rsid w:val="00F15B17"/>
    <w:rsid w:val="00F2426C"/>
    <w:rsid w:val="00F2698B"/>
    <w:rsid w:val="00F320F0"/>
    <w:rsid w:val="00F32A42"/>
    <w:rsid w:val="00F40C14"/>
    <w:rsid w:val="00F422CD"/>
    <w:rsid w:val="00F6361B"/>
    <w:rsid w:val="00F64447"/>
    <w:rsid w:val="00F711AC"/>
    <w:rsid w:val="00F80E0D"/>
    <w:rsid w:val="00F9469B"/>
    <w:rsid w:val="00FB2366"/>
    <w:rsid w:val="00FB781B"/>
    <w:rsid w:val="00FC416C"/>
    <w:rsid w:val="00FD1170"/>
    <w:rsid w:val="00FD627B"/>
    <w:rsid w:val="00FE09B6"/>
    <w:rsid w:val="00FF78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443"/>
    <w:pPr>
      <w:widowControl w:val="0"/>
      <w:spacing w:line="360" w:lineRule="auto"/>
      <w:jc w:val="both"/>
    </w:pPr>
    <w:rPr>
      <w:rFonts w:ascii="Times New Roman" w:eastAsia="宋体" w:hAnsi="Times New Roman" w:cs="Times New Roman"/>
      <w:sz w:val="24"/>
      <w:szCs w:val="20"/>
    </w:rPr>
  </w:style>
  <w:style w:type="paragraph" w:styleId="1">
    <w:name w:val="heading 1"/>
    <w:basedOn w:val="a"/>
    <w:next w:val="a"/>
    <w:link w:val="1Char"/>
    <w:qFormat/>
    <w:rsid w:val="00285443"/>
    <w:pPr>
      <w:keepNext/>
      <w:keepLines/>
      <w:spacing w:before="260" w:after="260" w:line="415" w:lineRule="auto"/>
      <w:outlineLvl w:val="0"/>
    </w:pPr>
    <w:rPr>
      <w:b/>
      <w:bCs/>
      <w:kern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85443"/>
    <w:rPr>
      <w:rFonts w:ascii="Times New Roman" w:eastAsia="宋体" w:hAnsi="Times New Roman" w:cs="Times New Roman"/>
      <w:b/>
      <w:bCs/>
      <w:kern w:val="44"/>
      <w:sz w:val="2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character" w:styleId="a8">
    <w:name w:val="Placeholder Text"/>
    <w:basedOn w:val="a0"/>
    <w:uiPriority w:val="99"/>
    <w:semiHidden/>
    <w:rsid w:val="00F2698B"/>
    <w:rPr>
      <w:color w:val="auto"/>
    </w:rPr>
  </w:style>
</w:styles>
</file>

<file path=word/webSettings.xml><?xml version="1.0" encoding="utf-8"?>
<w:webSettings xmlns:r="http://schemas.openxmlformats.org/officeDocument/2006/relationships" xmlns:w="http://schemas.openxmlformats.org/wordprocessingml/2006/main">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669910271">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 w:id="1344437508">
      <w:bodyDiv w:val="1"/>
      <w:marLeft w:val="0"/>
      <w:marRight w:val="0"/>
      <w:marTop w:val="0"/>
      <w:marBottom w:val="0"/>
      <w:divBdr>
        <w:top w:val="none" w:sz="0" w:space="0" w:color="auto"/>
        <w:left w:val="none" w:sz="0" w:space="0" w:color="auto"/>
        <w:bottom w:val="none" w:sz="0" w:space="0" w:color="auto"/>
        <w:right w:val="none" w:sz="0" w:space="0" w:color="auto"/>
      </w:divBdr>
      <w:divsChild>
        <w:div w:id="237440643">
          <w:marLeft w:val="0"/>
          <w:marRight w:val="0"/>
          <w:marTop w:val="0"/>
          <w:marBottom w:val="0"/>
          <w:divBdr>
            <w:top w:val="none" w:sz="0" w:space="0" w:color="auto"/>
            <w:left w:val="none" w:sz="0" w:space="0" w:color="auto"/>
            <w:bottom w:val="none" w:sz="0" w:space="0" w:color="auto"/>
            <w:right w:val="none" w:sz="0" w:space="0" w:color="auto"/>
          </w:divBdr>
        </w:div>
      </w:divsChild>
    </w:div>
    <w:div w:id="1574926478">
      <w:bodyDiv w:val="1"/>
      <w:marLeft w:val="0"/>
      <w:marRight w:val="0"/>
      <w:marTop w:val="0"/>
      <w:marBottom w:val="0"/>
      <w:divBdr>
        <w:top w:val="none" w:sz="0" w:space="0" w:color="auto"/>
        <w:left w:val="none" w:sz="0" w:space="0" w:color="auto"/>
        <w:bottom w:val="none" w:sz="0" w:space="0" w:color="auto"/>
        <w:right w:val="none" w:sz="0" w:space="0" w:color="auto"/>
      </w:divBdr>
      <w:divsChild>
        <w:div w:id="608051475">
          <w:marLeft w:val="0"/>
          <w:marRight w:val="0"/>
          <w:marTop w:val="0"/>
          <w:marBottom w:val="0"/>
          <w:divBdr>
            <w:top w:val="none" w:sz="0" w:space="0" w:color="auto"/>
            <w:left w:val="none" w:sz="0" w:space="0" w:color="auto"/>
            <w:bottom w:val="none" w:sz="0" w:space="0" w:color="auto"/>
            <w:right w:val="none" w:sz="0" w:space="0" w:color="auto"/>
          </w:divBdr>
        </w:div>
      </w:divsChild>
    </w:div>
    <w:div w:id="1923249491">
      <w:bodyDiv w:val="1"/>
      <w:marLeft w:val="0"/>
      <w:marRight w:val="0"/>
      <w:marTop w:val="0"/>
      <w:marBottom w:val="0"/>
      <w:divBdr>
        <w:top w:val="none" w:sz="0" w:space="0" w:color="auto"/>
        <w:left w:val="none" w:sz="0" w:space="0" w:color="auto"/>
        <w:bottom w:val="none" w:sz="0" w:space="0" w:color="auto"/>
        <w:right w:val="none" w:sz="0" w:space="0" w:color="auto"/>
      </w:divBdr>
      <w:divsChild>
        <w:div w:id="2080589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1252</Characters>
  <Application>Microsoft Office Word</Application>
  <DocSecurity>4</DocSecurity>
  <Lines>10</Lines>
  <Paragraphs>2</Paragraphs>
  <ScaleCrop>false</ScaleCrop>
  <Company>微软中国</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2026-01-13T16:03:00Z</dcterms:created>
  <dcterms:modified xsi:type="dcterms:W3CDTF">2026-01-13T16:03:00Z</dcterms:modified>
</cp:coreProperties>
</file>