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C74A3">
      <w:pPr>
        <w:spacing w:line="360" w:lineRule="auto"/>
        <w:jc w:val="center"/>
        <w:rPr>
          <w:rStyle w:val="da"/>
          <w:rFonts w:ascii="黑体" w:eastAsia="黑体" w:hAnsi="黑体" w:cs="黑体" w:hint="eastAsia"/>
          <w:b/>
          <w:bCs/>
          <w:sz w:val="30"/>
          <w:szCs w:val="30"/>
        </w:rPr>
      </w:pPr>
      <w:r>
        <w:rPr>
          <w:rStyle w:val="da"/>
          <w:rFonts w:ascii="黑体" w:eastAsia="黑体" w:hAnsi="黑体" w:cs="黑体" w:hint="eastAsia"/>
          <w:b/>
          <w:bCs/>
          <w:sz w:val="30"/>
          <w:szCs w:val="30"/>
        </w:rPr>
        <w:t>东吴基金管理有限公司关于旗下</w:t>
      </w:r>
      <w:r>
        <w:rPr>
          <w:rStyle w:val="da"/>
          <w:rFonts w:ascii="黑体" w:eastAsia="黑体" w:hAnsi="黑体" w:cs="黑体" w:hint="eastAsia"/>
          <w:b/>
          <w:bCs/>
          <w:sz w:val="30"/>
          <w:szCs w:val="30"/>
        </w:rPr>
        <w:t>部分</w:t>
      </w:r>
      <w:r>
        <w:rPr>
          <w:rStyle w:val="da"/>
          <w:rFonts w:ascii="黑体" w:eastAsia="黑体" w:hAnsi="黑体" w:cs="黑体" w:hint="eastAsia"/>
          <w:b/>
          <w:bCs/>
          <w:sz w:val="30"/>
          <w:szCs w:val="30"/>
        </w:rPr>
        <w:t>基金新增深圳腾元基金销售有限公司为代销机构</w:t>
      </w:r>
      <w:r>
        <w:rPr>
          <w:rStyle w:val="da"/>
          <w:rFonts w:ascii="黑体" w:eastAsia="黑体" w:hAnsi="黑体" w:cs="黑体" w:hint="eastAsia"/>
          <w:b/>
          <w:bCs/>
          <w:sz w:val="30"/>
          <w:szCs w:val="30"/>
        </w:rPr>
        <w:t>、开通</w:t>
      </w:r>
      <w:r>
        <w:rPr>
          <w:rStyle w:val="da"/>
          <w:rFonts w:ascii="黑体" w:eastAsia="黑体" w:hAnsi="黑体" w:cs="黑体" w:hint="eastAsia"/>
          <w:b/>
          <w:bCs/>
          <w:sz w:val="30"/>
          <w:szCs w:val="30"/>
        </w:rPr>
        <w:t>定期定额</w:t>
      </w:r>
      <w:r>
        <w:rPr>
          <w:rStyle w:val="da"/>
          <w:rFonts w:ascii="黑体" w:eastAsia="黑体" w:hAnsi="黑体" w:cs="黑体" w:hint="eastAsia"/>
          <w:b/>
          <w:bCs/>
          <w:sz w:val="30"/>
          <w:szCs w:val="30"/>
        </w:rPr>
        <w:t>投资</w:t>
      </w:r>
      <w:r>
        <w:rPr>
          <w:rStyle w:val="da"/>
          <w:rFonts w:ascii="黑体" w:eastAsia="黑体" w:hAnsi="黑体" w:cs="黑体" w:hint="eastAsia"/>
          <w:b/>
          <w:bCs/>
          <w:sz w:val="30"/>
          <w:szCs w:val="30"/>
        </w:rPr>
        <w:t>及转换业务</w:t>
      </w:r>
      <w:r>
        <w:rPr>
          <w:rStyle w:val="da"/>
          <w:rFonts w:ascii="黑体" w:eastAsia="黑体" w:hAnsi="黑体" w:cs="黑体" w:hint="eastAsia"/>
          <w:b/>
          <w:bCs/>
          <w:sz w:val="30"/>
          <w:szCs w:val="30"/>
        </w:rPr>
        <w:t>并参加费率优惠</w:t>
      </w:r>
      <w:r>
        <w:rPr>
          <w:rStyle w:val="da"/>
          <w:rFonts w:ascii="黑体" w:eastAsia="黑体" w:hAnsi="黑体" w:cs="黑体" w:hint="eastAsia"/>
          <w:b/>
          <w:bCs/>
          <w:sz w:val="30"/>
          <w:szCs w:val="30"/>
        </w:rPr>
        <w:t>的公告</w:t>
      </w:r>
    </w:p>
    <w:p w:rsidR="00000000" w:rsidRDefault="00EC74A3">
      <w:pPr>
        <w:spacing w:line="400" w:lineRule="exact"/>
        <w:jc w:val="center"/>
        <w:rPr>
          <w:rStyle w:val="da"/>
          <w:rFonts w:ascii="宋体" w:hAnsi="宋体" w:hint="eastAsia"/>
          <w:b/>
          <w:bCs/>
        </w:rPr>
      </w:pPr>
    </w:p>
    <w:p w:rsidR="00000000" w:rsidRDefault="00EC74A3">
      <w:pPr>
        <w:widowControl/>
        <w:spacing w:line="360" w:lineRule="auto"/>
        <w:ind w:firstLineChars="200" w:firstLine="420"/>
        <w:jc w:val="left"/>
        <w:rPr>
          <w:rFonts w:cs="宋体" w:hint="eastAsia"/>
          <w:kern w:val="0"/>
          <w:szCs w:val="21"/>
        </w:rPr>
      </w:pPr>
      <w:r>
        <w:rPr>
          <w:rFonts w:cs="宋体" w:hint="eastAsia"/>
          <w:kern w:val="0"/>
          <w:szCs w:val="21"/>
        </w:rPr>
        <w:t>根据东吴基金管理有限公司（以下简称“东吴基金”）与深圳腾元基金销售有限公司（以下简称</w:t>
      </w:r>
      <w:r>
        <w:rPr>
          <w:rFonts w:cs="宋体" w:hint="eastAsia"/>
          <w:kern w:val="0"/>
          <w:szCs w:val="21"/>
        </w:rPr>
        <w:t>“</w:t>
      </w:r>
      <w:r>
        <w:rPr>
          <w:rFonts w:cs="宋体" w:hint="eastAsia"/>
          <w:kern w:val="0"/>
          <w:szCs w:val="21"/>
        </w:rPr>
        <w:t>腾元基金</w:t>
      </w:r>
      <w:r>
        <w:rPr>
          <w:rFonts w:cs="宋体" w:hint="eastAsia"/>
          <w:kern w:val="0"/>
          <w:szCs w:val="21"/>
        </w:rPr>
        <w:t>”</w:t>
      </w:r>
      <w:r>
        <w:rPr>
          <w:rFonts w:cs="宋体" w:hint="eastAsia"/>
          <w:kern w:val="0"/>
          <w:szCs w:val="21"/>
        </w:rPr>
        <w:t>）签署的开放式基金代销协议，</w:t>
      </w:r>
      <w:r>
        <w:rPr>
          <w:rFonts w:cs="宋体" w:hint="eastAsia"/>
          <w:kern w:val="0"/>
          <w:szCs w:val="21"/>
        </w:rPr>
        <w:t>自</w:t>
      </w:r>
      <w:r>
        <w:rPr>
          <w:rFonts w:cs="宋体" w:hint="eastAsia"/>
          <w:kern w:val="0"/>
          <w:szCs w:val="21"/>
        </w:rPr>
        <w:t>2026</w:t>
      </w:r>
      <w:r>
        <w:rPr>
          <w:rFonts w:cs="宋体" w:hint="eastAsia"/>
          <w:kern w:val="0"/>
          <w:szCs w:val="21"/>
        </w:rPr>
        <w:t>年</w:t>
      </w:r>
      <w:r>
        <w:rPr>
          <w:rFonts w:cs="宋体" w:hint="eastAsia"/>
          <w:kern w:val="0"/>
          <w:szCs w:val="21"/>
        </w:rPr>
        <w:t>1</w:t>
      </w:r>
      <w:r>
        <w:rPr>
          <w:rFonts w:cs="宋体" w:hint="eastAsia"/>
          <w:kern w:val="0"/>
          <w:szCs w:val="21"/>
        </w:rPr>
        <w:t>月</w:t>
      </w:r>
      <w:r>
        <w:rPr>
          <w:rFonts w:cs="宋体" w:hint="eastAsia"/>
          <w:kern w:val="0"/>
          <w:szCs w:val="21"/>
        </w:rPr>
        <w:t>15</w:t>
      </w:r>
      <w:r>
        <w:rPr>
          <w:rFonts w:cs="宋体" w:hint="eastAsia"/>
          <w:kern w:val="0"/>
          <w:szCs w:val="21"/>
        </w:rPr>
        <w:t>日</w:t>
      </w:r>
      <w:r>
        <w:rPr>
          <w:rFonts w:cs="宋体" w:hint="eastAsia"/>
          <w:kern w:val="0"/>
          <w:szCs w:val="21"/>
        </w:rPr>
        <w:t>起通过</w:t>
      </w:r>
      <w:r>
        <w:rPr>
          <w:rFonts w:cs="宋体" w:hint="eastAsia"/>
          <w:kern w:val="0"/>
          <w:szCs w:val="21"/>
        </w:rPr>
        <w:t>腾元基金</w:t>
      </w:r>
      <w:r>
        <w:rPr>
          <w:rFonts w:cs="宋体" w:hint="eastAsia"/>
          <w:kern w:val="0"/>
          <w:szCs w:val="21"/>
        </w:rPr>
        <w:t>接受投资者办理</w:t>
      </w:r>
      <w:r>
        <w:rPr>
          <w:rFonts w:cs="宋体" w:hint="eastAsia"/>
          <w:szCs w:val="21"/>
        </w:rPr>
        <w:t>东吴基金旗下管理的</w:t>
      </w:r>
      <w:r>
        <w:rPr>
          <w:rFonts w:cs="宋体" w:hint="eastAsia"/>
          <w:szCs w:val="21"/>
        </w:rPr>
        <w:t>部分</w:t>
      </w:r>
      <w:r>
        <w:rPr>
          <w:rFonts w:cs="宋体" w:hint="eastAsia"/>
          <w:szCs w:val="21"/>
        </w:rPr>
        <w:t>证券投资基金</w:t>
      </w:r>
      <w:r>
        <w:rPr>
          <w:rFonts w:cs="宋体" w:hint="eastAsia"/>
          <w:kern w:val="0"/>
          <w:szCs w:val="21"/>
        </w:rPr>
        <w:t>的开户、申购和赎回等业务，</w:t>
      </w:r>
      <w:r>
        <w:rPr>
          <w:rFonts w:cs="宋体" w:hint="eastAsia"/>
          <w:kern w:val="0"/>
          <w:szCs w:val="21"/>
        </w:rPr>
        <w:t>现将有关事项公告如下：</w:t>
      </w:r>
    </w:p>
    <w:p w:rsidR="00000000" w:rsidRDefault="00EC74A3">
      <w:pPr>
        <w:widowControl/>
        <w:spacing w:line="360" w:lineRule="auto"/>
        <w:ind w:firstLineChars="200" w:firstLine="420"/>
        <w:jc w:val="left"/>
        <w:rPr>
          <w:rFonts w:cs="宋体" w:hint="eastAsia"/>
          <w:kern w:val="0"/>
          <w:szCs w:val="21"/>
        </w:rPr>
      </w:pPr>
      <w:r>
        <w:rPr>
          <w:rFonts w:cs="宋体" w:hint="eastAsia"/>
          <w:kern w:val="0"/>
          <w:szCs w:val="21"/>
        </w:rPr>
        <w:t>一、新增代销适用基金</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5940"/>
        <w:gridCol w:w="1602"/>
      </w:tblGrid>
      <w:tr w:rsidR="00000000">
        <w:trPr>
          <w:trHeight w:val="90"/>
          <w:jc w:val="center"/>
        </w:trPr>
        <w:tc>
          <w:tcPr>
            <w:tcW w:w="676" w:type="dxa"/>
          </w:tcPr>
          <w:p w:rsidR="00000000" w:rsidRDefault="00EC74A3">
            <w:pPr>
              <w:widowControl/>
              <w:spacing w:line="400" w:lineRule="exact"/>
              <w:jc w:val="center"/>
              <w:rPr>
                <w:rFonts w:ascii="宋体" w:hAnsi="宋体" w:cs="宋体" w:hint="eastAsia"/>
                <w:b/>
                <w:szCs w:val="21"/>
              </w:rPr>
            </w:pPr>
            <w:r>
              <w:rPr>
                <w:rFonts w:ascii="宋体" w:hAnsi="宋体" w:cs="宋体" w:hint="eastAsia"/>
                <w:b/>
                <w:szCs w:val="21"/>
              </w:rPr>
              <w:t>序号</w:t>
            </w:r>
          </w:p>
        </w:tc>
        <w:tc>
          <w:tcPr>
            <w:tcW w:w="5940" w:type="dxa"/>
          </w:tcPr>
          <w:p w:rsidR="00000000" w:rsidRDefault="00EC74A3">
            <w:pPr>
              <w:widowControl/>
              <w:spacing w:line="400" w:lineRule="exact"/>
              <w:jc w:val="center"/>
              <w:rPr>
                <w:rFonts w:ascii="宋体" w:hAnsi="宋体" w:cs="宋体" w:hint="eastAsia"/>
                <w:b/>
                <w:szCs w:val="21"/>
              </w:rPr>
            </w:pPr>
            <w:r>
              <w:rPr>
                <w:rFonts w:ascii="宋体" w:hAnsi="宋体" w:cs="宋体" w:hint="eastAsia"/>
                <w:b/>
                <w:szCs w:val="21"/>
              </w:rPr>
              <w:t>基金名称</w:t>
            </w:r>
          </w:p>
        </w:tc>
        <w:tc>
          <w:tcPr>
            <w:tcW w:w="1602" w:type="dxa"/>
          </w:tcPr>
          <w:p w:rsidR="00000000" w:rsidRDefault="00EC74A3">
            <w:pPr>
              <w:widowControl/>
              <w:spacing w:line="400" w:lineRule="exact"/>
              <w:jc w:val="center"/>
              <w:rPr>
                <w:rFonts w:ascii="宋体" w:hAnsi="宋体" w:cs="宋体" w:hint="eastAsia"/>
                <w:b/>
                <w:szCs w:val="21"/>
              </w:rPr>
            </w:pPr>
            <w:r>
              <w:rPr>
                <w:rFonts w:ascii="宋体" w:hAnsi="宋体" w:cs="宋体" w:hint="eastAsia"/>
                <w:b/>
                <w:szCs w:val="21"/>
              </w:rPr>
              <w:t>基金代码</w:t>
            </w:r>
          </w:p>
        </w:tc>
      </w:tr>
      <w:tr w:rsidR="00000000">
        <w:trPr>
          <w:trHeight w:val="385"/>
          <w:jc w:val="center"/>
        </w:trPr>
        <w:tc>
          <w:tcPr>
            <w:tcW w:w="676" w:type="dxa"/>
          </w:tcPr>
          <w:p w:rsidR="00000000" w:rsidRDefault="00EC74A3">
            <w:pPr>
              <w:widowControl/>
              <w:numPr>
                <w:ilvl w:val="0"/>
                <w:numId w:val="2"/>
              </w:numPr>
              <w:spacing w:line="400" w:lineRule="exact"/>
              <w:jc w:val="center"/>
              <w:rPr>
                <w:rFonts w:ascii="宋体" w:hAnsi="宋体" w:cs="宋体" w:hint="eastAsia"/>
                <w:szCs w:val="21"/>
              </w:rPr>
            </w:pPr>
          </w:p>
        </w:tc>
        <w:tc>
          <w:tcPr>
            <w:tcW w:w="5940" w:type="dxa"/>
            <w:vAlign w:val="center"/>
          </w:tcPr>
          <w:p w:rsidR="00000000" w:rsidRDefault="00EC74A3">
            <w:pPr>
              <w:widowControl/>
              <w:textAlignment w:val="center"/>
              <w:rPr>
                <w:rFonts w:ascii="宋体" w:hAnsi="宋体" w:cs="宋体" w:hint="eastAsia"/>
                <w:szCs w:val="21"/>
                <w:lang/>
              </w:rPr>
            </w:pPr>
            <w:r>
              <w:rPr>
                <w:rFonts w:ascii="宋体" w:hAnsi="宋体" w:cs="宋体" w:hint="eastAsia"/>
                <w:szCs w:val="21"/>
                <w:lang/>
              </w:rPr>
              <w:t>东吴嘉禾优势精选混合型开放式证券投资基金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EC74A3">
            <w:pPr>
              <w:widowControl/>
              <w:spacing w:line="400" w:lineRule="exact"/>
              <w:jc w:val="left"/>
              <w:rPr>
                <w:rFonts w:ascii="宋体" w:hAnsi="宋体" w:cs="宋体"/>
                <w:color w:val="000000"/>
                <w:szCs w:val="21"/>
              </w:rPr>
            </w:pPr>
            <w:r>
              <w:rPr>
                <w:rFonts w:ascii="宋体" w:hAnsi="宋体" w:cs="宋体" w:hint="eastAsia"/>
                <w:szCs w:val="21"/>
                <w:lang/>
              </w:rPr>
              <w:t>580001/01515</w:t>
            </w:r>
            <w:r>
              <w:rPr>
                <w:rFonts w:ascii="宋体" w:hAnsi="宋体" w:cs="宋体" w:hint="eastAsia"/>
                <w:szCs w:val="21"/>
                <w:lang/>
              </w:rPr>
              <w:t>2</w:t>
            </w:r>
          </w:p>
        </w:tc>
      </w:tr>
      <w:tr w:rsidR="00000000">
        <w:trPr>
          <w:trHeight w:val="385"/>
          <w:jc w:val="center"/>
        </w:trPr>
        <w:tc>
          <w:tcPr>
            <w:tcW w:w="676" w:type="dxa"/>
          </w:tcPr>
          <w:p w:rsidR="00000000" w:rsidRDefault="00EC74A3">
            <w:pPr>
              <w:widowControl/>
              <w:numPr>
                <w:ilvl w:val="0"/>
                <w:numId w:val="2"/>
              </w:numPr>
              <w:spacing w:line="400" w:lineRule="exact"/>
              <w:jc w:val="center"/>
              <w:rPr>
                <w:rFonts w:ascii="宋体" w:hAnsi="宋体" w:cs="宋体" w:hint="eastAsia"/>
                <w:szCs w:val="21"/>
              </w:rPr>
            </w:pPr>
          </w:p>
        </w:tc>
        <w:tc>
          <w:tcPr>
            <w:tcW w:w="5940" w:type="dxa"/>
            <w:vAlign w:val="center"/>
          </w:tcPr>
          <w:p w:rsidR="00000000" w:rsidRDefault="00EC74A3">
            <w:pPr>
              <w:widowControl/>
              <w:textAlignment w:val="center"/>
              <w:rPr>
                <w:rFonts w:ascii="宋体" w:hAnsi="宋体" w:cs="宋体" w:hint="eastAsia"/>
                <w:szCs w:val="21"/>
                <w:lang/>
              </w:rPr>
            </w:pPr>
            <w:r>
              <w:rPr>
                <w:rFonts w:ascii="宋体" w:hAnsi="宋体" w:cs="宋体" w:hint="eastAsia"/>
                <w:szCs w:val="21"/>
                <w:lang/>
              </w:rPr>
              <w:t>东吴价值成长双动力混合型证券投资基金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EC74A3">
            <w:pPr>
              <w:widowControl/>
              <w:spacing w:line="400" w:lineRule="exact"/>
              <w:jc w:val="left"/>
              <w:rPr>
                <w:rFonts w:ascii="宋体" w:hAnsi="宋体" w:cs="宋体" w:hint="eastAsia"/>
                <w:szCs w:val="21"/>
                <w:lang/>
              </w:rPr>
            </w:pPr>
            <w:r>
              <w:rPr>
                <w:rFonts w:ascii="宋体" w:hAnsi="宋体" w:cs="宋体" w:hint="eastAsia"/>
                <w:szCs w:val="21"/>
                <w:lang/>
              </w:rPr>
              <w:t>580002/011241</w:t>
            </w:r>
          </w:p>
        </w:tc>
      </w:tr>
      <w:tr w:rsidR="00000000">
        <w:trPr>
          <w:trHeight w:val="385"/>
          <w:jc w:val="center"/>
        </w:trPr>
        <w:tc>
          <w:tcPr>
            <w:tcW w:w="676" w:type="dxa"/>
          </w:tcPr>
          <w:p w:rsidR="00000000" w:rsidRDefault="00EC74A3">
            <w:pPr>
              <w:widowControl/>
              <w:numPr>
                <w:ilvl w:val="0"/>
                <w:numId w:val="2"/>
              </w:numPr>
              <w:spacing w:line="400" w:lineRule="exact"/>
              <w:jc w:val="center"/>
              <w:rPr>
                <w:rFonts w:ascii="宋体" w:hAnsi="宋体" w:cs="宋体" w:hint="eastAsia"/>
                <w:szCs w:val="21"/>
              </w:rPr>
            </w:pPr>
          </w:p>
        </w:tc>
        <w:tc>
          <w:tcPr>
            <w:tcW w:w="5940" w:type="dxa"/>
            <w:vAlign w:val="center"/>
          </w:tcPr>
          <w:p w:rsidR="00000000" w:rsidRDefault="00EC74A3">
            <w:pPr>
              <w:widowControl/>
              <w:textAlignment w:val="center"/>
              <w:rPr>
                <w:rFonts w:ascii="宋体" w:hAnsi="宋体" w:cs="宋体" w:hint="eastAsia"/>
                <w:szCs w:val="21"/>
                <w:lang/>
              </w:rPr>
            </w:pPr>
            <w:r>
              <w:rPr>
                <w:rFonts w:ascii="宋体" w:hAnsi="宋体" w:cs="宋体" w:hint="eastAsia"/>
                <w:szCs w:val="21"/>
                <w:lang/>
              </w:rPr>
              <w:t>东吴行业轮动混合型证券投资基金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EC74A3">
            <w:pPr>
              <w:widowControl/>
              <w:spacing w:line="400" w:lineRule="exact"/>
              <w:jc w:val="left"/>
              <w:rPr>
                <w:rFonts w:ascii="宋体" w:hAnsi="宋体" w:cs="宋体" w:hint="eastAsia"/>
                <w:szCs w:val="21"/>
                <w:lang/>
              </w:rPr>
            </w:pPr>
            <w:r>
              <w:rPr>
                <w:rFonts w:ascii="宋体" w:hAnsi="宋体" w:cs="宋体" w:hint="eastAsia"/>
                <w:szCs w:val="21"/>
                <w:lang/>
              </w:rPr>
              <w:t>580003/011240</w:t>
            </w:r>
          </w:p>
        </w:tc>
      </w:tr>
      <w:tr w:rsidR="00000000">
        <w:trPr>
          <w:trHeight w:val="385"/>
          <w:jc w:val="center"/>
        </w:trPr>
        <w:tc>
          <w:tcPr>
            <w:tcW w:w="676" w:type="dxa"/>
          </w:tcPr>
          <w:p w:rsidR="00000000" w:rsidRDefault="00EC74A3">
            <w:pPr>
              <w:widowControl/>
              <w:numPr>
                <w:ilvl w:val="0"/>
                <w:numId w:val="2"/>
              </w:numPr>
              <w:spacing w:line="400" w:lineRule="exact"/>
              <w:jc w:val="center"/>
              <w:rPr>
                <w:rFonts w:ascii="宋体" w:hAnsi="宋体" w:cs="宋体" w:hint="eastAsia"/>
                <w:szCs w:val="21"/>
              </w:rPr>
            </w:pPr>
          </w:p>
        </w:tc>
        <w:tc>
          <w:tcPr>
            <w:tcW w:w="5940" w:type="dxa"/>
            <w:vAlign w:val="center"/>
          </w:tcPr>
          <w:p w:rsidR="00000000" w:rsidRDefault="00EC74A3">
            <w:pPr>
              <w:widowControl/>
              <w:textAlignment w:val="center"/>
              <w:rPr>
                <w:rFonts w:ascii="宋体" w:hAnsi="宋体" w:cs="宋体" w:hint="eastAsia"/>
                <w:szCs w:val="21"/>
                <w:lang/>
              </w:rPr>
            </w:pPr>
            <w:r>
              <w:rPr>
                <w:rFonts w:ascii="宋体" w:hAnsi="宋体" w:cs="宋体" w:hint="eastAsia"/>
                <w:szCs w:val="21"/>
                <w:lang/>
              </w:rPr>
              <w:t>东吴进取策略灵活配置混合型开放式证券投资基金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EC74A3">
            <w:pPr>
              <w:widowControl/>
              <w:spacing w:line="400" w:lineRule="exact"/>
              <w:jc w:val="left"/>
              <w:rPr>
                <w:rFonts w:ascii="宋体" w:hAnsi="宋体" w:cs="宋体" w:hint="eastAsia"/>
                <w:szCs w:val="21"/>
                <w:lang/>
              </w:rPr>
            </w:pPr>
            <w:r>
              <w:rPr>
                <w:rFonts w:ascii="宋体" w:hAnsi="宋体" w:cs="宋体" w:hint="eastAsia"/>
                <w:szCs w:val="21"/>
                <w:lang/>
              </w:rPr>
              <w:t>580005/011242</w:t>
            </w:r>
          </w:p>
        </w:tc>
      </w:tr>
      <w:tr w:rsidR="00000000">
        <w:trPr>
          <w:trHeight w:val="385"/>
          <w:jc w:val="center"/>
        </w:trPr>
        <w:tc>
          <w:tcPr>
            <w:tcW w:w="676" w:type="dxa"/>
          </w:tcPr>
          <w:p w:rsidR="00000000" w:rsidRDefault="00EC74A3">
            <w:pPr>
              <w:widowControl/>
              <w:numPr>
                <w:ilvl w:val="0"/>
                <w:numId w:val="2"/>
              </w:numPr>
              <w:spacing w:line="400" w:lineRule="exact"/>
              <w:jc w:val="center"/>
              <w:rPr>
                <w:rFonts w:ascii="宋体" w:hAnsi="宋体" w:cs="宋体" w:hint="eastAsia"/>
                <w:szCs w:val="21"/>
              </w:rPr>
            </w:pPr>
          </w:p>
        </w:tc>
        <w:tc>
          <w:tcPr>
            <w:tcW w:w="5940" w:type="dxa"/>
            <w:vAlign w:val="center"/>
          </w:tcPr>
          <w:p w:rsidR="00000000" w:rsidRDefault="00EC74A3">
            <w:pPr>
              <w:widowControl/>
              <w:textAlignment w:val="center"/>
              <w:rPr>
                <w:rFonts w:ascii="宋体" w:hAnsi="宋体" w:cs="宋体" w:hint="eastAsia"/>
                <w:color w:val="000000"/>
                <w:kern w:val="0"/>
                <w:szCs w:val="21"/>
                <w:lang/>
              </w:rPr>
            </w:pPr>
            <w:r>
              <w:rPr>
                <w:rFonts w:ascii="宋体" w:hAnsi="宋体" w:cs="宋体" w:hint="eastAsia"/>
                <w:szCs w:val="21"/>
                <w:lang/>
              </w:rPr>
              <w:t>东吴新经济混合型证券投资基金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EC74A3">
            <w:pPr>
              <w:widowControl/>
              <w:spacing w:line="400" w:lineRule="exact"/>
              <w:jc w:val="left"/>
              <w:rPr>
                <w:rFonts w:ascii="宋体" w:hAnsi="宋体" w:cs="宋体" w:hint="eastAsia"/>
                <w:color w:val="000000"/>
                <w:kern w:val="0"/>
                <w:szCs w:val="21"/>
                <w:lang/>
              </w:rPr>
            </w:pPr>
            <w:r>
              <w:rPr>
                <w:rFonts w:ascii="宋体" w:hAnsi="宋体" w:cs="宋体" w:hint="eastAsia"/>
                <w:szCs w:val="21"/>
                <w:lang/>
              </w:rPr>
              <w:t>580006/012617</w:t>
            </w:r>
          </w:p>
        </w:tc>
      </w:tr>
      <w:tr w:rsidR="00000000">
        <w:trPr>
          <w:trHeight w:val="385"/>
          <w:jc w:val="center"/>
        </w:trPr>
        <w:tc>
          <w:tcPr>
            <w:tcW w:w="676" w:type="dxa"/>
          </w:tcPr>
          <w:p w:rsidR="00000000" w:rsidRDefault="00EC74A3">
            <w:pPr>
              <w:widowControl/>
              <w:numPr>
                <w:ilvl w:val="0"/>
                <w:numId w:val="2"/>
              </w:numPr>
              <w:spacing w:line="400" w:lineRule="exact"/>
              <w:jc w:val="center"/>
              <w:rPr>
                <w:rFonts w:ascii="宋体" w:hAnsi="宋体" w:cs="宋体" w:hint="eastAsia"/>
                <w:szCs w:val="21"/>
              </w:rPr>
            </w:pPr>
          </w:p>
        </w:tc>
        <w:tc>
          <w:tcPr>
            <w:tcW w:w="5940" w:type="dxa"/>
            <w:vAlign w:val="center"/>
          </w:tcPr>
          <w:p w:rsidR="00000000" w:rsidRDefault="00EC74A3">
            <w:pPr>
              <w:widowControl/>
              <w:textAlignment w:val="center"/>
              <w:rPr>
                <w:rFonts w:ascii="宋体" w:hAnsi="宋体" w:cs="宋体" w:hint="eastAsia"/>
                <w:color w:val="000000"/>
                <w:kern w:val="0"/>
                <w:szCs w:val="21"/>
                <w:lang/>
              </w:rPr>
            </w:pPr>
            <w:r>
              <w:rPr>
                <w:rFonts w:ascii="宋体" w:hAnsi="宋体" w:cs="宋体" w:hint="eastAsia"/>
                <w:szCs w:val="21"/>
                <w:lang/>
              </w:rPr>
              <w:t>东吴安享量化灵活配置混合型证券投资基金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EC74A3">
            <w:pPr>
              <w:widowControl/>
              <w:spacing w:line="400" w:lineRule="exact"/>
              <w:jc w:val="left"/>
              <w:rPr>
                <w:rFonts w:ascii="宋体" w:hAnsi="宋体" w:cs="宋体"/>
                <w:color w:val="000000"/>
                <w:kern w:val="0"/>
                <w:szCs w:val="21"/>
                <w:lang/>
              </w:rPr>
            </w:pPr>
            <w:r>
              <w:rPr>
                <w:rFonts w:ascii="宋体" w:hAnsi="宋体" w:cs="宋体" w:hint="eastAsia"/>
                <w:szCs w:val="21"/>
                <w:lang/>
              </w:rPr>
              <w:t>580007/014571</w:t>
            </w:r>
          </w:p>
        </w:tc>
      </w:tr>
      <w:tr w:rsidR="00000000">
        <w:trPr>
          <w:trHeight w:val="385"/>
          <w:jc w:val="center"/>
        </w:trPr>
        <w:tc>
          <w:tcPr>
            <w:tcW w:w="676" w:type="dxa"/>
          </w:tcPr>
          <w:p w:rsidR="00000000" w:rsidRDefault="00EC74A3">
            <w:pPr>
              <w:widowControl/>
              <w:numPr>
                <w:ilvl w:val="0"/>
                <w:numId w:val="2"/>
              </w:numPr>
              <w:spacing w:line="400" w:lineRule="exact"/>
              <w:jc w:val="center"/>
              <w:rPr>
                <w:rFonts w:ascii="宋体" w:hAnsi="宋体" w:cs="宋体" w:hint="eastAsia"/>
                <w:szCs w:val="21"/>
              </w:rPr>
            </w:pPr>
          </w:p>
        </w:tc>
        <w:tc>
          <w:tcPr>
            <w:tcW w:w="5940" w:type="dxa"/>
            <w:vAlign w:val="center"/>
          </w:tcPr>
          <w:p w:rsidR="00000000" w:rsidRDefault="00EC74A3">
            <w:pPr>
              <w:widowControl/>
              <w:textAlignment w:val="center"/>
              <w:rPr>
                <w:rFonts w:ascii="宋体" w:hAnsi="宋体" w:cs="宋体" w:hint="eastAsia"/>
                <w:color w:val="000000"/>
                <w:kern w:val="0"/>
                <w:szCs w:val="21"/>
                <w:lang/>
              </w:rPr>
            </w:pPr>
            <w:r>
              <w:rPr>
                <w:rFonts w:ascii="宋体" w:hAnsi="宋体" w:cs="宋体" w:hint="eastAsia"/>
                <w:szCs w:val="21"/>
                <w:lang/>
              </w:rPr>
              <w:t>东吴新产业精选股票型证券投资基金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EC74A3">
            <w:pPr>
              <w:widowControl/>
              <w:spacing w:line="400" w:lineRule="exact"/>
              <w:jc w:val="left"/>
              <w:rPr>
                <w:rFonts w:ascii="宋体" w:hAnsi="宋体" w:cs="宋体" w:hint="eastAsia"/>
                <w:color w:val="000000"/>
                <w:kern w:val="0"/>
                <w:szCs w:val="21"/>
                <w:lang/>
              </w:rPr>
            </w:pPr>
            <w:r>
              <w:rPr>
                <w:rFonts w:ascii="宋体" w:hAnsi="宋体" w:cs="宋体" w:hint="eastAsia"/>
                <w:szCs w:val="21"/>
                <w:lang/>
              </w:rPr>
              <w:t>580008/011470</w:t>
            </w:r>
          </w:p>
        </w:tc>
      </w:tr>
      <w:tr w:rsidR="00000000">
        <w:trPr>
          <w:trHeight w:val="385"/>
          <w:jc w:val="center"/>
        </w:trPr>
        <w:tc>
          <w:tcPr>
            <w:tcW w:w="676" w:type="dxa"/>
          </w:tcPr>
          <w:p w:rsidR="00000000" w:rsidRDefault="00EC74A3">
            <w:pPr>
              <w:widowControl/>
              <w:numPr>
                <w:ilvl w:val="0"/>
                <w:numId w:val="2"/>
              </w:numPr>
              <w:spacing w:line="400" w:lineRule="exact"/>
              <w:jc w:val="center"/>
              <w:rPr>
                <w:rFonts w:ascii="宋体" w:hAnsi="宋体" w:cs="宋体" w:hint="eastAsia"/>
                <w:szCs w:val="21"/>
              </w:rPr>
            </w:pPr>
          </w:p>
        </w:tc>
        <w:tc>
          <w:tcPr>
            <w:tcW w:w="5940" w:type="dxa"/>
            <w:vAlign w:val="center"/>
          </w:tcPr>
          <w:p w:rsidR="00000000" w:rsidRDefault="00EC74A3">
            <w:pPr>
              <w:widowControl/>
              <w:textAlignment w:val="center"/>
              <w:rPr>
                <w:rFonts w:ascii="宋体" w:hAnsi="宋体" w:cs="宋体" w:hint="eastAsia"/>
                <w:color w:val="000000"/>
                <w:kern w:val="0"/>
                <w:szCs w:val="21"/>
                <w:lang/>
              </w:rPr>
            </w:pPr>
            <w:r>
              <w:rPr>
                <w:rFonts w:ascii="宋体" w:hAnsi="宋体" w:cs="宋体" w:hint="eastAsia"/>
                <w:szCs w:val="21"/>
                <w:lang/>
              </w:rPr>
              <w:t>东吴货币市场证券投资基金</w:t>
            </w:r>
            <w:r>
              <w:rPr>
                <w:rFonts w:ascii="宋体" w:hAnsi="宋体" w:cs="宋体" w:hint="eastAsia"/>
                <w:szCs w:val="21"/>
                <w:lang/>
              </w:rPr>
              <w:t>A</w:t>
            </w:r>
            <w:r>
              <w:rPr>
                <w:rFonts w:ascii="宋体" w:hAnsi="宋体" w:cs="宋体" w:hint="eastAsia"/>
                <w:szCs w:val="21"/>
                <w:lang/>
              </w:rPr>
              <w:t>级</w:t>
            </w:r>
            <w:r>
              <w:rPr>
                <w:rFonts w:ascii="宋体" w:hAnsi="宋体" w:cs="宋体" w:hint="eastAsia"/>
                <w:szCs w:val="21"/>
                <w:lang/>
              </w:rPr>
              <w:t>/B</w:t>
            </w:r>
            <w:r>
              <w:rPr>
                <w:rFonts w:ascii="宋体" w:hAnsi="宋体" w:cs="宋体" w:hint="eastAsia"/>
                <w:szCs w:val="21"/>
                <w:lang/>
              </w:rPr>
              <w:t>级</w:t>
            </w:r>
          </w:p>
        </w:tc>
        <w:tc>
          <w:tcPr>
            <w:tcW w:w="1602" w:type="dxa"/>
            <w:vAlign w:val="center"/>
          </w:tcPr>
          <w:p w:rsidR="00000000" w:rsidRDefault="00EC74A3">
            <w:pPr>
              <w:widowControl/>
              <w:spacing w:line="400" w:lineRule="exact"/>
              <w:jc w:val="left"/>
              <w:rPr>
                <w:rFonts w:ascii="宋体" w:hAnsi="宋体" w:cs="宋体" w:hint="eastAsia"/>
                <w:color w:val="000000"/>
                <w:kern w:val="0"/>
                <w:szCs w:val="21"/>
                <w:lang/>
              </w:rPr>
            </w:pPr>
            <w:r>
              <w:rPr>
                <w:rFonts w:ascii="宋体" w:hAnsi="宋体" w:cs="宋体" w:hint="eastAsia"/>
                <w:szCs w:val="21"/>
                <w:lang/>
              </w:rPr>
              <w:t>583001/583101</w:t>
            </w:r>
          </w:p>
        </w:tc>
      </w:tr>
      <w:tr w:rsidR="00000000">
        <w:trPr>
          <w:trHeight w:val="385"/>
          <w:jc w:val="center"/>
        </w:trPr>
        <w:tc>
          <w:tcPr>
            <w:tcW w:w="676" w:type="dxa"/>
          </w:tcPr>
          <w:p w:rsidR="00000000" w:rsidRDefault="00EC74A3">
            <w:pPr>
              <w:widowControl/>
              <w:numPr>
                <w:ilvl w:val="0"/>
                <w:numId w:val="2"/>
              </w:numPr>
              <w:spacing w:line="400" w:lineRule="exact"/>
              <w:jc w:val="center"/>
              <w:rPr>
                <w:rFonts w:ascii="宋体" w:hAnsi="宋体" w:cs="宋体" w:hint="eastAsia"/>
                <w:szCs w:val="21"/>
              </w:rPr>
            </w:pPr>
          </w:p>
        </w:tc>
        <w:tc>
          <w:tcPr>
            <w:tcW w:w="5940" w:type="dxa"/>
            <w:vAlign w:val="center"/>
          </w:tcPr>
          <w:p w:rsidR="00000000" w:rsidRDefault="00EC74A3">
            <w:pPr>
              <w:widowControl/>
              <w:textAlignment w:val="center"/>
              <w:rPr>
                <w:rFonts w:ascii="宋体" w:hAnsi="宋体" w:cs="宋体" w:hint="eastAsia"/>
                <w:color w:val="000000"/>
                <w:kern w:val="0"/>
                <w:szCs w:val="21"/>
                <w:lang/>
              </w:rPr>
            </w:pPr>
            <w:r>
              <w:rPr>
                <w:rFonts w:ascii="宋体" w:hAnsi="宋体" w:cs="宋体" w:hint="eastAsia"/>
                <w:szCs w:val="21"/>
                <w:lang/>
              </w:rPr>
              <w:t>东吴中证新兴产业指数证券投资基金</w:t>
            </w:r>
          </w:p>
        </w:tc>
        <w:tc>
          <w:tcPr>
            <w:tcW w:w="1602" w:type="dxa"/>
            <w:vAlign w:val="center"/>
          </w:tcPr>
          <w:p w:rsidR="00000000" w:rsidRDefault="00EC74A3">
            <w:pPr>
              <w:widowControl/>
              <w:spacing w:line="400" w:lineRule="exact"/>
              <w:jc w:val="left"/>
              <w:rPr>
                <w:rFonts w:ascii="宋体" w:hAnsi="宋体" w:cs="宋体" w:hint="eastAsia"/>
                <w:color w:val="000000"/>
                <w:kern w:val="0"/>
                <w:szCs w:val="21"/>
                <w:lang/>
              </w:rPr>
            </w:pPr>
            <w:r>
              <w:rPr>
                <w:rFonts w:ascii="宋体" w:hAnsi="宋体" w:cs="宋体" w:hint="eastAsia"/>
                <w:szCs w:val="21"/>
                <w:lang/>
              </w:rPr>
              <w:t>585001</w:t>
            </w:r>
          </w:p>
        </w:tc>
      </w:tr>
      <w:tr w:rsidR="00000000">
        <w:trPr>
          <w:trHeight w:val="385"/>
          <w:jc w:val="center"/>
        </w:trPr>
        <w:tc>
          <w:tcPr>
            <w:tcW w:w="676" w:type="dxa"/>
          </w:tcPr>
          <w:p w:rsidR="00000000" w:rsidRDefault="00EC74A3">
            <w:pPr>
              <w:widowControl/>
              <w:numPr>
                <w:ilvl w:val="0"/>
                <w:numId w:val="2"/>
              </w:numPr>
              <w:spacing w:line="400" w:lineRule="exact"/>
              <w:jc w:val="center"/>
              <w:rPr>
                <w:rFonts w:ascii="宋体" w:hAnsi="宋体" w:cs="宋体" w:hint="eastAsia"/>
                <w:szCs w:val="21"/>
              </w:rPr>
            </w:pPr>
          </w:p>
        </w:tc>
        <w:tc>
          <w:tcPr>
            <w:tcW w:w="5940" w:type="dxa"/>
            <w:vAlign w:val="center"/>
          </w:tcPr>
          <w:p w:rsidR="00000000" w:rsidRDefault="00EC74A3">
            <w:pPr>
              <w:widowControl/>
              <w:textAlignment w:val="center"/>
              <w:rPr>
                <w:rFonts w:ascii="宋体" w:hAnsi="宋体" w:cs="宋体" w:hint="eastAsia"/>
                <w:color w:val="000000"/>
                <w:kern w:val="0"/>
                <w:szCs w:val="21"/>
                <w:lang/>
              </w:rPr>
            </w:pPr>
            <w:r>
              <w:rPr>
                <w:rFonts w:ascii="宋体" w:hAnsi="宋体" w:cs="宋体" w:hint="eastAsia"/>
                <w:szCs w:val="21"/>
                <w:lang/>
              </w:rPr>
              <w:t>东吴配置优化灵活配置混合型证券投资基金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EC74A3">
            <w:pPr>
              <w:widowControl/>
              <w:textAlignment w:val="center"/>
              <w:rPr>
                <w:rFonts w:ascii="宋体" w:hAnsi="宋体" w:cs="宋体" w:hint="eastAsia"/>
                <w:color w:val="000000"/>
                <w:kern w:val="0"/>
                <w:szCs w:val="21"/>
                <w:lang/>
              </w:rPr>
            </w:pPr>
            <w:r>
              <w:rPr>
                <w:rFonts w:ascii="宋体" w:hAnsi="宋体" w:cs="宋体" w:hint="eastAsia"/>
                <w:szCs w:val="21"/>
                <w:lang/>
              </w:rPr>
              <w:t>582003/011707</w:t>
            </w:r>
          </w:p>
        </w:tc>
      </w:tr>
      <w:tr w:rsidR="00000000">
        <w:trPr>
          <w:trHeight w:val="385"/>
          <w:jc w:val="center"/>
        </w:trPr>
        <w:tc>
          <w:tcPr>
            <w:tcW w:w="676" w:type="dxa"/>
          </w:tcPr>
          <w:p w:rsidR="00000000" w:rsidRDefault="00EC74A3">
            <w:pPr>
              <w:widowControl/>
              <w:numPr>
                <w:ilvl w:val="0"/>
                <w:numId w:val="2"/>
              </w:numPr>
              <w:spacing w:line="400" w:lineRule="exact"/>
              <w:jc w:val="center"/>
              <w:rPr>
                <w:rFonts w:ascii="宋体" w:hAnsi="宋体" w:cs="宋体" w:hint="eastAsia"/>
                <w:szCs w:val="21"/>
              </w:rPr>
            </w:pPr>
          </w:p>
        </w:tc>
        <w:tc>
          <w:tcPr>
            <w:tcW w:w="5940" w:type="dxa"/>
            <w:vAlign w:val="center"/>
          </w:tcPr>
          <w:p w:rsidR="00000000" w:rsidRDefault="00EC74A3">
            <w:pPr>
              <w:widowControl/>
              <w:textAlignment w:val="center"/>
              <w:rPr>
                <w:rFonts w:ascii="宋体" w:hAnsi="宋体" w:cs="宋体" w:hint="eastAsia"/>
                <w:color w:val="000000"/>
                <w:kern w:val="0"/>
                <w:szCs w:val="21"/>
                <w:lang/>
              </w:rPr>
            </w:pPr>
            <w:r>
              <w:rPr>
                <w:rFonts w:ascii="宋体" w:hAnsi="宋体" w:cs="宋体" w:hint="eastAsia"/>
                <w:szCs w:val="21"/>
                <w:lang/>
              </w:rPr>
              <w:t>东吴多策略灵活配置混合型证券投资基金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EC74A3">
            <w:pPr>
              <w:widowControl/>
              <w:spacing w:line="400" w:lineRule="exact"/>
              <w:jc w:val="left"/>
              <w:rPr>
                <w:rFonts w:ascii="宋体" w:hAnsi="宋体" w:cs="宋体" w:hint="eastAsia"/>
                <w:color w:val="000000"/>
                <w:kern w:val="0"/>
                <w:szCs w:val="21"/>
                <w:lang/>
              </w:rPr>
            </w:pPr>
            <w:r>
              <w:rPr>
                <w:rFonts w:ascii="宋体" w:hAnsi="宋体" w:cs="宋体" w:hint="eastAsia"/>
                <w:szCs w:val="21"/>
                <w:lang/>
              </w:rPr>
              <w:t>580009/011949</w:t>
            </w:r>
          </w:p>
        </w:tc>
      </w:tr>
      <w:tr w:rsidR="00000000">
        <w:trPr>
          <w:trHeight w:val="385"/>
          <w:jc w:val="center"/>
        </w:trPr>
        <w:tc>
          <w:tcPr>
            <w:tcW w:w="676" w:type="dxa"/>
          </w:tcPr>
          <w:p w:rsidR="00000000" w:rsidRDefault="00EC74A3">
            <w:pPr>
              <w:widowControl/>
              <w:numPr>
                <w:ilvl w:val="0"/>
                <w:numId w:val="2"/>
              </w:numPr>
              <w:spacing w:line="400" w:lineRule="exact"/>
              <w:jc w:val="center"/>
              <w:rPr>
                <w:rFonts w:ascii="宋体" w:hAnsi="宋体" w:cs="宋体" w:hint="eastAsia"/>
                <w:szCs w:val="21"/>
              </w:rPr>
            </w:pPr>
          </w:p>
        </w:tc>
        <w:tc>
          <w:tcPr>
            <w:tcW w:w="5940" w:type="dxa"/>
            <w:vAlign w:val="center"/>
          </w:tcPr>
          <w:p w:rsidR="00000000" w:rsidRDefault="00EC74A3">
            <w:pPr>
              <w:widowControl/>
              <w:textAlignment w:val="center"/>
              <w:rPr>
                <w:rFonts w:ascii="宋体" w:hAnsi="宋体" w:cs="宋体" w:hint="eastAsia"/>
                <w:color w:val="000000"/>
                <w:kern w:val="0"/>
                <w:szCs w:val="21"/>
                <w:lang/>
              </w:rPr>
            </w:pPr>
            <w:r>
              <w:rPr>
                <w:rFonts w:ascii="宋体" w:hAnsi="宋体" w:cs="宋体" w:hint="eastAsia"/>
                <w:szCs w:val="21"/>
                <w:lang/>
              </w:rPr>
              <w:t>东吴阿尔法灵活配置混合型证券投资基金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EC74A3">
            <w:pPr>
              <w:widowControl/>
              <w:spacing w:line="400" w:lineRule="exact"/>
              <w:jc w:val="left"/>
              <w:rPr>
                <w:rFonts w:ascii="宋体" w:hAnsi="宋体" w:cs="宋体"/>
                <w:color w:val="000000"/>
                <w:kern w:val="0"/>
                <w:szCs w:val="21"/>
                <w:lang/>
              </w:rPr>
            </w:pPr>
            <w:r>
              <w:rPr>
                <w:rFonts w:ascii="宋体" w:hAnsi="宋体" w:cs="宋体" w:hint="eastAsia"/>
                <w:szCs w:val="21"/>
                <w:lang/>
              </w:rPr>
              <w:t>000531/014581</w:t>
            </w:r>
          </w:p>
        </w:tc>
      </w:tr>
      <w:tr w:rsidR="00000000">
        <w:trPr>
          <w:trHeight w:val="385"/>
          <w:jc w:val="center"/>
        </w:trPr>
        <w:tc>
          <w:tcPr>
            <w:tcW w:w="676" w:type="dxa"/>
          </w:tcPr>
          <w:p w:rsidR="00000000" w:rsidRDefault="00EC74A3">
            <w:pPr>
              <w:widowControl/>
              <w:numPr>
                <w:ilvl w:val="0"/>
                <w:numId w:val="2"/>
              </w:numPr>
              <w:spacing w:line="400" w:lineRule="exact"/>
              <w:jc w:val="center"/>
              <w:rPr>
                <w:rFonts w:ascii="宋体" w:hAnsi="宋体" w:cs="宋体" w:hint="eastAsia"/>
                <w:szCs w:val="21"/>
              </w:rPr>
            </w:pPr>
          </w:p>
        </w:tc>
        <w:tc>
          <w:tcPr>
            <w:tcW w:w="5940" w:type="dxa"/>
            <w:vAlign w:val="center"/>
          </w:tcPr>
          <w:p w:rsidR="00000000" w:rsidRDefault="00EC74A3">
            <w:pPr>
              <w:widowControl/>
              <w:textAlignment w:val="center"/>
              <w:rPr>
                <w:rFonts w:ascii="宋体" w:hAnsi="宋体" w:cs="宋体" w:hint="eastAsia"/>
                <w:color w:val="000000"/>
                <w:kern w:val="0"/>
                <w:szCs w:val="21"/>
                <w:lang/>
              </w:rPr>
            </w:pPr>
            <w:r>
              <w:rPr>
                <w:rFonts w:ascii="宋体" w:hAnsi="宋体" w:cs="宋体" w:hint="eastAsia"/>
                <w:szCs w:val="21"/>
                <w:lang/>
              </w:rPr>
              <w:t>东吴移动互联灵活配置混合型证券投资基金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EC74A3">
            <w:pPr>
              <w:widowControl/>
              <w:spacing w:line="400" w:lineRule="exact"/>
              <w:jc w:val="left"/>
              <w:rPr>
                <w:rFonts w:ascii="宋体" w:hAnsi="宋体" w:cs="宋体" w:hint="eastAsia"/>
                <w:color w:val="000000"/>
                <w:kern w:val="0"/>
                <w:szCs w:val="21"/>
                <w:lang/>
              </w:rPr>
            </w:pPr>
            <w:r>
              <w:rPr>
                <w:rFonts w:ascii="宋体" w:hAnsi="宋体" w:cs="宋体" w:hint="eastAsia"/>
                <w:szCs w:val="21"/>
                <w:lang/>
              </w:rPr>
              <w:t>001323/002170</w:t>
            </w:r>
          </w:p>
        </w:tc>
      </w:tr>
      <w:tr w:rsidR="00000000">
        <w:trPr>
          <w:trHeight w:val="385"/>
          <w:jc w:val="center"/>
        </w:trPr>
        <w:tc>
          <w:tcPr>
            <w:tcW w:w="676" w:type="dxa"/>
          </w:tcPr>
          <w:p w:rsidR="00000000" w:rsidRDefault="00EC74A3">
            <w:pPr>
              <w:widowControl/>
              <w:numPr>
                <w:ilvl w:val="0"/>
                <w:numId w:val="2"/>
              </w:numPr>
              <w:spacing w:line="400" w:lineRule="exact"/>
              <w:jc w:val="center"/>
              <w:rPr>
                <w:rFonts w:ascii="宋体" w:hAnsi="宋体" w:cs="宋体" w:hint="eastAsia"/>
                <w:szCs w:val="21"/>
              </w:rPr>
            </w:pPr>
          </w:p>
        </w:tc>
        <w:tc>
          <w:tcPr>
            <w:tcW w:w="5940" w:type="dxa"/>
            <w:vAlign w:val="center"/>
          </w:tcPr>
          <w:p w:rsidR="00000000" w:rsidRDefault="00EC74A3">
            <w:pPr>
              <w:widowControl/>
              <w:jc w:val="left"/>
              <w:textAlignment w:val="center"/>
              <w:rPr>
                <w:rFonts w:ascii="宋体" w:hAnsi="宋体" w:cs="宋体" w:hint="eastAsia"/>
                <w:color w:val="000000"/>
                <w:kern w:val="0"/>
                <w:szCs w:val="21"/>
                <w:lang/>
              </w:rPr>
            </w:pPr>
            <w:r>
              <w:rPr>
                <w:rFonts w:ascii="宋体" w:hAnsi="宋体" w:cs="宋体" w:hint="eastAsia"/>
                <w:szCs w:val="21"/>
                <w:lang/>
              </w:rPr>
              <w:t>东吴新趋势价值线灵活配置混合型证券投资基金</w:t>
            </w:r>
          </w:p>
        </w:tc>
        <w:tc>
          <w:tcPr>
            <w:tcW w:w="1602" w:type="dxa"/>
            <w:vAlign w:val="center"/>
          </w:tcPr>
          <w:p w:rsidR="00000000" w:rsidRDefault="00EC74A3">
            <w:pPr>
              <w:widowControl/>
              <w:jc w:val="left"/>
              <w:textAlignment w:val="center"/>
              <w:rPr>
                <w:rFonts w:ascii="宋体" w:hAnsi="宋体" w:cs="宋体" w:hint="eastAsia"/>
                <w:color w:val="000000"/>
                <w:kern w:val="0"/>
                <w:szCs w:val="21"/>
                <w:lang/>
              </w:rPr>
            </w:pPr>
            <w:r>
              <w:rPr>
                <w:rFonts w:ascii="宋体" w:hAnsi="宋体" w:cs="宋体" w:hint="eastAsia"/>
                <w:color w:val="000000"/>
                <w:kern w:val="0"/>
                <w:sz w:val="20"/>
                <w:szCs w:val="20"/>
                <w:lang/>
              </w:rPr>
              <w:t>001322</w:t>
            </w:r>
          </w:p>
        </w:tc>
      </w:tr>
      <w:tr w:rsidR="00000000">
        <w:trPr>
          <w:trHeight w:val="385"/>
          <w:jc w:val="center"/>
        </w:trPr>
        <w:tc>
          <w:tcPr>
            <w:tcW w:w="676" w:type="dxa"/>
          </w:tcPr>
          <w:p w:rsidR="00000000" w:rsidRDefault="00EC74A3">
            <w:pPr>
              <w:widowControl/>
              <w:numPr>
                <w:ilvl w:val="0"/>
                <w:numId w:val="2"/>
              </w:numPr>
              <w:spacing w:line="400" w:lineRule="exact"/>
              <w:jc w:val="center"/>
              <w:rPr>
                <w:rFonts w:ascii="宋体" w:hAnsi="宋体" w:cs="宋体" w:hint="eastAsia"/>
                <w:szCs w:val="21"/>
              </w:rPr>
            </w:pPr>
          </w:p>
        </w:tc>
        <w:tc>
          <w:tcPr>
            <w:tcW w:w="5940" w:type="dxa"/>
            <w:vAlign w:val="center"/>
          </w:tcPr>
          <w:p w:rsidR="00000000" w:rsidRDefault="00EC74A3">
            <w:pPr>
              <w:widowControl/>
              <w:textAlignment w:val="center"/>
              <w:rPr>
                <w:rFonts w:ascii="宋体" w:hAnsi="宋体" w:cs="宋体" w:hint="eastAsia"/>
                <w:color w:val="000000"/>
                <w:kern w:val="0"/>
                <w:szCs w:val="21"/>
                <w:lang/>
              </w:rPr>
            </w:pPr>
            <w:r>
              <w:rPr>
                <w:rFonts w:ascii="宋体" w:hAnsi="宋体" w:cs="宋体" w:hint="eastAsia"/>
                <w:szCs w:val="21"/>
                <w:lang/>
              </w:rPr>
              <w:t>东吴国企改革主题灵活配置混合型证券投资</w:t>
            </w:r>
            <w:r>
              <w:rPr>
                <w:rFonts w:ascii="宋体" w:hAnsi="宋体" w:cs="宋体" w:hint="eastAsia"/>
                <w:szCs w:val="21"/>
                <w:lang/>
              </w:rPr>
              <w:t>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EC74A3">
            <w:pPr>
              <w:widowControl/>
              <w:spacing w:line="400" w:lineRule="exact"/>
              <w:jc w:val="left"/>
              <w:rPr>
                <w:rFonts w:ascii="宋体" w:hAnsi="宋体" w:cs="宋体" w:hint="eastAsia"/>
                <w:color w:val="000000"/>
                <w:kern w:val="0"/>
                <w:szCs w:val="21"/>
                <w:lang/>
              </w:rPr>
            </w:pPr>
            <w:r>
              <w:rPr>
                <w:rFonts w:ascii="宋体" w:hAnsi="宋体" w:cs="宋体" w:hint="eastAsia"/>
                <w:szCs w:val="21"/>
                <w:lang/>
              </w:rPr>
              <w:t>002159/012615</w:t>
            </w:r>
          </w:p>
        </w:tc>
      </w:tr>
      <w:tr w:rsidR="00000000">
        <w:trPr>
          <w:trHeight w:val="385"/>
          <w:jc w:val="center"/>
        </w:trPr>
        <w:tc>
          <w:tcPr>
            <w:tcW w:w="676" w:type="dxa"/>
          </w:tcPr>
          <w:p w:rsidR="00000000" w:rsidRDefault="00EC74A3">
            <w:pPr>
              <w:widowControl/>
              <w:numPr>
                <w:ilvl w:val="0"/>
                <w:numId w:val="2"/>
              </w:numPr>
              <w:spacing w:line="400" w:lineRule="exact"/>
              <w:jc w:val="center"/>
              <w:rPr>
                <w:rFonts w:ascii="宋体" w:hAnsi="宋体" w:cs="宋体" w:hint="eastAsia"/>
                <w:szCs w:val="21"/>
              </w:rPr>
            </w:pPr>
          </w:p>
        </w:tc>
        <w:tc>
          <w:tcPr>
            <w:tcW w:w="5940" w:type="dxa"/>
            <w:vAlign w:val="center"/>
          </w:tcPr>
          <w:p w:rsidR="00000000" w:rsidRDefault="00EC74A3">
            <w:pPr>
              <w:widowControl/>
              <w:textAlignment w:val="center"/>
              <w:rPr>
                <w:rFonts w:ascii="宋体" w:hAnsi="宋体" w:cs="宋体" w:hint="eastAsia"/>
                <w:color w:val="000000"/>
                <w:kern w:val="0"/>
                <w:szCs w:val="21"/>
                <w:lang/>
              </w:rPr>
            </w:pPr>
            <w:r>
              <w:rPr>
                <w:rFonts w:ascii="宋体" w:hAnsi="宋体" w:cs="宋体" w:hint="eastAsia"/>
                <w:szCs w:val="21"/>
                <w:lang/>
              </w:rPr>
              <w:t>东吴安盈量化灵活配置混合型证券投资基金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EC74A3">
            <w:pPr>
              <w:widowControl/>
              <w:spacing w:line="400" w:lineRule="exact"/>
              <w:jc w:val="left"/>
              <w:rPr>
                <w:rFonts w:ascii="宋体" w:hAnsi="宋体" w:cs="宋体"/>
                <w:color w:val="000000"/>
                <w:kern w:val="0"/>
                <w:szCs w:val="21"/>
                <w:lang/>
              </w:rPr>
            </w:pPr>
            <w:r>
              <w:rPr>
                <w:rFonts w:ascii="宋体" w:hAnsi="宋体" w:cs="宋体" w:hint="eastAsia"/>
                <w:szCs w:val="21"/>
                <w:lang/>
              </w:rPr>
              <w:t>002270/015154</w:t>
            </w:r>
          </w:p>
        </w:tc>
      </w:tr>
      <w:tr w:rsidR="00000000">
        <w:trPr>
          <w:trHeight w:val="385"/>
          <w:jc w:val="center"/>
        </w:trPr>
        <w:tc>
          <w:tcPr>
            <w:tcW w:w="676" w:type="dxa"/>
          </w:tcPr>
          <w:p w:rsidR="00000000" w:rsidRDefault="00EC74A3">
            <w:pPr>
              <w:widowControl/>
              <w:numPr>
                <w:ilvl w:val="0"/>
                <w:numId w:val="2"/>
              </w:numPr>
              <w:spacing w:line="400" w:lineRule="exact"/>
              <w:jc w:val="center"/>
              <w:rPr>
                <w:rFonts w:ascii="宋体" w:hAnsi="宋体" w:cs="宋体" w:hint="eastAsia"/>
                <w:szCs w:val="21"/>
              </w:rPr>
            </w:pPr>
          </w:p>
        </w:tc>
        <w:tc>
          <w:tcPr>
            <w:tcW w:w="5940" w:type="dxa"/>
            <w:vAlign w:val="center"/>
          </w:tcPr>
          <w:p w:rsidR="00000000" w:rsidRDefault="00EC74A3">
            <w:pPr>
              <w:widowControl/>
              <w:textAlignment w:val="center"/>
              <w:rPr>
                <w:rFonts w:ascii="宋体" w:hAnsi="宋体" w:cs="宋体" w:hint="eastAsia"/>
                <w:color w:val="000000"/>
                <w:kern w:val="0"/>
                <w:szCs w:val="21"/>
                <w:lang/>
              </w:rPr>
            </w:pPr>
            <w:r>
              <w:rPr>
                <w:rFonts w:ascii="宋体" w:hAnsi="宋体" w:cs="宋体" w:hint="eastAsia"/>
                <w:szCs w:val="21"/>
                <w:lang/>
              </w:rPr>
              <w:t>东吴安鑫量化灵活配置混合型证券投资基金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EC74A3">
            <w:pPr>
              <w:widowControl/>
              <w:spacing w:line="400" w:lineRule="exact"/>
              <w:jc w:val="left"/>
              <w:rPr>
                <w:rFonts w:ascii="宋体" w:hAnsi="宋体" w:cs="宋体"/>
                <w:color w:val="000000"/>
                <w:kern w:val="0"/>
                <w:szCs w:val="21"/>
                <w:lang/>
              </w:rPr>
            </w:pPr>
            <w:r>
              <w:rPr>
                <w:rFonts w:ascii="宋体" w:hAnsi="宋体" w:cs="宋体" w:hint="eastAsia"/>
                <w:szCs w:val="21"/>
                <w:lang/>
              </w:rPr>
              <w:t>002561/015153</w:t>
            </w:r>
          </w:p>
        </w:tc>
      </w:tr>
      <w:tr w:rsidR="00000000">
        <w:trPr>
          <w:trHeight w:val="385"/>
          <w:jc w:val="center"/>
        </w:trPr>
        <w:tc>
          <w:tcPr>
            <w:tcW w:w="676" w:type="dxa"/>
          </w:tcPr>
          <w:p w:rsidR="00000000" w:rsidRDefault="00EC74A3">
            <w:pPr>
              <w:widowControl/>
              <w:numPr>
                <w:ilvl w:val="0"/>
                <w:numId w:val="2"/>
              </w:numPr>
              <w:spacing w:line="400" w:lineRule="exact"/>
              <w:jc w:val="center"/>
              <w:rPr>
                <w:rFonts w:ascii="宋体" w:hAnsi="宋体" w:cs="宋体" w:hint="eastAsia"/>
                <w:szCs w:val="21"/>
              </w:rPr>
            </w:pPr>
          </w:p>
        </w:tc>
        <w:tc>
          <w:tcPr>
            <w:tcW w:w="5940" w:type="dxa"/>
            <w:vAlign w:val="center"/>
          </w:tcPr>
          <w:p w:rsidR="00000000" w:rsidRDefault="00EC74A3">
            <w:pPr>
              <w:widowControl/>
              <w:textAlignment w:val="center"/>
              <w:rPr>
                <w:rFonts w:ascii="宋体" w:hAnsi="宋体" w:cs="宋体" w:hint="eastAsia"/>
                <w:color w:val="000000"/>
                <w:kern w:val="0"/>
                <w:szCs w:val="21"/>
                <w:lang/>
              </w:rPr>
            </w:pPr>
            <w:r>
              <w:rPr>
                <w:rFonts w:ascii="宋体" w:hAnsi="宋体" w:cs="宋体" w:hint="eastAsia"/>
                <w:szCs w:val="21"/>
                <w:lang/>
              </w:rPr>
              <w:t>东吴智慧医疗量化策略灵活配置混合型证券投资基金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EC74A3">
            <w:pPr>
              <w:widowControl/>
              <w:spacing w:line="400" w:lineRule="exact"/>
              <w:jc w:val="left"/>
              <w:rPr>
                <w:rFonts w:ascii="宋体" w:hAnsi="宋体" w:cs="宋体" w:hint="eastAsia"/>
                <w:color w:val="000000"/>
                <w:kern w:val="0"/>
                <w:szCs w:val="21"/>
                <w:lang/>
              </w:rPr>
            </w:pPr>
            <w:r>
              <w:rPr>
                <w:rFonts w:ascii="宋体" w:hAnsi="宋体" w:cs="宋体" w:hint="eastAsia"/>
                <w:szCs w:val="21"/>
                <w:lang/>
              </w:rPr>
              <w:t>002919/011948</w:t>
            </w:r>
          </w:p>
        </w:tc>
      </w:tr>
      <w:tr w:rsidR="00000000">
        <w:trPr>
          <w:trHeight w:val="385"/>
          <w:jc w:val="center"/>
        </w:trPr>
        <w:tc>
          <w:tcPr>
            <w:tcW w:w="676" w:type="dxa"/>
          </w:tcPr>
          <w:p w:rsidR="00000000" w:rsidRDefault="00EC74A3">
            <w:pPr>
              <w:widowControl/>
              <w:numPr>
                <w:ilvl w:val="0"/>
                <w:numId w:val="2"/>
              </w:numPr>
              <w:spacing w:line="400" w:lineRule="exact"/>
              <w:jc w:val="center"/>
              <w:rPr>
                <w:rFonts w:ascii="宋体" w:hAnsi="宋体" w:cs="宋体" w:hint="eastAsia"/>
                <w:szCs w:val="21"/>
              </w:rPr>
            </w:pPr>
          </w:p>
        </w:tc>
        <w:tc>
          <w:tcPr>
            <w:tcW w:w="5940" w:type="dxa"/>
            <w:vAlign w:val="center"/>
          </w:tcPr>
          <w:p w:rsidR="00000000" w:rsidRDefault="00EC74A3">
            <w:pPr>
              <w:widowControl/>
              <w:textAlignment w:val="center"/>
              <w:rPr>
                <w:rFonts w:ascii="宋体" w:hAnsi="宋体" w:cs="宋体" w:hint="eastAsia"/>
                <w:color w:val="000000"/>
                <w:kern w:val="0"/>
                <w:szCs w:val="21"/>
                <w:lang/>
              </w:rPr>
            </w:pPr>
            <w:r>
              <w:rPr>
                <w:rFonts w:ascii="宋体" w:hAnsi="宋体" w:cs="宋体" w:hint="eastAsia"/>
                <w:szCs w:val="21"/>
                <w:lang/>
              </w:rPr>
              <w:t>东吴增鑫宝货币市场基金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/B</w:t>
            </w:r>
            <w:r>
              <w:rPr>
                <w:rFonts w:ascii="宋体" w:hAnsi="宋体" w:cs="宋体" w:hint="eastAsia"/>
                <w:szCs w:val="21"/>
                <w:lang/>
              </w:rPr>
              <w:t>类</w:t>
            </w:r>
          </w:p>
        </w:tc>
        <w:tc>
          <w:tcPr>
            <w:tcW w:w="1602" w:type="dxa"/>
            <w:vAlign w:val="center"/>
          </w:tcPr>
          <w:p w:rsidR="00000000" w:rsidRDefault="00EC74A3">
            <w:pPr>
              <w:widowControl/>
              <w:spacing w:line="400" w:lineRule="exact"/>
              <w:jc w:val="left"/>
              <w:rPr>
                <w:rFonts w:ascii="宋体" w:hAnsi="宋体" w:cs="宋体" w:hint="eastAsia"/>
                <w:color w:val="000000"/>
                <w:kern w:val="0"/>
                <w:szCs w:val="21"/>
                <w:lang/>
              </w:rPr>
            </w:pPr>
            <w:r>
              <w:rPr>
                <w:rFonts w:ascii="宋体" w:hAnsi="宋体" w:cs="宋体" w:hint="eastAsia"/>
                <w:szCs w:val="21"/>
                <w:lang/>
              </w:rPr>
              <w:t>003588/003589</w:t>
            </w:r>
          </w:p>
        </w:tc>
      </w:tr>
      <w:tr w:rsidR="00000000">
        <w:trPr>
          <w:trHeight w:val="385"/>
          <w:jc w:val="center"/>
        </w:trPr>
        <w:tc>
          <w:tcPr>
            <w:tcW w:w="676" w:type="dxa"/>
          </w:tcPr>
          <w:p w:rsidR="00000000" w:rsidRDefault="00EC74A3">
            <w:pPr>
              <w:widowControl/>
              <w:numPr>
                <w:ilvl w:val="0"/>
                <w:numId w:val="2"/>
              </w:numPr>
              <w:spacing w:line="400" w:lineRule="exact"/>
              <w:jc w:val="center"/>
              <w:rPr>
                <w:rFonts w:ascii="宋体" w:hAnsi="宋体" w:cs="宋体" w:hint="eastAsia"/>
                <w:szCs w:val="21"/>
              </w:rPr>
            </w:pPr>
          </w:p>
        </w:tc>
        <w:tc>
          <w:tcPr>
            <w:tcW w:w="5940" w:type="dxa"/>
            <w:vAlign w:val="center"/>
          </w:tcPr>
          <w:p w:rsidR="00000000" w:rsidRDefault="00EC74A3">
            <w:pPr>
              <w:widowControl/>
              <w:textAlignment w:val="center"/>
              <w:rPr>
                <w:rFonts w:ascii="宋体" w:hAnsi="宋体" w:cs="宋体" w:hint="eastAsia"/>
                <w:color w:val="000000"/>
                <w:kern w:val="0"/>
                <w:szCs w:val="21"/>
                <w:lang/>
              </w:rPr>
            </w:pPr>
            <w:r>
              <w:rPr>
                <w:rFonts w:ascii="宋体" w:hAnsi="宋体" w:cs="宋体" w:hint="eastAsia"/>
                <w:szCs w:val="21"/>
                <w:lang/>
              </w:rPr>
              <w:t>东吴优益债券型证券投资基金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EC74A3">
            <w:pPr>
              <w:widowControl/>
              <w:spacing w:line="400" w:lineRule="exact"/>
              <w:jc w:val="left"/>
              <w:rPr>
                <w:rFonts w:ascii="宋体" w:hAnsi="宋体" w:cs="宋体" w:hint="eastAsia"/>
                <w:color w:val="000000"/>
                <w:kern w:val="0"/>
                <w:szCs w:val="21"/>
                <w:lang/>
              </w:rPr>
            </w:pPr>
            <w:r>
              <w:rPr>
                <w:rFonts w:ascii="宋体" w:hAnsi="宋体" w:cs="宋体" w:hint="eastAsia"/>
                <w:szCs w:val="21"/>
                <w:lang/>
              </w:rPr>
              <w:t>005144/005145</w:t>
            </w:r>
          </w:p>
        </w:tc>
      </w:tr>
      <w:tr w:rsidR="00000000">
        <w:trPr>
          <w:trHeight w:val="385"/>
          <w:jc w:val="center"/>
        </w:trPr>
        <w:tc>
          <w:tcPr>
            <w:tcW w:w="676" w:type="dxa"/>
          </w:tcPr>
          <w:p w:rsidR="00000000" w:rsidRDefault="00EC74A3">
            <w:pPr>
              <w:widowControl/>
              <w:numPr>
                <w:ilvl w:val="0"/>
                <w:numId w:val="2"/>
              </w:numPr>
              <w:spacing w:line="400" w:lineRule="exact"/>
              <w:jc w:val="center"/>
              <w:rPr>
                <w:rFonts w:ascii="宋体" w:hAnsi="宋体" w:cs="宋体" w:hint="eastAsia"/>
                <w:szCs w:val="21"/>
              </w:rPr>
            </w:pPr>
          </w:p>
        </w:tc>
        <w:tc>
          <w:tcPr>
            <w:tcW w:w="5940" w:type="dxa"/>
            <w:vAlign w:val="center"/>
          </w:tcPr>
          <w:p w:rsidR="00000000" w:rsidRDefault="00EC74A3">
            <w:pPr>
              <w:widowControl/>
              <w:textAlignment w:val="center"/>
              <w:rPr>
                <w:rFonts w:ascii="宋体" w:hAnsi="宋体" w:cs="宋体" w:hint="eastAsia"/>
                <w:color w:val="000000"/>
                <w:kern w:val="0"/>
                <w:szCs w:val="21"/>
                <w:lang/>
              </w:rPr>
            </w:pPr>
            <w:r>
              <w:rPr>
                <w:rFonts w:ascii="宋体" w:hAnsi="宋体" w:cs="宋体" w:hint="eastAsia"/>
                <w:szCs w:val="21"/>
                <w:lang/>
              </w:rPr>
              <w:t>东吴双三角股票型证券投资基金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EC74A3">
            <w:pPr>
              <w:widowControl/>
              <w:spacing w:line="400" w:lineRule="exact"/>
              <w:jc w:val="left"/>
              <w:rPr>
                <w:rFonts w:ascii="宋体" w:hAnsi="宋体" w:cs="宋体" w:hint="eastAsia"/>
                <w:color w:val="000000"/>
                <w:kern w:val="0"/>
                <w:szCs w:val="21"/>
                <w:lang/>
              </w:rPr>
            </w:pPr>
            <w:r>
              <w:rPr>
                <w:rFonts w:ascii="宋体" w:hAnsi="宋体" w:cs="宋体" w:hint="eastAsia"/>
                <w:szCs w:val="21"/>
                <w:lang/>
              </w:rPr>
              <w:t>005209/005210</w:t>
            </w:r>
          </w:p>
        </w:tc>
      </w:tr>
      <w:tr w:rsidR="00000000">
        <w:trPr>
          <w:trHeight w:val="385"/>
          <w:jc w:val="center"/>
        </w:trPr>
        <w:tc>
          <w:tcPr>
            <w:tcW w:w="676" w:type="dxa"/>
          </w:tcPr>
          <w:p w:rsidR="00000000" w:rsidRDefault="00EC74A3">
            <w:pPr>
              <w:widowControl/>
              <w:numPr>
                <w:ilvl w:val="0"/>
                <w:numId w:val="2"/>
              </w:numPr>
              <w:spacing w:line="400" w:lineRule="exact"/>
              <w:jc w:val="center"/>
              <w:rPr>
                <w:rFonts w:ascii="宋体" w:hAnsi="宋体" w:cs="宋体" w:hint="eastAsia"/>
                <w:szCs w:val="21"/>
              </w:rPr>
            </w:pPr>
          </w:p>
        </w:tc>
        <w:tc>
          <w:tcPr>
            <w:tcW w:w="5940" w:type="dxa"/>
            <w:vAlign w:val="center"/>
          </w:tcPr>
          <w:p w:rsidR="00000000" w:rsidRDefault="00EC74A3">
            <w:pPr>
              <w:widowControl/>
              <w:textAlignment w:val="center"/>
              <w:rPr>
                <w:rFonts w:ascii="宋体" w:hAnsi="宋体" w:cs="宋体" w:hint="eastAsia"/>
                <w:color w:val="000000"/>
                <w:kern w:val="0"/>
                <w:szCs w:val="21"/>
                <w:lang/>
              </w:rPr>
            </w:pPr>
            <w:r>
              <w:rPr>
                <w:rFonts w:ascii="宋体" w:hAnsi="宋体" w:cs="宋体" w:hint="eastAsia"/>
                <w:szCs w:val="21"/>
                <w:lang/>
              </w:rPr>
              <w:t>东</w:t>
            </w:r>
            <w:r>
              <w:rPr>
                <w:rFonts w:ascii="宋体" w:hAnsi="宋体" w:cs="宋体" w:hint="eastAsia"/>
                <w:szCs w:val="21"/>
                <w:lang/>
              </w:rPr>
              <w:t>吴悦秀纯债债券型证券投资基金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EC74A3">
            <w:pPr>
              <w:widowControl/>
              <w:spacing w:line="400" w:lineRule="exact"/>
              <w:jc w:val="left"/>
              <w:rPr>
                <w:rFonts w:ascii="宋体" w:hAnsi="宋体" w:cs="宋体" w:hint="eastAsia"/>
                <w:color w:val="000000"/>
                <w:kern w:val="0"/>
                <w:szCs w:val="21"/>
                <w:lang/>
              </w:rPr>
            </w:pPr>
            <w:r>
              <w:rPr>
                <w:rFonts w:ascii="宋体" w:hAnsi="宋体" w:cs="宋体" w:hint="eastAsia"/>
                <w:szCs w:val="21"/>
                <w:lang/>
              </w:rPr>
              <w:t>005573/005574</w:t>
            </w:r>
          </w:p>
        </w:tc>
      </w:tr>
      <w:tr w:rsidR="00000000">
        <w:trPr>
          <w:trHeight w:val="385"/>
          <w:jc w:val="center"/>
        </w:trPr>
        <w:tc>
          <w:tcPr>
            <w:tcW w:w="676" w:type="dxa"/>
          </w:tcPr>
          <w:p w:rsidR="00000000" w:rsidRDefault="00EC74A3">
            <w:pPr>
              <w:widowControl/>
              <w:numPr>
                <w:ilvl w:val="0"/>
                <w:numId w:val="2"/>
              </w:numPr>
              <w:spacing w:line="400" w:lineRule="exact"/>
              <w:jc w:val="center"/>
              <w:rPr>
                <w:rFonts w:ascii="宋体" w:hAnsi="宋体" w:cs="宋体" w:hint="eastAsia"/>
                <w:szCs w:val="21"/>
              </w:rPr>
            </w:pPr>
          </w:p>
        </w:tc>
        <w:tc>
          <w:tcPr>
            <w:tcW w:w="5940" w:type="dxa"/>
            <w:vAlign w:val="center"/>
          </w:tcPr>
          <w:p w:rsidR="00000000" w:rsidRDefault="00EC74A3">
            <w:pPr>
              <w:widowControl/>
              <w:textAlignment w:val="center"/>
              <w:rPr>
                <w:rFonts w:ascii="宋体" w:hAnsi="宋体" w:cs="宋体" w:hint="eastAsia"/>
                <w:color w:val="000000"/>
                <w:kern w:val="0"/>
                <w:szCs w:val="21"/>
                <w:lang/>
              </w:rPr>
            </w:pPr>
            <w:r>
              <w:rPr>
                <w:rFonts w:ascii="宋体" w:hAnsi="宋体" w:cs="宋体" w:hint="eastAsia"/>
                <w:szCs w:val="21"/>
                <w:lang/>
              </w:rPr>
              <w:t>东吴鼎泰纯债债券型证券投资基金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EC74A3">
            <w:pPr>
              <w:widowControl/>
              <w:spacing w:line="400" w:lineRule="exact"/>
              <w:jc w:val="left"/>
              <w:rPr>
                <w:rFonts w:ascii="宋体" w:hAnsi="宋体" w:cs="宋体"/>
                <w:color w:val="000000"/>
                <w:kern w:val="0"/>
                <w:szCs w:val="21"/>
                <w:lang/>
              </w:rPr>
            </w:pPr>
            <w:r>
              <w:rPr>
                <w:rFonts w:ascii="宋体" w:hAnsi="宋体" w:cs="宋体" w:hint="eastAsia"/>
                <w:szCs w:val="21"/>
                <w:lang/>
              </w:rPr>
              <w:t>006026/014570</w:t>
            </w:r>
          </w:p>
        </w:tc>
      </w:tr>
      <w:tr w:rsidR="00000000">
        <w:trPr>
          <w:trHeight w:val="385"/>
          <w:jc w:val="center"/>
        </w:trPr>
        <w:tc>
          <w:tcPr>
            <w:tcW w:w="676" w:type="dxa"/>
          </w:tcPr>
          <w:p w:rsidR="00000000" w:rsidRDefault="00EC74A3">
            <w:pPr>
              <w:widowControl/>
              <w:numPr>
                <w:ilvl w:val="0"/>
                <w:numId w:val="2"/>
              </w:numPr>
              <w:spacing w:line="400" w:lineRule="exact"/>
              <w:jc w:val="center"/>
              <w:rPr>
                <w:rFonts w:ascii="宋体" w:hAnsi="宋体" w:cs="宋体" w:hint="eastAsia"/>
                <w:szCs w:val="21"/>
              </w:rPr>
            </w:pPr>
          </w:p>
        </w:tc>
        <w:tc>
          <w:tcPr>
            <w:tcW w:w="5940" w:type="dxa"/>
            <w:vAlign w:val="center"/>
          </w:tcPr>
          <w:p w:rsidR="00000000" w:rsidRDefault="00EC74A3">
            <w:pPr>
              <w:widowControl/>
              <w:textAlignment w:val="center"/>
              <w:rPr>
                <w:rFonts w:ascii="宋体" w:hAnsi="宋体" w:cs="宋体" w:hint="eastAsia"/>
                <w:color w:val="000000"/>
                <w:kern w:val="0"/>
                <w:szCs w:val="21"/>
                <w:lang/>
              </w:rPr>
            </w:pPr>
            <w:r>
              <w:rPr>
                <w:rFonts w:ascii="宋体" w:hAnsi="宋体" w:cs="宋体" w:hint="eastAsia"/>
                <w:szCs w:val="21"/>
                <w:lang/>
              </w:rPr>
              <w:t>东吴兴享成长混合型证券投资基金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EC74A3">
            <w:pPr>
              <w:widowControl/>
              <w:spacing w:line="400" w:lineRule="exact"/>
              <w:jc w:val="left"/>
              <w:rPr>
                <w:rFonts w:ascii="宋体" w:hAnsi="宋体" w:cs="宋体" w:hint="eastAsia"/>
                <w:color w:val="000000"/>
                <w:kern w:val="0"/>
                <w:szCs w:val="21"/>
                <w:lang/>
              </w:rPr>
            </w:pPr>
            <w:r>
              <w:rPr>
                <w:rFonts w:ascii="宋体" w:hAnsi="宋体" w:cs="宋体" w:hint="eastAsia"/>
                <w:szCs w:val="21"/>
                <w:lang/>
              </w:rPr>
              <w:t>010330/011462</w:t>
            </w:r>
          </w:p>
        </w:tc>
      </w:tr>
      <w:tr w:rsidR="00000000">
        <w:trPr>
          <w:trHeight w:val="385"/>
          <w:jc w:val="center"/>
        </w:trPr>
        <w:tc>
          <w:tcPr>
            <w:tcW w:w="676" w:type="dxa"/>
          </w:tcPr>
          <w:p w:rsidR="00000000" w:rsidRDefault="00EC74A3">
            <w:pPr>
              <w:widowControl/>
              <w:numPr>
                <w:ilvl w:val="0"/>
                <w:numId w:val="2"/>
              </w:numPr>
              <w:spacing w:line="400" w:lineRule="exact"/>
              <w:jc w:val="center"/>
              <w:rPr>
                <w:rFonts w:ascii="宋体" w:hAnsi="宋体" w:cs="宋体" w:hint="eastAsia"/>
                <w:szCs w:val="21"/>
              </w:rPr>
            </w:pPr>
          </w:p>
        </w:tc>
        <w:tc>
          <w:tcPr>
            <w:tcW w:w="5940" w:type="dxa"/>
            <w:vAlign w:val="center"/>
          </w:tcPr>
          <w:p w:rsidR="00000000" w:rsidRDefault="00EC74A3">
            <w:pPr>
              <w:widowControl/>
              <w:textAlignment w:val="center"/>
              <w:rPr>
                <w:rFonts w:ascii="宋体" w:hAnsi="宋体" w:cs="宋体" w:hint="eastAsia"/>
                <w:color w:val="000000"/>
                <w:kern w:val="0"/>
                <w:szCs w:val="21"/>
                <w:lang/>
              </w:rPr>
            </w:pPr>
            <w:r>
              <w:rPr>
                <w:rFonts w:ascii="宋体" w:hAnsi="宋体" w:cs="宋体" w:hint="eastAsia"/>
                <w:szCs w:val="21"/>
                <w:lang/>
              </w:rPr>
              <w:t>东吴消费成长混合型证券投资基金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EC74A3">
            <w:pPr>
              <w:widowControl/>
              <w:spacing w:line="400" w:lineRule="exact"/>
              <w:jc w:val="left"/>
              <w:rPr>
                <w:rFonts w:ascii="宋体" w:hAnsi="宋体" w:cs="宋体" w:hint="eastAsia"/>
                <w:color w:val="000000"/>
                <w:kern w:val="0"/>
                <w:szCs w:val="21"/>
                <w:lang/>
              </w:rPr>
            </w:pPr>
            <w:r>
              <w:rPr>
                <w:rFonts w:ascii="宋体" w:hAnsi="宋体" w:cs="宋体" w:hint="eastAsia"/>
                <w:szCs w:val="21"/>
                <w:lang/>
              </w:rPr>
              <w:t>012971/012972</w:t>
            </w:r>
          </w:p>
        </w:tc>
      </w:tr>
      <w:tr w:rsidR="00000000">
        <w:trPr>
          <w:trHeight w:val="385"/>
          <w:jc w:val="center"/>
        </w:trPr>
        <w:tc>
          <w:tcPr>
            <w:tcW w:w="676" w:type="dxa"/>
          </w:tcPr>
          <w:p w:rsidR="00000000" w:rsidRDefault="00EC74A3">
            <w:pPr>
              <w:widowControl/>
              <w:numPr>
                <w:ilvl w:val="0"/>
                <w:numId w:val="2"/>
              </w:numPr>
              <w:spacing w:line="400" w:lineRule="exact"/>
              <w:jc w:val="left"/>
              <w:rPr>
                <w:rFonts w:ascii="宋体" w:hAnsi="宋体" w:cs="宋体" w:hint="eastAsia"/>
                <w:szCs w:val="21"/>
              </w:rPr>
            </w:pPr>
          </w:p>
        </w:tc>
        <w:tc>
          <w:tcPr>
            <w:tcW w:w="5940" w:type="dxa"/>
            <w:vAlign w:val="center"/>
          </w:tcPr>
          <w:p w:rsidR="00000000" w:rsidRDefault="00EC74A3">
            <w:pPr>
              <w:widowControl/>
              <w:textAlignment w:val="center"/>
              <w:rPr>
                <w:rFonts w:ascii="宋体" w:hAnsi="宋体" w:cs="宋体" w:hint="eastAsia"/>
                <w:color w:val="000000"/>
                <w:kern w:val="0"/>
                <w:szCs w:val="21"/>
                <w:lang/>
              </w:rPr>
            </w:pPr>
            <w:r>
              <w:rPr>
                <w:rFonts w:ascii="宋体" w:hAnsi="宋体" w:cs="宋体" w:hint="eastAsia"/>
                <w:szCs w:val="21"/>
                <w:lang/>
              </w:rPr>
              <w:t>东吴医疗服务股票型证券投资基金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EC74A3">
            <w:pPr>
              <w:widowControl/>
              <w:spacing w:line="400" w:lineRule="exact"/>
              <w:jc w:val="left"/>
              <w:rPr>
                <w:rFonts w:ascii="宋体" w:hAnsi="宋体" w:cs="宋体" w:hint="eastAsia"/>
                <w:color w:val="000000"/>
                <w:kern w:val="0"/>
                <w:szCs w:val="21"/>
                <w:lang/>
              </w:rPr>
            </w:pPr>
            <w:r>
              <w:rPr>
                <w:rFonts w:ascii="宋体" w:hAnsi="宋体" w:cs="宋体" w:hint="eastAsia"/>
                <w:szCs w:val="21"/>
                <w:lang/>
              </w:rPr>
              <w:t>013940/013941</w:t>
            </w:r>
          </w:p>
        </w:tc>
      </w:tr>
      <w:tr w:rsidR="00000000">
        <w:trPr>
          <w:trHeight w:val="385"/>
          <w:jc w:val="center"/>
        </w:trPr>
        <w:tc>
          <w:tcPr>
            <w:tcW w:w="676" w:type="dxa"/>
          </w:tcPr>
          <w:p w:rsidR="00000000" w:rsidRDefault="00EC74A3">
            <w:pPr>
              <w:widowControl/>
              <w:numPr>
                <w:ilvl w:val="0"/>
                <w:numId w:val="2"/>
              </w:numPr>
              <w:spacing w:line="400" w:lineRule="exact"/>
              <w:jc w:val="left"/>
              <w:rPr>
                <w:rFonts w:ascii="宋体" w:hAnsi="宋体" w:cs="宋体" w:hint="eastAsia"/>
                <w:szCs w:val="21"/>
              </w:rPr>
            </w:pPr>
          </w:p>
        </w:tc>
        <w:tc>
          <w:tcPr>
            <w:tcW w:w="5940" w:type="dxa"/>
            <w:vAlign w:val="center"/>
          </w:tcPr>
          <w:p w:rsidR="00000000" w:rsidRDefault="00EC74A3">
            <w:pPr>
              <w:widowControl/>
              <w:textAlignment w:val="center"/>
              <w:rPr>
                <w:rFonts w:ascii="宋体" w:hAnsi="宋体" w:cs="宋体" w:hint="eastAsia"/>
                <w:color w:val="000000"/>
                <w:kern w:val="0"/>
                <w:szCs w:val="21"/>
                <w:lang/>
              </w:rPr>
            </w:pPr>
            <w:r>
              <w:rPr>
                <w:rFonts w:ascii="宋体" w:hAnsi="宋体" w:cs="宋体" w:hint="eastAsia"/>
                <w:szCs w:val="21"/>
                <w:lang/>
              </w:rPr>
              <w:t>东吴新能源汽车股票型证券投资基金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EC74A3">
            <w:pPr>
              <w:widowControl/>
              <w:spacing w:line="400" w:lineRule="exact"/>
              <w:jc w:val="left"/>
              <w:rPr>
                <w:rFonts w:ascii="宋体" w:hAnsi="宋体" w:cs="宋体"/>
                <w:color w:val="000000"/>
                <w:kern w:val="0"/>
                <w:szCs w:val="21"/>
                <w:lang/>
              </w:rPr>
            </w:pPr>
            <w:r>
              <w:rPr>
                <w:rFonts w:ascii="宋体" w:hAnsi="宋体" w:cs="宋体" w:hint="eastAsia"/>
                <w:szCs w:val="21"/>
                <w:lang/>
              </w:rPr>
              <w:t>014376/014377</w:t>
            </w:r>
          </w:p>
        </w:tc>
      </w:tr>
      <w:tr w:rsidR="00000000">
        <w:trPr>
          <w:trHeight w:val="385"/>
          <w:jc w:val="center"/>
        </w:trPr>
        <w:tc>
          <w:tcPr>
            <w:tcW w:w="676" w:type="dxa"/>
          </w:tcPr>
          <w:p w:rsidR="00000000" w:rsidRDefault="00EC74A3">
            <w:pPr>
              <w:widowControl/>
              <w:numPr>
                <w:ilvl w:val="0"/>
                <w:numId w:val="2"/>
              </w:numPr>
              <w:spacing w:line="400" w:lineRule="exact"/>
              <w:jc w:val="left"/>
              <w:rPr>
                <w:rFonts w:ascii="宋体" w:hAnsi="宋体" w:cs="宋体" w:hint="eastAsia"/>
                <w:szCs w:val="21"/>
              </w:rPr>
            </w:pPr>
          </w:p>
        </w:tc>
        <w:tc>
          <w:tcPr>
            <w:tcW w:w="5940" w:type="dxa"/>
            <w:vAlign w:val="center"/>
          </w:tcPr>
          <w:p w:rsidR="00000000" w:rsidRDefault="00EC74A3">
            <w:pPr>
              <w:widowControl/>
              <w:textAlignment w:val="center"/>
              <w:rPr>
                <w:rFonts w:ascii="宋体" w:hAnsi="宋体" w:cs="宋体" w:hint="eastAsia"/>
                <w:szCs w:val="21"/>
                <w:lang/>
              </w:rPr>
            </w:pPr>
            <w:r>
              <w:rPr>
                <w:rFonts w:ascii="宋体" w:hAnsi="宋体" w:cs="宋体" w:hint="eastAsia"/>
                <w:szCs w:val="21"/>
                <w:lang/>
              </w:rPr>
              <w:t>东吴月月享</w:t>
            </w:r>
            <w:r>
              <w:rPr>
                <w:rFonts w:ascii="宋体" w:hAnsi="宋体" w:cs="宋体" w:hint="eastAsia"/>
                <w:szCs w:val="21"/>
                <w:lang/>
              </w:rPr>
              <w:t>30</w:t>
            </w:r>
            <w:r>
              <w:rPr>
                <w:rFonts w:ascii="宋体" w:hAnsi="宋体" w:cs="宋体" w:hint="eastAsia"/>
                <w:szCs w:val="21"/>
                <w:lang/>
              </w:rPr>
              <w:t>天持有期短债债券型证券投资基金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EC74A3">
            <w:pPr>
              <w:widowControl/>
              <w:textAlignment w:val="center"/>
              <w:rPr>
                <w:rFonts w:ascii="宋体" w:hAnsi="宋体" w:cs="宋体"/>
                <w:szCs w:val="21"/>
                <w:lang/>
              </w:rPr>
            </w:pPr>
            <w:r>
              <w:rPr>
                <w:rFonts w:ascii="宋体" w:hAnsi="宋体" w:cs="宋体" w:hint="eastAsia"/>
                <w:szCs w:val="21"/>
                <w:lang/>
              </w:rPr>
              <w:t>015426</w:t>
            </w:r>
            <w:r>
              <w:rPr>
                <w:rFonts w:ascii="宋体" w:hAnsi="宋体" w:cs="宋体" w:hint="eastAsia"/>
                <w:szCs w:val="21"/>
                <w:lang/>
              </w:rPr>
              <w:t>/015427</w:t>
            </w:r>
          </w:p>
        </w:tc>
      </w:tr>
      <w:tr w:rsidR="00000000">
        <w:trPr>
          <w:trHeight w:val="385"/>
          <w:jc w:val="center"/>
        </w:trPr>
        <w:tc>
          <w:tcPr>
            <w:tcW w:w="676" w:type="dxa"/>
          </w:tcPr>
          <w:p w:rsidR="00000000" w:rsidRDefault="00EC74A3">
            <w:pPr>
              <w:widowControl/>
              <w:numPr>
                <w:ilvl w:val="0"/>
                <w:numId w:val="2"/>
              </w:numPr>
              <w:spacing w:line="400" w:lineRule="exact"/>
              <w:jc w:val="left"/>
              <w:rPr>
                <w:rFonts w:ascii="宋体" w:hAnsi="宋体" w:cs="宋体" w:hint="eastAsia"/>
                <w:szCs w:val="21"/>
              </w:rPr>
            </w:pPr>
          </w:p>
        </w:tc>
        <w:tc>
          <w:tcPr>
            <w:tcW w:w="5940" w:type="dxa"/>
            <w:vAlign w:val="center"/>
          </w:tcPr>
          <w:p w:rsidR="00000000" w:rsidRDefault="00EC74A3">
            <w:pPr>
              <w:widowControl/>
              <w:textAlignment w:val="center"/>
              <w:rPr>
                <w:rFonts w:ascii="宋体" w:hAnsi="宋体" w:cs="宋体" w:hint="eastAsia"/>
                <w:szCs w:val="21"/>
                <w:lang/>
              </w:rPr>
            </w:pPr>
            <w:r>
              <w:rPr>
                <w:rFonts w:ascii="宋体" w:hAnsi="宋体" w:cs="宋体" w:hint="eastAsia"/>
                <w:szCs w:val="21"/>
                <w:lang/>
              </w:rPr>
              <w:t>东吴兴弘一年持有期混合型证券投资基金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EC74A3">
            <w:pPr>
              <w:widowControl/>
              <w:textAlignment w:val="center"/>
              <w:rPr>
                <w:rFonts w:ascii="宋体" w:hAnsi="宋体" w:cs="宋体"/>
                <w:szCs w:val="21"/>
                <w:lang/>
              </w:rPr>
            </w:pPr>
            <w:r>
              <w:rPr>
                <w:rFonts w:ascii="宋体" w:hAnsi="宋体" w:cs="宋体" w:hint="eastAsia"/>
                <w:szCs w:val="21"/>
                <w:lang/>
              </w:rPr>
              <w:t>016097/016098</w:t>
            </w:r>
          </w:p>
        </w:tc>
      </w:tr>
      <w:tr w:rsidR="00000000">
        <w:trPr>
          <w:trHeight w:val="385"/>
          <w:jc w:val="center"/>
        </w:trPr>
        <w:tc>
          <w:tcPr>
            <w:tcW w:w="676" w:type="dxa"/>
          </w:tcPr>
          <w:p w:rsidR="00000000" w:rsidRDefault="00EC74A3">
            <w:pPr>
              <w:widowControl/>
              <w:numPr>
                <w:ilvl w:val="0"/>
                <w:numId w:val="2"/>
              </w:numPr>
              <w:spacing w:line="400" w:lineRule="exact"/>
              <w:jc w:val="left"/>
              <w:rPr>
                <w:rFonts w:ascii="宋体" w:hAnsi="宋体" w:cs="宋体" w:hint="eastAsia"/>
                <w:szCs w:val="21"/>
              </w:rPr>
            </w:pPr>
          </w:p>
        </w:tc>
        <w:tc>
          <w:tcPr>
            <w:tcW w:w="5940" w:type="dxa"/>
            <w:vAlign w:val="center"/>
          </w:tcPr>
          <w:p w:rsidR="00000000" w:rsidRDefault="00EC74A3">
            <w:pPr>
              <w:widowControl/>
              <w:textAlignment w:val="center"/>
              <w:rPr>
                <w:rFonts w:ascii="宋体" w:hAnsi="宋体" w:cs="宋体" w:hint="eastAsia"/>
                <w:szCs w:val="21"/>
                <w:lang/>
              </w:rPr>
            </w:pPr>
            <w:r>
              <w:rPr>
                <w:rFonts w:ascii="宋体" w:hAnsi="宋体" w:cs="宋体" w:hint="eastAsia"/>
                <w:szCs w:val="21"/>
                <w:lang/>
              </w:rPr>
              <w:t>东吴中证同业存单</w:t>
            </w:r>
            <w:r>
              <w:rPr>
                <w:rFonts w:ascii="宋体" w:hAnsi="宋体" w:cs="宋体" w:hint="eastAsia"/>
                <w:szCs w:val="21"/>
                <w:lang/>
              </w:rPr>
              <w:t>AAA</w:t>
            </w:r>
            <w:r>
              <w:rPr>
                <w:rFonts w:ascii="宋体" w:hAnsi="宋体" w:cs="宋体" w:hint="eastAsia"/>
                <w:szCs w:val="21"/>
                <w:lang/>
              </w:rPr>
              <w:t>指数</w:t>
            </w:r>
            <w:r>
              <w:rPr>
                <w:rFonts w:ascii="宋体" w:hAnsi="宋体" w:cs="宋体" w:hint="eastAsia"/>
                <w:szCs w:val="21"/>
                <w:lang/>
              </w:rPr>
              <w:t>7</w:t>
            </w:r>
            <w:r>
              <w:rPr>
                <w:rFonts w:ascii="宋体" w:hAnsi="宋体" w:cs="宋体" w:hint="eastAsia"/>
                <w:szCs w:val="21"/>
                <w:lang/>
              </w:rPr>
              <w:t>天持有期证券投资基金</w:t>
            </w:r>
          </w:p>
        </w:tc>
        <w:tc>
          <w:tcPr>
            <w:tcW w:w="1602" w:type="dxa"/>
            <w:vAlign w:val="center"/>
          </w:tcPr>
          <w:p w:rsidR="00000000" w:rsidRDefault="00EC74A3">
            <w:pPr>
              <w:widowControl/>
              <w:textAlignment w:val="center"/>
              <w:rPr>
                <w:rFonts w:ascii="宋体" w:hAnsi="宋体" w:cs="宋体"/>
                <w:szCs w:val="21"/>
                <w:lang/>
              </w:rPr>
            </w:pPr>
            <w:r>
              <w:rPr>
                <w:rFonts w:ascii="宋体" w:hAnsi="宋体" w:cs="宋体" w:hint="eastAsia"/>
                <w:szCs w:val="21"/>
                <w:lang/>
              </w:rPr>
              <w:t>016758</w:t>
            </w:r>
          </w:p>
        </w:tc>
      </w:tr>
      <w:tr w:rsidR="00000000">
        <w:trPr>
          <w:trHeight w:val="385"/>
          <w:jc w:val="center"/>
        </w:trPr>
        <w:tc>
          <w:tcPr>
            <w:tcW w:w="676" w:type="dxa"/>
          </w:tcPr>
          <w:p w:rsidR="00000000" w:rsidRDefault="00EC74A3">
            <w:pPr>
              <w:widowControl/>
              <w:numPr>
                <w:ilvl w:val="0"/>
                <w:numId w:val="2"/>
              </w:numPr>
              <w:spacing w:line="400" w:lineRule="exact"/>
              <w:jc w:val="left"/>
              <w:rPr>
                <w:rFonts w:ascii="宋体" w:hAnsi="宋体" w:cs="宋体" w:hint="eastAsia"/>
                <w:szCs w:val="21"/>
              </w:rPr>
            </w:pPr>
          </w:p>
        </w:tc>
        <w:tc>
          <w:tcPr>
            <w:tcW w:w="5940" w:type="dxa"/>
            <w:vAlign w:val="center"/>
          </w:tcPr>
          <w:p w:rsidR="00000000" w:rsidRDefault="00EC74A3">
            <w:pPr>
              <w:widowControl/>
              <w:textAlignment w:val="center"/>
              <w:rPr>
                <w:rFonts w:ascii="宋体" w:hAnsi="宋体" w:cs="宋体" w:hint="eastAsia"/>
                <w:szCs w:val="21"/>
                <w:lang/>
              </w:rPr>
            </w:pPr>
            <w:r>
              <w:rPr>
                <w:rFonts w:ascii="宋体" w:hAnsi="宋体" w:cs="宋体" w:hint="eastAsia"/>
                <w:szCs w:val="21"/>
                <w:lang/>
              </w:rPr>
              <w:t>东吴添利三个月定期开放债券型证券投资基金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EC74A3">
            <w:pPr>
              <w:widowControl/>
              <w:textAlignment w:val="center"/>
              <w:rPr>
                <w:rFonts w:ascii="宋体" w:hAnsi="宋体" w:cs="宋体" w:hint="eastAsia"/>
                <w:szCs w:val="21"/>
                <w:lang/>
              </w:rPr>
            </w:pPr>
            <w:r>
              <w:rPr>
                <w:rFonts w:ascii="宋体" w:hAnsi="宋体" w:cs="宋体" w:hint="eastAsia"/>
                <w:szCs w:val="21"/>
                <w:lang/>
              </w:rPr>
              <w:t>016759/016760</w:t>
            </w:r>
          </w:p>
        </w:tc>
      </w:tr>
      <w:tr w:rsidR="00000000">
        <w:trPr>
          <w:trHeight w:val="385"/>
          <w:jc w:val="center"/>
        </w:trPr>
        <w:tc>
          <w:tcPr>
            <w:tcW w:w="676" w:type="dxa"/>
          </w:tcPr>
          <w:p w:rsidR="00000000" w:rsidRDefault="00EC74A3">
            <w:pPr>
              <w:widowControl/>
              <w:numPr>
                <w:ilvl w:val="0"/>
                <w:numId w:val="2"/>
              </w:numPr>
              <w:spacing w:line="400" w:lineRule="exact"/>
              <w:jc w:val="left"/>
              <w:rPr>
                <w:rFonts w:ascii="宋体" w:hAnsi="宋体" w:cs="宋体" w:hint="eastAsia"/>
                <w:szCs w:val="21"/>
              </w:rPr>
            </w:pPr>
          </w:p>
        </w:tc>
        <w:tc>
          <w:tcPr>
            <w:tcW w:w="5940" w:type="dxa"/>
            <w:vAlign w:val="center"/>
          </w:tcPr>
          <w:p w:rsidR="00000000" w:rsidRDefault="00EC74A3">
            <w:pPr>
              <w:widowControl/>
              <w:textAlignment w:val="center"/>
              <w:rPr>
                <w:rFonts w:ascii="宋体" w:hAnsi="宋体" w:cs="宋体" w:hint="eastAsia"/>
                <w:szCs w:val="21"/>
                <w:lang/>
              </w:rPr>
            </w:pPr>
            <w:r>
              <w:rPr>
                <w:rFonts w:ascii="宋体" w:hAnsi="宋体" w:cs="宋体" w:hint="eastAsia"/>
                <w:szCs w:val="21"/>
                <w:lang/>
              </w:rPr>
              <w:t>东吴添</w:t>
            </w:r>
            <w:r>
              <w:rPr>
                <w:rFonts w:ascii="宋体" w:hAnsi="宋体" w:cs="宋体" w:hint="eastAsia"/>
                <w:szCs w:val="21"/>
                <w:lang/>
              </w:rPr>
              <w:t>瑞</w:t>
            </w:r>
            <w:r>
              <w:rPr>
                <w:rFonts w:ascii="宋体" w:hAnsi="宋体" w:cs="宋体" w:hint="eastAsia"/>
                <w:szCs w:val="21"/>
                <w:lang/>
              </w:rPr>
              <w:t>三个月定期开放债券型证券投资基金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EC74A3">
            <w:pPr>
              <w:widowControl/>
              <w:textAlignment w:val="center"/>
              <w:rPr>
                <w:rFonts w:ascii="宋体" w:hAnsi="宋体" w:cs="宋体"/>
                <w:szCs w:val="21"/>
                <w:lang/>
              </w:rPr>
            </w:pPr>
            <w:r>
              <w:rPr>
                <w:rFonts w:ascii="宋体" w:hAnsi="宋体" w:cs="宋体" w:hint="eastAsia"/>
                <w:szCs w:val="21"/>
                <w:lang/>
              </w:rPr>
              <w:t>018416/018417</w:t>
            </w:r>
          </w:p>
        </w:tc>
      </w:tr>
      <w:tr w:rsidR="00000000">
        <w:trPr>
          <w:trHeight w:val="385"/>
          <w:jc w:val="center"/>
        </w:trPr>
        <w:tc>
          <w:tcPr>
            <w:tcW w:w="676" w:type="dxa"/>
          </w:tcPr>
          <w:p w:rsidR="00000000" w:rsidRDefault="00EC74A3">
            <w:pPr>
              <w:widowControl/>
              <w:numPr>
                <w:ilvl w:val="0"/>
                <w:numId w:val="2"/>
              </w:numPr>
              <w:spacing w:line="400" w:lineRule="exact"/>
              <w:jc w:val="left"/>
              <w:rPr>
                <w:rFonts w:ascii="宋体" w:hAnsi="宋体" w:cs="宋体" w:hint="eastAsia"/>
                <w:szCs w:val="21"/>
              </w:rPr>
            </w:pPr>
          </w:p>
        </w:tc>
        <w:tc>
          <w:tcPr>
            <w:tcW w:w="5940" w:type="dxa"/>
            <w:vAlign w:val="center"/>
          </w:tcPr>
          <w:p w:rsidR="00000000" w:rsidRDefault="00EC74A3">
            <w:pPr>
              <w:widowControl/>
              <w:textAlignment w:val="center"/>
              <w:rPr>
                <w:rFonts w:ascii="宋体" w:hAnsi="宋体" w:cs="宋体" w:hint="eastAsia"/>
                <w:szCs w:val="21"/>
                <w:lang/>
              </w:rPr>
            </w:pPr>
            <w:r>
              <w:rPr>
                <w:rFonts w:ascii="宋体" w:hAnsi="宋体" w:cs="宋体" w:hint="eastAsia"/>
                <w:szCs w:val="21"/>
                <w:lang/>
              </w:rPr>
              <w:t>东吴恒益纯债债券型证券投资基金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EC74A3">
            <w:pPr>
              <w:widowControl/>
              <w:textAlignment w:val="center"/>
              <w:rPr>
                <w:rFonts w:ascii="宋体" w:hAnsi="宋体" w:cs="宋体"/>
                <w:szCs w:val="21"/>
                <w:lang/>
              </w:rPr>
            </w:pPr>
            <w:r>
              <w:rPr>
                <w:rFonts w:ascii="宋体" w:hAnsi="宋体" w:cs="宋体" w:hint="eastAsia"/>
                <w:szCs w:val="21"/>
                <w:lang/>
              </w:rPr>
              <w:t>020611/020612</w:t>
            </w:r>
          </w:p>
        </w:tc>
      </w:tr>
      <w:tr w:rsidR="00000000">
        <w:trPr>
          <w:trHeight w:val="385"/>
          <w:jc w:val="center"/>
        </w:trPr>
        <w:tc>
          <w:tcPr>
            <w:tcW w:w="676" w:type="dxa"/>
          </w:tcPr>
          <w:p w:rsidR="00000000" w:rsidRDefault="00EC74A3">
            <w:pPr>
              <w:widowControl/>
              <w:numPr>
                <w:ilvl w:val="0"/>
                <w:numId w:val="2"/>
              </w:numPr>
              <w:spacing w:line="400" w:lineRule="exact"/>
              <w:jc w:val="left"/>
              <w:rPr>
                <w:rFonts w:ascii="宋体" w:hAnsi="宋体" w:cs="宋体" w:hint="eastAsia"/>
                <w:szCs w:val="21"/>
              </w:rPr>
            </w:pPr>
          </w:p>
        </w:tc>
        <w:tc>
          <w:tcPr>
            <w:tcW w:w="5940" w:type="dxa"/>
            <w:vAlign w:val="center"/>
          </w:tcPr>
          <w:p w:rsidR="00000000" w:rsidRDefault="00EC74A3">
            <w:pPr>
              <w:widowControl/>
              <w:textAlignment w:val="center"/>
              <w:rPr>
                <w:rFonts w:ascii="宋体" w:hAnsi="宋体" w:cs="宋体" w:hint="eastAsia"/>
                <w:szCs w:val="21"/>
                <w:lang/>
              </w:rPr>
            </w:pPr>
            <w:r>
              <w:rPr>
                <w:rFonts w:ascii="宋体" w:hAnsi="宋体" w:cs="宋体" w:hint="eastAsia"/>
                <w:szCs w:val="21"/>
                <w:lang/>
              </w:rPr>
              <w:t>东吴科技创新混合型证券投资基金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EC74A3">
            <w:pPr>
              <w:widowControl/>
              <w:textAlignment w:val="center"/>
              <w:rPr>
                <w:rFonts w:ascii="宋体" w:hAnsi="宋体" w:cs="宋体"/>
                <w:szCs w:val="21"/>
                <w:lang/>
              </w:rPr>
            </w:pPr>
            <w:r>
              <w:rPr>
                <w:rFonts w:ascii="宋体" w:hAnsi="宋体" w:cs="宋体" w:hint="eastAsia"/>
                <w:szCs w:val="21"/>
                <w:lang/>
              </w:rPr>
              <w:t>020966/020967</w:t>
            </w:r>
          </w:p>
        </w:tc>
      </w:tr>
      <w:tr w:rsidR="00000000">
        <w:trPr>
          <w:trHeight w:val="385"/>
          <w:jc w:val="center"/>
        </w:trPr>
        <w:tc>
          <w:tcPr>
            <w:tcW w:w="676" w:type="dxa"/>
          </w:tcPr>
          <w:p w:rsidR="00000000" w:rsidRDefault="00EC74A3">
            <w:pPr>
              <w:widowControl/>
              <w:numPr>
                <w:ilvl w:val="0"/>
                <w:numId w:val="2"/>
              </w:numPr>
              <w:spacing w:line="400" w:lineRule="exact"/>
              <w:jc w:val="left"/>
              <w:rPr>
                <w:rFonts w:ascii="宋体" w:hAnsi="宋体" w:cs="宋体" w:hint="eastAsia"/>
                <w:szCs w:val="21"/>
              </w:rPr>
            </w:pPr>
          </w:p>
        </w:tc>
        <w:tc>
          <w:tcPr>
            <w:tcW w:w="5940" w:type="dxa"/>
            <w:vAlign w:val="center"/>
          </w:tcPr>
          <w:p w:rsidR="00000000" w:rsidRDefault="00EC74A3">
            <w:pPr>
              <w:widowControl/>
              <w:textAlignment w:val="center"/>
              <w:rPr>
                <w:rFonts w:ascii="宋体" w:hAnsi="宋体" w:cs="宋体" w:hint="eastAsia"/>
                <w:szCs w:val="21"/>
                <w:lang/>
              </w:rPr>
            </w:pPr>
            <w:r>
              <w:rPr>
                <w:rFonts w:ascii="宋体" w:hAnsi="宋体" w:cs="宋体" w:hint="eastAsia"/>
                <w:szCs w:val="21"/>
                <w:lang/>
              </w:rPr>
              <w:t>东吴中短债债券型发起式证券投</w:t>
            </w:r>
            <w:r>
              <w:rPr>
                <w:rFonts w:ascii="宋体" w:hAnsi="宋体" w:cs="宋体" w:hint="eastAsia"/>
                <w:szCs w:val="21"/>
                <w:lang/>
              </w:rPr>
              <w:t>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w:t>
            </w:r>
            <w:r>
              <w:rPr>
                <w:rFonts w:ascii="宋体" w:hAnsi="宋体" w:cs="宋体" w:hint="eastAsia"/>
                <w:szCs w:val="21"/>
                <w:lang/>
              </w:rPr>
              <w:t>B</w:t>
            </w:r>
            <w:r>
              <w:rPr>
                <w:rFonts w:ascii="宋体" w:hAnsi="宋体" w:cs="宋体" w:hint="eastAsia"/>
                <w:szCs w:val="21"/>
                <w:lang/>
              </w:rPr>
              <w:t>类</w:t>
            </w:r>
            <w:r>
              <w:rPr>
                <w:rFonts w:ascii="宋体" w:hAnsi="宋体" w:cs="宋体" w:hint="eastAsia"/>
                <w:szCs w:val="21"/>
                <w:lang/>
              </w:rPr>
              <w:t>/</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EC74A3">
            <w:pPr>
              <w:widowControl/>
              <w:textAlignment w:val="center"/>
              <w:rPr>
                <w:rFonts w:ascii="宋体" w:hAnsi="宋体" w:cs="宋体"/>
                <w:szCs w:val="21"/>
                <w:lang/>
              </w:rPr>
            </w:pPr>
            <w:r>
              <w:rPr>
                <w:rFonts w:ascii="宋体" w:hAnsi="宋体" w:cs="宋体" w:hint="eastAsia"/>
                <w:szCs w:val="21"/>
                <w:lang/>
              </w:rPr>
              <w:t>024488/024489/024490</w:t>
            </w:r>
          </w:p>
        </w:tc>
      </w:tr>
      <w:tr w:rsidR="00000000">
        <w:trPr>
          <w:trHeight w:val="385"/>
          <w:jc w:val="center"/>
        </w:trPr>
        <w:tc>
          <w:tcPr>
            <w:tcW w:w="676" w:type="dxa"/>
          </w:tcPr>
          <w:p w:rsidR="00000000" w:rsidRDefault="00EC74A3">
            <w:pPr>
              <w:widowControl/>
              <w:numPr>
                <w:ilvl w:val="0"/>
                <w:numId w:val="2"/>
              </w:numPr>
              <w:spacing w:line="400" w:lineRule="exact"/>
              <w:jc w:val="left"/>
              <w:rPr>
                <w:rFonts w:ascii="宋体" w:hAnsi="宋体" w:cs="宋体" w:hint="eastAsia"/>
                <w:szCs w:val="21"/>
              </w:rPr>
            </w:pPr>
          </w:p>
        </w:tc>
        <w:tc>
          <w:tcPr>
            <w:tcW w:w="5940" w:type="dxa"/>
            <w:vAlign w:val="center"/>
          </w:tcPr>
          <w:p w:rsidR="00000000" w:rsidRDefault="00EC74A3">
            <w:pPr>
              <w:widowControl/>
              <w:textAlignment w:val="center"/>
              <w:rPr>
                <w:rFonts w:ascii="宋体" w:hAnsi="宋体" w:cs="宋体" w:hint="eastAsia"/>
                <w:szCs w:val="21"/>
                <w:lang/>
              </w:rPr>
            </w:pPr>
            <w:r>
              <w:rPr>
                <w:rFonts w:ascii="宋体" w:hAnsi="宋体" w:cs="宋体" w:hint="eastAsia"/>
                <w:szCs w:val="21"/>
                <w:lang/>
              </w:rPr>
              <w:t>东吴裕盈平衡混合型证券投资基金</w:t>
            </w:r>
            <w:r>
              <w:rPr>
                <w:rFonts w:ascii="宋体" w:hAnsi="宋体" w:cs="宋体" w:hint="eastAsia"/>
                <w:szCs w:val="21"/>
                <w:lang/>
              </w:rPr>
              <w:t>A</w:t>
            </w:r>
            <w:r>
              <w:rPr>
                <w:rFonts w:ascii="宋体" w:hAnsi="宋体" w:cs="宋体" w:hint="eastAsia"/>
                <w:szCs w:val="21"/>
                <w:lang/>
              </w:rPr>
              <w:t>类</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EC74A3">
            <w:pPr>
              <w:widowControl/>
              <w:textAlignment w:val="center"/>
              <w:rPr>
                <w:rFonts w:ascii="宋体" w:hAnsi="宋体" w:cs="宋体"/>
                <w:szCs w:val="21"/>
                <w:lang/>
              </w:rPr>
            </w:pPr>
            <w:r>
              <w:rPr>
                <w:rFonts w:ascii="宋体" w:hAnsi="宋体" w:cs="宋体" w:hint="eastAsia"/>
                <w:szCs w:val="21"/>
                <w:lang/>
              </w:rPr>
              <w:t>024483/024484</w:t>
            </w:r>
          </w:p>
        </w:tc>
      </w:tr>
    </w:tbl>
    <w:p w:rsidR="00000000" w:rsidRDefault="00EC74A3">
      <w:pPr>
        <w:widowControl/>
        <w:spacing w:line="360" w:lineRule="auto"/>
        <w:ind w:firstLineChars="200" w:firstLine="420"/>
        <w:jc w:val="left"/>
        <w:rPr>
          <w:rFonts w:cs="宋体" w:hint="eastAsia"/>
          <w:szCs w:val="21"/>
        </w:rPr>
      </w:pPr>
      <w:r>
        <w:rPr>
          <w:rFonts w:cs="宋体" w:hint="eastAsia"/>
          <w:szCs w:val="21"/>
        </w:rPr>
        <w:t>（备注：定期开放式产品具体开放时间以产品公告为准）</w:t>
      </w:r>
    </w:p>
    <w:p w:rsidR="00000000" w:rsidRDefault="00EC74A3">
      <w:pPr>
        <w:widowControl/>
        <w:spacing w:line="360" w:lineRule="auto"/>
        <w:ind w:firstLineChars="200" w:firstLine="420"/>
        <w:jc w:val="left"/>
        <w:rPr>
          <w:rFonts w:cs="宋体" w:hint="eastAsia"/>
          <w:szCs w:val="21"/>
        </w:rPr>
      </w:pPr>
      <w:r>
        <w:rPr>
          <w:rFonts w:cs="宋体" w:hint="eastAsia"/>
          <w:szCs w:val="21"/>
        </w:rPr>
        <w:t>具体业务办理时间为：全天</w:t>
      </w:r>
      <w:r>
        <w:rPr>
          <w:rFonts w:cs="宋体" w:hint="eastAsia"/>
          <w:szCs w:val="21"/>
        </w:rPr>
        <w:t>24</w:t>
      </w:r>
      <w:r>
        <w:rPr>
          <w:rFonts w:cs="宋体" w:hint="eastAsia"/>
          <w:szCs w:val="21"/>
        </w:rPr>
        <w:t>小时接受委托，每个交易日</w:t>
      </w:r>
      <w:r>
        <w:rPr>
          <w:rFonts w:cs="宋体" w:hint="eastAsia"/>
          <w:szCs w:val="21"/>
        </w:rPr>
        <w:t>15</w:t>
      </w:r>
      <w:r>
        <w:rPr>
          <w:rFonts w:cs="宋体" w:hint="eastAsia"/>
          <w:szCs w:val="21"/>
        </w:rPr>
        <w:t>：</w:t>
      </w:r>
      <w:r>
        <w:rPr>
          <w:rFonts w:cs="宋体" w:hint="eastAsia"/>
          <w:szCs w:val="21"/>
        </w:rPr>
        <w:t>00</w:t>
      </w:r>
      <w:r>
        <w:rPr>
          <w:rFonts w:cs="宋体" w:hint="eastAsia"/>
          <w:szCs w:val="21"/>
        </w:rPr>
        <w:t>以后的委托将会在下一个交易日处理</w:t>
      </w:r>
      <w:r>
        <w:rPr>
          <w:rFonts w:cs="宋体" w:hint="eastAsia"/>
          <w:szCs w:val="21"/>
        </w:rPr>
        <w:t>，具体以销售机构相关规定为准。</w:t>
      </w:r>
    </w:p>
    <w:p w:rsidR="00000000" w:rsidRDefault="00EC74A3">
      <w:pPr>
        <w:widowControl/>
        <w:spacing w:line="360" w:lineRule="auto"/>
        <w:jc w:val="left"/>
        <w:rPr>
          <w:rFonts w:cs="宋体" w:hint="eastAsia"/>
          <w:szCs w:val="21"/>
        </w:rPr>
      </w:pPr>
      <w:r>
        <w:rPr>
          <w:rFonts w:cs="宋体" w:hint="eastAsia"/>
          <w:szCs w:val="21"/>
        </w:rPr>
        <w:t xml:space="preserve"> </w:t>
      </w:r>
    </w:p>
    <w:p w:rsidR="00000000" w:rsidRDefault="00EC74A3">
      <w:pPr>
        <w:widowControl/>
        <w:spacing w:line="360" w:lineRule="auto"/>
        <w:ind w:firstLineChars="200" w:firstLine="420"/>
        <w:jc w:val="left"/>
        <w:rPr>
          <w:rFonts w:cs="宋体" w:hint="eastAsia"/>
          <w:szCs w:val="21"/>
        </w:rPr>
      </w:pPr>
      <w:r>
        <w:rPr>
          <w:rFonts w:cs="宋体" w:hint="eastAsia"/>
          <w:szCs w:val="21"/>
        </w:rPr>
        <w:t>二、开通东吴基金旗下部分基金定期定额投资业务</w:t>
      </w:r>
    </w:p>
    <w:p w:rsidR="00000000" w:rsidRDefault="00EC74A3">
      <w:pPr>
        <w:widowControl/>
        <w:spacing w:line="360" w:lineRule="auto"/>
        <w:ind w:firstLineChars="200" w:firstLine="420"/>
        <w:jc w:val="left"/>
        <w:rPr>
          <w:rFonts w:cs="宋体" w:hint="eastAsia"/>
          <w:szCs w:val="21"/>
        </w:rPr>
      </w:pPr>
      <w:r>
        <w:rPr>
          <w:rFonts w:cs="宋体" w:hint="eastAsia"/>
          <w:szCs w:val="21"/>
        </w:rPr>
        <w:t>为满足广大投资者的理财需求，东吴基金决定</w:t>
      </w:r>
      <w:r>
        <w:rPr>
          <w:rFonts w:cs="宋体" w:hint="eastAsia"/>
          <w:szCs w:val="21"/>
        </w:rPr>
        <w:t>自</w:t>
      </w:r>
      <w:r>
        <w:rPr>
          <w:rFonts w:cs="宋体" w:hint="eastAsia"/>
          <w:szCs w:val="21"/>
        </w:rPr>
        <w:t>2026</w:t>
      </w:r>
      <w:r>
        <w:rPr>
          <w:rFonts w:cs="宋体" w:hint="eastAsia"/>
          <w:szCs w:val="21"/>
        </w:rPr>
        <w:t>年</w:t>
      </w:r>
      <w:r>
        <w:rPr>
          <w:rFonts w:cs="宋体" w:hint="eastAsia"/>
          <w:szCs w:val="21"/>
        </w:rPr>
        <w:t>1</w:t>
      </w:r>
      <w:r>
        <w:rPr>
          <w:rFonts w:cs="宋体" w:hint="eastAsia"/>
          <w:szCs w:val="21"/>
        </w:rPr>
        <w:t>月</w:t>
      </w:r>
      <w:r>
        <w:rPr>
          <w:rFonts w:cs="宋体" w:hint="eastAsia"/>
          <w:szCs w:val="21"/>
        </w:rPr>
        <w:t>15</w:t>
      </w:r>
      <w:r>
        <w:rPr>
          <w:rFonts w:cs="宋体" w:hint="eastAsia"/>
          <w:szCs w:val="21"/>
        </w:rPr>
        <w:t>日</w:t>
      </w:r>
      <w:r>
        <w:rPr>
          <w:rFonts w:cs="宋体" w:hint="eastAsia"/>
          <w:szCs w:val="21"/>
        </w:rPr>
        <w:t>起开通</w:t>
      </w:r>
      <w:r>
        <w:rPr>
          <w:rFonts w:cs="宋体" w:hint="eastAsia"/>
          <w:szCs w:val="21"/>
        </w:rPr>
        <w:t>上述适用基金</w:t>
      </w:r>
      <w:r>
        <w:rPr>
          <w:rFonts w:cs="宋体" w:hint="eastAsia"/>
          <w:szCs w:val="21"/>
        </w:rPr>
        <w:t>在</w:t>
      </w:r>
      <w:r>
        <w:rPr>
          <w:rFonts w:cs="宋体" w:hint="eastAsia"/>
          <w:kern w:val="0"/>
          <w:szCs w:val="21"/>
        </w:rPr>
        <w:t>腾元基金</w:t>
      </w:r>
      <w:r>
        <w:rPr>
          <w:rFonts w:cs="宋体" w:hint="eastAsia"/>
          <w:szCs w:val="21"/>
        </w:rPr>
        <w:t>的定期定额投资业务</w:t>
      </w:r>
      <w:r>
        <w:rPr>
          <w:rFonts w:ascii="宋体" w:hAnsi="宋体" w:cs="宋体" w:hint="eastAsia"/>
          <w:szCs w:val="21"/>
        </w:rPr>
        <w:t>（</w:t>
      </w:r>
      <w:r>
        <w:rPr>
          <w:rFonts w:ascii="宋体" w:hAnsi="宋体" w:cs="宋体" w:hint="eastAsia"/>
          <w:szCs w:val="21"/>
          <w:lang/>
        </w:rPr>
        <w:t>东吴添利三个月定期开放债券型证券</w:t>
      </w:r>
      <w:r>
        <w:rPr>
          <w:rFonts w:ascii="宋体" w:hAnsi="宋体" w:cs="宋体" w:hint="eastAsia"/>
          <w:szCs w:val="21"/>
          <w:lang/>
        </w:rPr>
        <w:t>投资基金</w:t>
      </w:r>
      <w:r>
        <w:rPr>
          <w:rFonts w:ascii="宋体" w:hAnsi="宋体" w:cs="宋体" w:hint="eastAsia"/>
          <w:szCs w:val="21"/>
          <w:lang/>
        </w:rPr>
        <w:t>、</w:t>
      </w:r>
      <w:r>
        <w:rPr>
          <w:rFonts w:ascii="宋体" w:hAnsi="宋体" w:cs="宋体" w:hint="eastAsia"/>
          <w:szCs w:val="21"/>
          <w:lang/>
        </w:rPr>
        <w:t>东吴添</w:t>
      </w:r>
      <w:r>
        <w:rPr>
          <w:rFonts w:ascii="宋体" w:hAnsi="宋体" w:cs="宋体" w:hint="eastAsia"/>
          <w:szCs w:val="21"/>
          <w:lang/>
        </w:rPr>
        <w:t>瑞</w:t>
      </w:r>
      <w:r>
        <w:rPr>
          <w:rFonts w:ascii="宋体" w:hAnsi="宋体" w:cs="宋体" w:hint="eastAsia"/>
          <w:szCs w:val="21"/>
          <w:lang/>
        </w:rPr>
        <w:t>三个月定期开放债券型证券投资基金</w:t>
      </w:r>
      <w:r>
        <w:rPr>
          <w:rFonts w:ascii="宋体" w:hAnsi="宋体" w:cs="宋体" w:hint="eastAsia"/>
          <w:szCs w:val="21"/>
          <w:lang/>
        </w:rPr>
        <w:t>暂不开通</w:t>
      </w:r>
      <w:r>
        <w:rPr>
          <w:rFonts w:ascii="宋体" w:hAnsi="宋体" w:cs="宋体" w:hint="eastAsia"/>
          <w:szCs w:val="21"/>
        </w:rPr>
        <w:t>）。</w:t>
      </w:r>
    </w:p>
    <w:p w:rsidR="00000000" w:rsidRDefault="00EC74A3">
      <w:pPr>
        <w:spacing w:line="360" w:lineRule="auto"/>
        <w:ind w:firstLineChars="200" w:firstLine="420"/>
        <w:rPr>
          <w:rFonts w:cs="宋体" w:hint="eastAsia"/>
          <w:szCs w:val="21"/>
        </w:rPr>
      </w:pPr>
      <w:r>
        <w:rPr>
          <w:rFonts w:cs="宋体" w:hint="eastAsia"/>
          <w:szCs w:val="21"/>
        </w:rPr>
        <w:t>“定期定额投资业务”是基金申购业务的一种方式，投资者可以通过</w:t>
      </w:r>
      <w:r>
        <w:rPr>
          <w:rFonts w:cs="宋体" w:hint="eastAsia"/>
          <w:szCs w:val="21"/>
        </w:rPr>
        <w:t>腾元基金</w:t>
      </w:r>
      <w:r>
        <w:rPr>
          <w:rFonts w:cs="宋体" w:hint="eastAsia"/>
          <w:szCs w:val="21"/>
        </w:rPr>
        <w:t>提交申请，约定每期扣款时间、扣款金额及扣款方式，由</w:t>
      </w:r>
      <w:r>
        <w:rPr>
          <w:rFonts w:cs="宋体" w:hint="eastAsia"/>
          <w:szCs w:val="21"/>
        </w:rPr>
        <w:t>腾元基金</w:t>
      </w:r>
      <w:r>
        <w:rPr>
          <w:rFonts w:cs="宋体" w:hint="eastAsia"/>
          <w:szCs w:val="21"/>
        </w:rPr>
        <w:t>于约定扣款日在投资者指定</w:t>
      </w:r>
      <w:r>
        <w:rPr>
          <w:rFonts w:cs="宋体" w:hint="eastAsia"/>
          <w:szCs w:val="21"/>
        </w:rPr>
        <w:t>的</w:t>
      </w:r>
      <w:r>
        <w:rPr>
          <w:rFonts w:cs="宋体" w:hint="eastAsia"/>
          <w:szCs w:val="21"/>
        </w:rPr>
        <w:t>资金账户内自动完成扣款</w:t>
      </w:r>
      <w:r>
        <w:rPr>
          <w:rFonts w:cs="宋体" w:hint="eastAsia"/>
          <w:szCs w:val="21"/>
        </w:rPr>
        <w:t>以</w:t>
      </w:r>
      <w:r>
        <w:rPr>
          <w:rFonts w:cs="宋体" w:hint="eastAsia"/>
          <w:szCs w:val="21"/>
        </w:rPr>
        <w:t>及基金申购业务。投资者在办理基金“定期定额投资业务”的同时，仍然可以进行日常申购、赎回业务。</w:t>
      </w:r>
    </w:p>
    <w:p w:rsidR="00000000" w:rsidRDefault="00EC74A3">
      <w:pPr>
        <w:spacing w:line="360" w:lineRule="auto"/>
        <w:ind w:firstLineChars="200" w:firstLine="420"/>
        <w:rPr>
          <w:rFonts w:cs="宋体" w:hint="eastAsia"/>
          <w:szCs w:val="21"/>
        </w:rPr>
      </w:pPr>
      <w:r>
        <w:rPr>
          <w:rFonts w:cs="宋体" w:hint="eastAsia"/>
          <w:szCs w:val="21"/>
        </w:rPr>
        <w:t>（一）适用投资者</w:t>
      </w:r>
    </w:p>
    <w:p w:rsidR="00000000" w:rsidRDefault="00EC74A3">
      <w:pPr>
        <w:spacing w:line="360" w:lineRule="auto"/>
        <w:ind w:firstLineChars="200" w:firstLine="420"/>
        <w:rPr>
          <w:rFonts w:cs="宋体" w:hint="eastAsia"/>
          <w:szCs w:val="21"/>
        </w:rPr>
      </w:pPr>
      <w:r>
        <w:rPr>
          <w:rFonts w:cs="宋体" w:hint="eastAsia"/>
          <w:szCs w:val="21"/>
        </w:rPr>
        <w:t>“定期定额投资业务”适用于依据国家有关法律法规和基金合同约定的可以投资证券投资基金的合法投资者。</w:t>
      </w:r>
    </w:p>
    <w:p w:rsidR="00000000" w:rsidRDefault="00EC74A3">
      <w:pPr>
        <w:spacing w:line="360" w:lineRule="auto"/>
        <w:ind w:firstLineChars="200" w:firstLine="420"/>
        <w:rPr>
          <w:rFonts w:cs="宋体" w:hint="eastAsia"/>
          <w:szCs w:val="21"/>
        </w:rPr>
      </w:pPr>
      <w:r>
        <w:rPr>
          <w:rFonts w:cs="宋体" w:hint="eastAsia"/>
          <w:szCs w:val="21"/>
        </w:rPr>
        <w:t>（二）办理场所</w:t>
      </w:r>
    </w:p>
    <w:p w:rsidR="00000000" w:rsidRDefault="00EC74A3">
      <w:pPr>
        <w:spacing w:line="360" w:lineRule="auto"/>
        <w:ind w:firstLineChars="200" w:firstLine="420"/>
        <w:rPr>
          <w:rFonts w:cs="宋体" w:hint="eastAsia"/>
          <w:szCs w:val="21"/>
        </w:rPr>
      </w:pPr>
      <w:r>
        <w:rPr>
          <w:rFonts w:cs="宋体" w:hint="eastAsia"/>
          <w:szCs w:val="21"/>
        </w:rPr>
        <w:lastRenderedPageBreak/>
        <w:t>投资者可</w:t>
      </w:r>
      <w:r>
        <w:rPr>
          <w:rFonts w:cs="宋体" w:hint="eastAsia"/>
          <w:kern w:val="0"/>
          <w:szCs w:val="21"/>
        </w:rPr>
        <w:t>通过</w:t>
      </w:r>
      <w:r>
        <w:rPr>
          <w:rFonts w:cs="宋体" w:hint="eastAsia"/>
          <w:kern w:val="0"/>
          <w:szCs w:val="21"/>
        </w:rPr>
        <w:t>腾元基金</w:t>
      </w:r>
      <w:r>
        <w:rPr>
          <w:rFonts w:cs="宋体" w:hint="eastAsia"/>
          <w:kern w:val="0"/>
          <w:szCs w:val="21"/>
        </w:rPr>
        <w:t>交易系统</w:t>
      </w:r>
      <w:r>
        <w:rPr>
          <w:rFonts w:cs="宋体" w:hint="eastAsia"/>
          <w:szCs w:val="21"/>
        </w:rPr>
        <w:t>，办理“定期定额投</w:t>
      </w:r>
      <w:r>
        <w:rPr>
          <w:rFonts w:cs="宋体" w:hint="eastAsia"/>
          <w:szCs w:val="21"/>
        </w:rPr>
        <w:t>资业务”申请。</w:t>
      </w:r>
    </w:p>
    <w:p w:rsidR="00000000" w:rsidRDefault="00EC74A3">
      <w:pPr>
        <w:spacing w:line="360" w:lineRule="auto"/>
        <w:ind w:firstLineChars="200" w:firstLine="420"/>
        <w:rPr>
          <w:rFonts w:cs="宋体" w:hint="eastAsia"/>
          <w:szCs w:val="21"/>
        </w:rPr>
      </w:pPr>
      <w:r>
        <w:rPr>
          <w:rFonts w:cs="宋体" w:hint="eastAsia"/>
          <w:szCs w:val="21"/>
        </w:rPr>
        <w:t>（三）办理方式</w:t>
      </w:r>
    </w:p>
    <w:p w:rsidR="00000000" w:rsidRDefault="00EC74A3">
      <w:pPr>
        <w:spacing w:line="360" w:lineRule="auto"/>
        <w:ind w:firstLineChars="200" w:firstLine="420"/>
        <w:rPr>
          <w:rFonts w:cs="宋体" w:hint="eastAsia"/>
          <w:szCs w:val="21"/>
        </w:rPr>
      </w:pPr>
      <w:r>
        <w:rPr>
          <w:rFonts w:cs="宋体" w:hint="eastAsia"/>
          <w:szCs w:val="21"/>
        </w:rPr>
        <w:t>1</w:t>
      </w:r>
      <w:r>
        <w:rPr>
          <w:rFonts w:cs="宋体" w:hint="eastAsia"/>
          <w:szCs w:val="21"/>
        </w:rPr>
        <w:t>、</w:t>
      </w:r>
      <w:r>
        <w:rPr>
          <w:rFonts w:cs="宋体" w:hint="eastAsia"/>
          <w:szCs w:val="21"/>
        </w:rPr>
        <w:t>凡申请办理“定期定额投资业务”的投资者在</w:t>
      </w:r>
      <w:r>
        <w:rPr>
          <w:rFonts w:cs="宋体" w:hint="eastAsia"/>
          <w:kern w:val="0"/>
          <w:szCs w:val="21"/>
        </w:rPr>
        <w:t>腾元基金</w:t>
      </w:r>
      <w:r>
        <w:rPr>
          <w:rFonts w:cs="宋体" w:hint="eastAsia"/>
          <w:szCs w:val="21"/>
        </w:rPr>
        <w:t>直接开户便可进行东吴基金定期定额投资业务。</w:t>
      </w:r>
    </w:p>
    <w:p w:rsidR="00000000" w:rsidRDefault="00EC74A3">
      <w:pPr>
        <w:spacing w:line="360" w:lineRule="auto"/>
        <w:ind w:firstLineChars="200" w:firstLine="420"/>
        <w:rPr>
          <w:rFonts w:cs="宋体" w:hint="eastAsia"/>
          <w:szCs w:val="21"/>
        </w:rPr>
      </w:pPr>
      <w:r>
        <w:rPr>
          <w:rFonts w:cs="宋体" w:hint="eastAsia"/>
          <w:szCs w:val="21"/>
        </w:rPr>
        <w:t>2</w:t>
      </w:r>
      <w:r>
        <w:rPr>
          <w:rFonts w:cs="宋体" w:hint="eastAsia"/>
          <w:szCs w:val="21"/>
        </w:rPr>
        <w:t>、</w:t>
      </w:r>
      <w:r>
        <w:rPr>
          <w:rFonts w:cs="宋体" w:hint="eastAsia"/>
          <w:szCs w:val="21"/>
        </w:rPr>
        <w:t>已开立东吴基金管理有限公司开放式基金账户的投资者，可在</w:t>
      </w:r>
      <w:r>
        <w:rPr>
          <w:rFonts w:cs="宋体" w:hint="eastAsia"/>
          <w:kern w:val="0"/>
          <w:szCs w:val="21"/>
        </w:rPr>
        <w:t>腾元基金</w:t>
      </w:r>
      <w:r>
        <w:rPr>
          <w:rFonts w:cs="宋体" w:hint="eastAsia"/>
          <w:color w:val="000000"/>
          <w:kern w:val="0"/>
          <w:szCs w:val="21"/>
        </w:rPr>
        <w:t>的</w:t>
      </w:r>
      <w:r>
        <w:rPr>
          <w:rFonts w:cs="宋体" w:hint="eastAsia"/>
          <w:kern w:val="0"/>
          <w:szCs w:val="21"/>
        </w:rPr>
        <w:t>交易系统</w:t>
      </w:r>
      <w:r>
        <w:rPr>
          <w:rFonts w:cs="宋体" w:hint="eastAsia"/>
          <w:szCs w:val="21"/>
        </w:rPr>
        <w:t>通过账户登记后，办理“定期定额投资业务”申请。</w:t>
      </w:r>
    </w:p>
    <w:p w:rsidR="00000000" w:rsidRDefault="00EC74A3">
      <w:pPr>
        <w:spacing w:line="360" w:lineRule="auto"/>
        <w:ind w:firstLineChars="200" w:firstLine="420"/>
        <w:rPr>
          <w:rFonts w:cs="宋体" w:hint="eastAsia"/>
          <w:szCs w:val="21"/>
        </w:rPr>
      </w:pPr>
      <w:r>
        <w:rPr>
          <w:rFonts w:cs="宋体" w:hint="eastAsia"/>
          <w:szCs w:val="21"/>
        </w:rPr>
        <w:t>（四）办理时间</w:t>
      </w:r>
    </w:p>
    <w:p w:rsidR="00000000" w:rsidRDefault="00EC74A3">
      <w:pPr>
        <w:spacing w:line="360" w:lineRule="auto"/>
        <w:ind w:firstLineChars="200" w:firstLine="420"/>
        <w:rPr>
          <w:rFonts w:cs="宋体" w:hint="eastAsia"/>
          <w:szCs w:val="21"/>
        </w:rPr>
      </w:pPr>
      <w:r>
        <w:rPr>
          <w:rFonts w:cs="宋体" w:hint="eastAsia"/>
          <w:szCs w:val="21"/>
        </w:rPr>
        <w:t>本业务的申请受理时间与基金日常申购业务受理时间相同。</w:t>
      </w:r>
    </w:p>
    <w:p w:rsidR="00000000" w:rsidRDefault="00EC74A3">
      <w:pPr>
        <w:widowControl/>
        <w:spacing w:line="360" w:lineRule="auto"/>
        <w:ind w:firstLineChars="200" w:firstLine="420"/>
        <w:jc w:val="left"/>
        <w:rPr>
          <w:rFonts w:cs="宋体" w:hint="eastAsia"/>
          <w:szCs w:val="21"/>
        </w:rPr>
      </w:pPr>
      <w:r>
        <w:rPr>
          <w:rFonts w:cs="宋体" w:hint="eastAsia"/>
          <w:szCs w:val="21"/>
        </w:rPr>
        <w:t>（五）扣款金额</w:t>
      </w:r>
    </w:p>
    <w:p w:rsidR="00000000" w:rsidRDefault="00EC74A3">
      <w:pPr>
        <w:widowControl/>
        <w:spacing w:line="360" w:lineRule="auto"/>
        <w:ind w:firstLineChars="200" w:firstLine="420"/>
        <w:jc w:val="left"/>
        <w:rPr>
          <w:rFonts w:cs="宋体" w:hint="eastAsia"/>
          <w:color w:val="000000"/>
          <w:szCs w:val="21"/>
        </w:rPr>
      </w:pPr>
      <w:r>
        <w:rPr>
          <w:rFonts w:cs="宋体" w:hint="eastAsia"/>
          <w:szCs w:val="21"/>
        </w:rPr>
        <w:t>投资者应与</w:t>
      </w:r>
      <w:r>
        <w:rPr>
          <w:rFonts w:cs="宋体" w:hint="eastAsia"/>
          <w:kern w:val="0"/>
          <w:szCs w:val="21"/>
        </w:rPr>
        <w:t>腾元基金</w:t>
      </w:r>
      <w:r>
        <w:rPr>
          <w:rFonts w:cs="宋体" w:hint="eastAsia"/>
          <w:szCs w:val="21"/>
        </w:rPr>
        <w:t>约定每期扣款（申购）金额，</w:t>
      </w:r>
      <w:r>
        <w:rPr>
          <w:rFonts w:cs="宋体" w:hint="eastAsia"/>
          <w:szCs w:val="21"/>
        </w:rPr>
        <w:t>每期定投最低申购金额为人民币</w:t>
      </w:r>
      <w:r>
        <w:rPr>
          <w:rFonts w:cs="宋体" w:hint="eastAsia"/>
          <w:szCs w:val="21"/>
        </w:rPr>
        <w:t>1.00</w:t>
      </w:r>
      <w:r>
        <w:rPr>
          <w:rFonts w:cs="宋体" w:hint="eastAsia"/>
          <w:szCs w:val="21"/>
        </w:rPr>
        <w:t>元，</w:t>
      </w:r>
      <w:r>
        <w:rPr>
          <w:rFonts w:cs="宋体" w:hint="eastAsia"/>
          <w:color w:val="000000"/>
          <w:szCs w:val="21"/>
        </w:rPr>
        <w:t>销售机构在符合上述规定的前提下，可根据情况调高每期最低申购金额，具体以销售机构</w:t>
      </w:r>
      <w:r>
        <w:rPr>
          <w:rFonts w:cs="宋体" w:hint="eastAsia"/>
          <w:color w:val="000000"/>
          <w:szCs w:val="21"/>
        </w:rPr>
        <w:t>相关规定</w:t>
      </w:r>
      <w:r>
        <w:rPr>
          <w:rFonts w:cs="宋体" w:hint="eastAsia"/>
          <w:color w:val="000000"/>
          <w:szCs w:val="21"/>
        </w:rPr>
        <w:t>为准</w:t>
      </w:r>
      <w:r>
        <w:rPr>
          <w:rFonts w:cs="宋体" w:hint="eastAsia"/>
          <w:color w:val="000000"/>
          <w:szCs w:val="21"/>
        </w:rPr>
        <w:t>。</w:t>
      </w:r>
    </w:p>
    <w:p w:rsidR="00000000" w:rsidRDefault="00EC74A3">
      <w:pPr>
        <w:tabs>
          <w:tab w:val="left" w:pos="720"/>
        </w:tabs>
        <w:autoSpaceDE w:val="0"/>
        <w:autoSpaceDN w:val="0"/>
        <w:adjustRightInd w:val="0"/>
        <w:spacing w:line="360" w:lineRule="auto"/>
        <w:ind w:right="18" w:firstLineChars="200" w:firstLine="420"/>
        <w:jc w:val="left"/>
        <w:rPr>
          <w:rFonts w:cs="宋体" w:hint="eastAsia"/>
          <w:color w:val="000000"/>
          <w:szCs w:val="21"/>
        </w:rPr>
      </w:pPr>
      <w:r>
        <w:rPr>
          <w:rFonts w:cs="宋体" w:hint="eastAsia"/>
          <w:color w:val="000000"/>
          <w:szCs w:val="21"/>
        </w:rPr>
        <w:t xml:space="preserve"> </w:t>
      </w:r>
    </w:p>
    <w:p w:rsidR="00000000" w:rsidRDefault="00EC74A3">
      <w:pPr>
        <w:tabs>
          <w:tab w:val="left" w:pos="720"/>
        </w:tabs>
        <w:autoSpaceDE w:val="0"/>
        <w:autoSpaceDN w:val="0"/>
        <w:adjustRightInd w:val="0"/>
        <w:spacing w:line="360" w:lineRule="auto"/>
        <w:ind w:right="18" w:firstLineChars="200" w:firstLine="420"/>
        <w:jc w:val="left"/>
        <w:rPr>
          <w:rFonts w:cs="宋体" w:hint="eastAsia"/>
          <w:szCs w:val="21"/>
        </w:rPr>
      </w:pPr>
      <w:r>
        <w:rPr>
          <w:rFonts w:cs="宋体" w:hint="eastAsia"/>
          <w:color w:val="000000"/>
          <w:szCs w:val="21"/>
        </w:rPr>
        <w:t>三、</w:t>
      </w:r>
      <w:r>
        <w:rPr>
          <w:rFonts w:cs="宋体" w:hint="eastAsia"/>
          <w:szCs w:val="21"/>
        </w:rPr>
        <w:t>开通东吴基金旗下部分基金的基金转换业务</w:t>
      </w:r>
    </w:p>
    <w:p w:rsidR="00000000" w:rsidRDefault="00EC74A3">
      <w:pPr>
        <w:widowControl/>
        <w:spacing w:line="360" w:lineRule="auto"/>
        <w:ind w:firstLineChars="200" w:firstLine="420"/>
        <w:jc w:val="left"/>
        <w:rPr>
          <w:rFonts w:cs="宋体" w:hint="eastAsia"/>
          <w:szCs w:val="21"/>
        </w:rPr>
      </w:pPr>
      <w:r>
        <w:rPr>
          <w:rFonts w:cs="宋体" w:hint="eastAsia"/>
          <w:szCs w:val="21"/>
        </w:rPr>
        <w:t>为满足广大投资者的理财需求，东吴基金决定</w:t>
      </w:r>
      <w:r>
        <w:rPr>
          <w:rFonts w:cs="宋体" w:hint="eastAsia"/>
          <w:szCs w:val="21"/>
        </w:rPr>
        <w:t>自</w:t>
      </w:r>
      <w:r>
        <w:rPr>
          <w:rFonts w:cs="宋体" w:hint="eastAsia"/>
          <w:szCs w:val="21"/>
        </w:rPr>
        <w:t>2026</w:t>
      </w:r>
      <w:r>
        <w:rPr>
          <w:rFonts w:cs="宋体" w:hint="eastAsia"/>
          <w:szCs w:val="21"/>
        </w:rPr>
        <w:t>年</w:t>
      </w:r>
      <w:r>
        <w:rPr>
          <w:rFonts w:cs="宋体" w:hint="eastAsia"/>
          <w:szCs w:val="21"/>
        </w:rPr>
        <w:t>1</w:t>
      </w:r>
      <w:r>
        <w:rPr>
          <w:rFonts w:cs="宋体" w:hint="eastAsia"/>
          <w:szCs w:val="21"/>
        </w:rPr>
        <w:t>月</w:t>
      </w:r>
      <w:r>
        <w:rPr>
          <w:rFonts w:cs="宋体" w:hint="eastAsia"/>
          <w:szCs w:val="21"/>
        </w:rPr>
        <w:t>15</w:t>
      </w:r>
      <w:r>
        <w:rPr>
          <w:rFonts w:cs="宋体" w:hint="eastAsia"/>
          <w:szCs w:val="21"/>
        </w:rPr>
        <w:t>日</w:t>
      </w:r>
      <w:r>
        <w:rPr>
          <w:rFonts w:cs="宋体" w:hint="eastAsia"/>
          <w:szCs w:val="21"/>
        </w:rPr>
        <w:t>起同时在</w:t>
      </w:r>
      <w:r>
        <w:rPr>
          <w:rFonts w:cs="宋体" w:hint="eastAsia"/>
          <w:szCs w:val="21"/>
        </w:rPr>
        <w:t>腾元基金</w:t>
      </w:r>
      <w:r>
        <w:rPr>
          <w:rFonts w:cs="宋体" w:hint="eastAsia"/>
          <w:szCs w:val="21"/>
        </w:rPr>
        <w:t>开通</w:t>
      </w:r>
      <w:r>
        <w:rPr>
          <w:rFonts w:cs="宋体" w:hint="eastAsia"/>
          <w:szCs w:val="21"/>
        </w:rPr>
        <w:t>上述适用基金</w:t>
      </w:r>
      <w:r>
        <w:rPr>
          <w:rFonts w:cs="宋体" w:hint="eastAsia"/>
          <w:szCs w:val="21"/>
        </w:rPr>
        <w:t>的</w:t>
      </w:r>
      <w:r>
        <w:rPr>
          <w:rFonts w:cs="宋体" w:hint="eastAsia"/>
          <w:szCs w:val="21"/>
        </w:rPr>
        <w:t>转换</w:t>
      </w:r>
      <w:r>
        <w:rPr>
          <w:rFonts w:cs="宋体" w:hint="eastAsia"/>
          <w:szCs w:val="21"/>
        </w:rPr>
        <w:t>业务</w:t>
      </w:r>
      <w:r>
        <w:rPr>
          <w:rFonts w:cs="宋体" w:hint="eastAsia"/>
          <w:szCs w:val="21"/>
        </w:rPr>
        <w:t>（</w:t>
      </w:r>
      <w:r>
        <w:rPr>
          <w:rFonts w:cs="宋体" w:hint="eastAsia"/>
          <w:szCs w:val="21"/>
        </w:rPr>
        <w:t>东吴中证同业存单</w:t>
      </w:r>
      <w:r>
        <w:rPr>
          <w:rFonts w:cs="宋体" w:hint="eastAsia"/>
          <w:szCs w:val="21"/>
        </w:rPr>
        <w:t>AAA</w:t>
      </w:r>
      <w:r>
        <w:rPr>
          <w:rFonts w:cs="宋体" w:hint="eastAsia"/>
          <w:szCs w:val="21"/>
        </w:rPr>
        <w:t>指数</w:t>
      </w:r>
      <w:r>
        <w:rPr>
          <w:rFonts w:cs="宋体" w:hint="eastAsia"/>
          <w:szCs w:val="21"/>
        </w:rPr>
        <w:t>7</w:t>
      </w:r>
      <w:r>
        <w:rPr>
          <w:rFonts w:cs="宋体" w:hint="eastAsia"/>
          <w:szCs w:val="21"/>
        </w:rPr>
        <w:t>天持有期证券投资基金</w:t>
      </w:r>
      <w:r>
        <w:rPr>
          <w:rFonts w:cs="宋体" w:hint="eastAsia"/>
          <w:szCs w:val="21"/>
        </w:rPr>
        <w:t>仅开通转换转出业务、东吴中短债债券型发起式证券投资基金、东吴裕盈平衡混合型证券投资基金暂不开通）。</w:t>
      </w:r>
    </w:p>
    <w:p w:rsidR="00000000" w:rsidRDefault="00EC74A3">
      <w:pPr>
        <w:widowControl/>
        <w:spacing w:line="360" w:lineRule="auto"/>
        <w:ind w:firstLineChars="200" w:firstLine="420"/>
        <w:jc w:val="left"/>
        <w:rPr>
          <w:rFonts w:cs="宋体" w:hint="eastAsia"/>
          <w:szCs w:val="21"/>
        </w:rPr>
      </w:pPr>
      <w:r>
        <w:rPr>
          <w:rFonts w:cs="宋体" w:hint="eastAsia"/>
          <w:szCs w:val="21"/>
        </w:rPr>
        <w:t>（一）基金转换业务适用投资者范围</w:t>
      </w:r>
    </w:p>
    <w:p w:rsidR="00000000" w:rsidRDefault="00EC74A3">
      <w:pPr>
        <w:pStyle w:val="HTML"/>
        <w:spacing w:line="360" w:lineRule="auto"/>
        <w:ind w:firstLineChars="200" w:firstLine="420"/>
        <w:rPr>
          <w:rFonts w:ascii="Times New Roman" w:hAnsi="Times New Roman" w:hint="eastAsia"/>
          <w:color w:val="auto"/>
          <w:sz w:val="21"/>
          <w:szCs w:val="21"/>
        </w:rPr>
      </w:pPr>
      <w:r>
        <w:rPr>
          <w:rFonts w:ascii="Times New Roman" w:hAnsi="Times New Roman" w:hint="eastAsia"/>
          <w:color w:val="auto"/>
          <w:sz w:val="21"/>
          <w:szCs w:val="21"/>
        </w:rPr>
        <w:t>已持有本公司管理的开放式基金产品的投资者。</w:t>
      </w:r>
    </w:p>
    <w:p w:rsidR="00000000" w:rsidRDefault="00EC74A3">
      <w:pPr>
        <w:pStyle w:val="HTML"/>
        <w:spacing w:line="360" w:lineRule="auto"/>
        <w:ind w:firstLineChars="200" w:firstLine="420"/>
        <w:rPr>
          <w:rFonts w:ascii="Times New Roman" w:hAnsi="Times New Roman" w:hint="eastAsia"/>
          <w:color w:val="auto"/>
          <w:sz w:val="21"/>
          <w:szCs w:val="21"/>
        </w:rPr>
      </w:pPr>
      <w:r>
        <w:rPr>
          <w:rFonts w:ascii="Times New Roman" w:hAnsi="Times New Roman" w:hint="eastAsia"/>
          <w:color w:val="auto"/>
          <w:sz w:val="21"/>
          <w:szCs w:val="21"/>
        </w:rPr>
        <w:t>（二）基金转换受理时间</w:t>
      </w:r>
    </w:p>
    <w:p w:rsidR="00000000" w:rsidRDefault="00EC74A3">
      <w:pPr>
        <w:spacing w:line="360" w:lineRule="auto"/>
        <w:ind w:firstLineChars="200" w:firstLine="420"/>
        <w:rPr>
          <w:rFonts w:cs="宋体" w:hint="eastAsia"/>
          <w:szCs w:val="21"/>
        </w:rPr>
      </w:pPr>
      <w:r>
        <w:rPr>
          <w:rFonts w:cs="宋体" w:hint="eastAsia"/>
          <w:szCs w:val="21"/>
        </w:rPr>
        <w:t>基金办理转换业务的开放日为</w:t>
      </w:r>
      <w:r>
        <w:rPr>
          <w:rFonts w:cs="宋体" w:hint="eastAsia"/>
          <w:szCs w:val="21"/>
        </w:rPr>
        <w:t>上海证券</w:t>
      </w:r>
      <w:r>
        <w:rPr>
          <w:rFonts w:cs="宋体" w:hint="eastAsia"/>
          <w:szCs w:val="21"/>
        </w:rPr>
        <w:t>交易所和深圳证券交易所交易日（本公司公告暂停转换时除外）。具体业务办理</w:t>
      </w:r>
      <w:r>
        <w:rPr>
          <w:rFonts w:cs="宋体" w:hint="eastAsia"/>
          <w:szCs w:val="21"/>
        </w:rPr>
        <w:t>时间与基金日常申购业务时间相同。</w:t>
      </w:r>
    </w:p>
    <w:p w:rsidR="00000000" w:rsidRDefault="00EC74A3">
      <w:pPr>
        <w:spacing w:line="360" w:lineRule="auto"/>
        <w:ind w:firstLineChars="200" w:firstLine="420"/>
        <w:rPr>
          <w:rFonts w:cs="宋体" w:hint="eastAsia"/>
          <w:szCs w:val="21"/>
        </w:rPr>
      </w:pPr>
      <w:r>
        <w:rPr>
          <w:rFonts w:cs="宋体" w:hint="eastAsia"/>
          <w:szCs w:val="21"/>
        </w:rPr>
        <w:t>（三）基金转换业务规则</w:t>
      </w:r>
    </w:p>
    <w:p w:rsidR="00000000" w:rsidRDefault="00EC74A3">
      <w:pPr>
        <w:tabs>
          <w:tab w:val="left" w:pos="720"/>
        </w:tabs>
        <w:autoSpaceDE w:val="0"/>
        <w:autoSpaceDN w:val="0"/>
        <w:adjustRightInd w:val="0"/>
        <w:spacing w:line="360" w:lineRule="auto"/>
        <w:ind w:right="18" w:firstLineChars="200" w:firstLine="420"/>
        <w:jc w:val="left"/>
        <w:rPr>
          <w:rFonts w:cs="宋体" w:hint="eastAsia"/>
          <w:color w:val="000000"/>
          <w:szCs w:val="21"/>
        </w:rPr>
      </w:pPr>
      <w:r>
        <w:rPr>
          <w:rFonts w:cs="宋体" w:hint="eastAsia"/>
          <w:color w:val="000000"/>
          <w:szCs w:val="21"/>
        </w:rPr>
        <w:t>转换业务具体业务规则请参照《东吴基金管理有限公司开放式基金业务规则》。</w:t>
      </w:r>
    </w:p>
    <w:p w:rsidR="00000000" w:rsidRDefault="00EC74A3">
      <w:pPr>
        <w:tabs>
          <w:tab w:val="left" w:pos="720"/>
        </w:tabs>
        <w:autoSpaceDE w:val="0"/>
        <w:autoSpaceDN w:val="0"/>
        <w:adjustRightInd w:val="0"/>
        <w:spacing w:line="360" w:lineRule="auto"/>
        <w:ind w:firstLineChars="200" w:firstLine="420"/>
        <w:jc w:val="left"/>
        <w:rPr>
          <w:rFonts w:cs="宋体" w:hint="eastAsia"/>
          <w:color w:val="000000"/>
          <w:szCs w:val="21"/>
        </w:rPr>
      </w:pPr>
    </w:p>
    <w:p w:rsidR="00000000" w:rsidRDefault="00EC74A3">
      <w:pPr>
        <w:tabs>
          <w:tab w:val="left" w:pos="720"/>
        </w:tabs>
        <w:autoSpaceDE w:val="0"/>
        <w:autoSpaceDN w:val="0"/>
        <w:adjustRightInd w:val="0"/>
        <w:spacing w:line="360" w:lineRule="auto"/>
        <w:ind w:firstLineChars="200" w:firstLine="420"/>
        <w:jc w:val="left"/>
        <w:rPr>
          <w:rFonts w:cs="宋体" w:hint="eastAsia"/>
          <w:color w:val="000000"/>
          <w:szCs w:val="21"/>
        </w:rPr>
      </w:pPr>
      <w:r>
        <w:rPr>
          <w:rFonts w:cs="宋体" w:hint="eastAsia"/>
          <w:color w:val="000000"/>
          <w:szCs w:val="21"/>
        </w:rPr>
        <w:t>四、费率优惠</w:t>
      </w:r>
    </w:p>
    <w:p w:rsidR="00000000" w:rsidRDefault="00EC74A3">
      <w:pPr>
        <w:tabs>
          <w:tab w:val="left" w:pos="720"/>
        </w:tabs>
        <w:autoSpaceDE w:val="0"/>
        <w:autoSpaceDN w:val="0"/>
        <w:adjustRightInd w:val="0"/>
        <w:spacing w:line="360" w:lineRule="auto"/>
        <w:ind w:firstLineChars="200" w:firstLine="420"/>
        <w:jc w:val="left"/>
        <w:rPr>
          <w:rFonts w:cs="宋体" w:hint="eastAsia"/>
          <w:color w:val="000000"/>
          <w:szCs w:val="21"/>
        </w:rPr>
      </w:pPr>
      <w:r>
        <w:rPr>
          <w:rFonts w:cs="宋体" w:hint="eastAsia"/>
          <w:color w:val="000000"/>
          <w:szCs w:val="21"/>
        </w:rPr>
        <w:t>（一）</w:t>
      </w:r>
      <w:r>
        <w:rPr>
          <w:rFonts w:cs="宋体" w:hint="eastAsia"/>
          <w:color w:val="000000"/>
          <w:szCs w:val="21"/>
        </w:rPr>
        <w:t>费率优惠内容</w:t>
      </w:r>
    </w:p>
    <w:p w:rsidR="00000000" w:rsidRDefault="00EC74A3">
      <w:pPr>
        <w:tabs>
          <w:tab w:val="left" w:pos="720"/>
        </w:tabs>
        <w:autoSpaceDE w:val="0"/>
        <w:autoSpaceDN w:val="0"/>
        <w:adjustRightInd w:val="0"/>
        <w:spacing w:line="360" w:lineRule="auto"/>
        <w:ind w:firstLineChars="200" w:firstLine="420"/>
        <w:jc w:val="left"/>
        <w:rPr>
          <w:rFonts w:cs="宋体" w:hint="eastAsia"/>
          <w:color w:val="000000"/>
          <w:szCs w:val="21"/>
        </w:rPr>
      </w:pPr>
      <w:r>
        <w:rPr>
          <w:rFonts w:cs="宋体" w:hint="eastAsia"/>
          <w:szCs w:val="21"/>
        </w:rPr>
        <w:t>自</w:t>
      </w:r>
      <w:r>
        <w:rPr>
          <w:rFonts w:cs="宋体" w:hint="eastAsia"/>
          <w:szCs w:val="21"/>
        </w:rPr>
        <w:t>2026</w:t>
      </w:r>
      <w:r>
        <w:rPr>
          <w:rFonts w:cs="宋体" w:hint="eastAsia"/>
          <w:szCs w:val="21"/>
        </w:rPr>
        <w:t>年</w:t>
      </w:r>
      <w:r>
        <w:rPr>
          <w:rFonts w:cs="宋体" w:hint="eastAsia"/>
          <w:szCs w:val="21"/>
        </w:rPr>
        <w:t>1</w:t>
      </w:r>
      <w:r>
        <w:rPr>
          <w:rFonts w:cs="宋体" w:hint="eastAsia"/>
          <w:szCs w:val="21"/>
        </w:rPr>
        <w:t>月</w:t>
      </w:r>
      <w:r>
        <w:rPr>
          <w:rFonts w:cs="宋体" w:hint="eastAsia"/>
          <w:szCs w:val="21"/>
        </w:rPr>
        <w:t>15</w:t>
      </w:r>
      <w:r>
        <w:rPr>
          <w:rFonts w:cs="宋体" w:hint="eastAsia"/>
          <w:szCs w:val="21"/>
        </w:rPr>
        <w:t>日</w:t>
      </w:r>
      <w:r>
        <w:rPr>
          <w:rFonts w:cs="宋体" w:hint="eastAsia"/>
          <w:szCs w:val="21"/>
        </w:rPr>
        <w:t>起</w:t>
      </w:r>
      <w:r>
        <w:rPr>
          <w:rFonts w:cs="宋体" w:hint="eastAsia"/>
          <w:color w:val="000000"/>
          <w:szCs w:val="21"/>
        </w:rPr>
        <w:t>，投资者通过</w:t>
      </w:r>
      <w:r>
        <w:rPr>
          <w:rFonts w:cs="宋体" w:hint="eastAsia"/>
          <w:color w:val="000000"/>
          <w:szCs w:val="21"/>
        </w:rPr>
        <w:t>腾元基金（</w:t>
      </w:r>
      <w:r>
        <w:rPr>
          <w:rFonts w:cs="宋体" w:hint="eastAsia"/>
          <w:color w:val="000000"/>
          <w:szCs w:val="21"/>
        </w:rPr>
        <w:t>认）</w:t>
      </w:r>
      <w:r>
        <w:rPr>
          <w:rFonts w:cs="宋体" w:hint="eastAsia"/>
          <w:color w:val="000000"/>
          <w:szCs w:val="21"/>
        </w:rPr>
        <w:t>申购（含定期定额申购）本公司旗下基金，</w:t>
      </w:r>
      <w:r>
        <w:rPr>
          <w:rFonts w:cs="宋体" w:hint="eastAsia"/>
          <w:color w:val="000000"/>
          <w:szCs w:val="21"/>
        </w:rPr>
        <w:t>（</w:t>
      </w:r>
      <w:r>
        <w:rPr>
          <w:rFonts w:cs="宋体" w:hint="eastAsia"/>
          <w:color w:val="000000"/>
          <w:szCs w:val="21"/>
        </w:rPr>
        <w:t>认）</w:t>
      </w:r>
      <w:r>
        <w:rPr>
          <w:rFonts w:cs="宋体" w:hint="eastAsia"/>
          <w:color w:val="000000"/>
          <w:szCs w:val="21"/>
        </w:rPr>
        <w:t>申购费率我司后台不设折扣限制，以</w:t>
      </w:r>
      <w:r>
        <w:rPr>
          <w:rFonts w:cs="宋体" w:hint="eastAsia"/>
          <w:color w:val="000000"/>
          <w:szCs w:val="21"/>
        </w:rPr>
        <w:t>腾元基金</w:t>
      </w:r>
      <w:r>
        <w:rPr>
          <w:rFonts w:cs="宋体" w:hint="eastAsia"/>
          <w:color w:val="000000"/>
          <w:szCs w:val="21"/>
        </w:rPr>
        <w:t>上报费率为准。具体</w:t>
      </w:r>
      <w:r>
        <w:rPr>
          <w:rFonts w:cs="宋体" w:hint="eastAsia"/>
          <w:color w:val="000000"/>
          <w:szCs w:val="21"/>
        </w:rPr>
        <w:t>参与费率优惠的基金名称及</w:t>
      </w:r>
      <w:r>
        <w:rPr>
          <w:rFonts w:cs="宋体" w:hint="eastAsia"/>
          <w:color w:val="000000"/>
          <w:szCs w:val="21"/>
        </w:rPr>
        <w:t>折扣费率请参见</w:t>
      </w:r>
      <w:r>
        <w:rPr>
          <w:rFonts w:cs="宋体" w:hint="eastAsia"/>
          <w:color w:val="000000"/>
          <w:szCs w:val="21"/>
        </w:rPr>
        <w:t>腾元基金</w:t>
      </w:r>
      <w:r>
        <w:rPr>
          <w:rFonts w:cs="宋体" w:hint="eastAsia"/>
          <w:color w:val="000000"/>
          <w:szCs w:val="21"/>
        </w:rPr>
        <w:t>相关公告</w:t>
      </w:r>
      <w:r>
        <w:rPr>
          <w:rFonts w:cs="宋体" w:hint="eastAsia"/>
          <w:color w:val="000000"/>
          <w:szCs w:val="21"/>
        </w:rPr>
        <w:t>（若有）</w:t>
      </w:r>
      <w:r>
        <w:rPr>
          <w:rFonts w:cs="宋体" w:hint="eastAsia"/>
          <w:color w:val="000000"/>
          <w:szCs w:val="21"/>
        </w:rPr>
        <w:t>。基金原费率请详见基金合同、招募说明书（更新）等法律文件，以及本公司发布的最新业务公告。</w:t>
      </w:r>
    </w:p>
    <w:p w:rsidR="00000000" w:rsidRDefault="00EC74A3">
      <w:pPr>
        <w:tabs>
          <w:tab w:val="left" w:pos="720"/>
        </w:tabs>
        <w:autoSpaceDE w:val="0"/>
        <w:autoSpaceDN w:val="0"/>
        <w:adjustRightInd w:val="0"/>
        <w:spacing w:line="360" w:lineRule="auto"/>
        <w:ind w:firstLineChars="200" w:firstLine="420"/>
        <w:jc w:val="left"/>
        <w:rPr>
          <w:rFonts w:cs="宋体" w:hint="eastAsia"/>
          <w:color w:val="000000"/>
          <w:szCs w:val="21"/>
        </w:rPr>
      </w:pPr>
      <w:r>
        <w:rPr>
          <w:rFonts w:cs="宋体" w:hint="eastAsia"/>
          <w:color w:val="000000"/>
          <w:szCs w:val="21"/>
        </w:rPr>
        <w:t>费率优惠期限内，如本公司新增通过</w:t>
      </w:r>
      <w:r>
        <w:rPr>
          <w:rFonts w:cs="宋体" w:hint="eastAsia"/>
          <w:color w:val="000000"/>
          <w:szCs w:val="21"/>
        </w:rPr>
        <w:t>腾元基金</w:t>
      </w:r>
      <w:r>
        <w:rPr>
          <w:rFonts w:cs="宋体" w:hint="eastAsia"/>
          <w:color w:val="000000"/>
          <w:szCs w:val="21"/>
        </w:rPr>
        <w:t>代</w:t>
      </w:r>
      <w:r>
        <w:rPr>
          <w:rFonts w:cs="宋体" w:hint="eastAsia"/>
          <w:color w:val="000000"/>
          <w:szCs w:val="21"/>
        </w:rPr>
        <w:t>销的基金产品，则自该基金产品开放申购当日起，将同时开通该基金上述费率优惠。</w:t>
      </w:r>
      <w:r>
        <w:rPr>
          <w:rFonts w:cs="宋体" w:hint="eastAsia"/>
          <w:color w:val="000000"/>
          <w:szCs w:val="21"/>
        </w:rPr>
        <w:t>费率优惠期限</w:t>
      </w:r>
      <w:r>
        <w:rPr>
          <w:rFonts w:cs="宋体" w:hint="eastAsia"/>
          <w:color w:val="000000"/>
          <w:szCs w:val="21"/>
        </w:rPr>
        <w:t>以</w:t>
      </w:r>
      <w:r>
        <w:rPr>
          <w:rFonts w:cs="宋体" w:hint="eastAsia"/>
          <w:color w:val="000000"/>
          <w:szCs w:val="21"/>
        </w:rPr>
        <w:t>腾元基金</w:t>
      </w:r>
      <w:r>
        <w:rPr>
          <w:rFonts w:cs="宋体" w:hint="eastAsia"/>
          <w:color w:val="000000"/>
          <w:szCs w:val="21"/>
        </w:rPr>
        <w:t>官方网站所示公告为准。</w:t>
      </w:r>
    </w:p>
    <w:p w:rsidR="00000000" w:rsidRDefault="00EC74A3">
      <w:pPr>
        <w:tabs>
          <w:tab w:val="left" w:pos="720"/>
        </w:tabs>
        <w:autoSpaceDE w:val="0"/>
        <w:autoSpaceDN w:val="0"/>
        <w:adjustRightInd w:val="0"/>
        <w:spacing w:line="360" w:lineRule="auto"/>
        <w:ind w:firstLineChars="200" w:firstLine="420"/>
        <w:jc w:val="left"/>
        <w:rPr>
          <w:rFonts w:cs="宋体" w:hint="eastAsia"/>
          <w:color w:val="000000"/>
          <w:szCs w:val="21"/>
        </w:rPr>
      </w:pPr>
      <w:r>
        <w:rPr>
          <w:rFonts w:cs="宋体" w:hint="eastAsia"/>
          <w:color w:val="000000"/>
          <w:szCs w:val="21"/>
        </w:rPr>
        <w:t>（二）重要提示</w:t>
      </w:r>
    </w:p>
    <w:p w:rsidR="00000000" w:rsidRDefault="00EC74A3">
      <w:pPr>
        <w:tabs>
          <w:tab w:val="left" w:pos="720"/>
        </w:tabs>
        <w:autoSpaceDE w:val="0"/>
        <w:autoSpaceDN w:val="0"/>
        <w:adjustRightInd w:val="0"/>
        <w:spacing w:line="360" w:lineRule="auto"/>
        <w:ind w:firstLineChars="200" w:firstLine="420"/>
        <w:jc w:val="left"/>
        <w:rPr>
          <w:rFonts w:cs="宋体" w:hint="eastAsia"/>
          <w:color w:val="000000"/>
          <w:szCs w:val="21"/>
        </w:rPr>
      </w:pPr>
      <w:r>
        <w:rPr>
          <w:rFonts w:cs="宋体" w:hint="eastAsia"/>
          <w:color w:val="000000"/>
          <w:szCs w:val="21"/>
        </w:rPr>
        <w:t>1</w:t>
      </w:r>
      <w:r>
        <w:rPr>
          <w:rFonts w:cs="宋体" w:hint="eastAsia"/>
          <w:color w:val="000000"/>
          <w:szCs w:val="21"/>
        </w:rPr>
        <w:t>、本费率优惠仅适用于我司产品在</w:t>
      </w:r>
      <w:r>
        <w:rPr>
          <w:rFonts w:cs="宋体" w:hint="eastAsia"/>
          <w:color w:val="000000"/>
          <w:szCs w:val="21"/>
        </w:rPr>
        <w:t>腾元基金</w:t>
      </w:r>
      <w:r>
        <w:rPr>
          <w:rFonts w:cs="宋体" w:hint="eastAsia"/>
          <w:color w:val="000000"/>
          <w:szCs w:val="21"/>
        </w:rPr>
        <w:t>处于正常申购期的基金产品的前端收费模式的申购手续费（含定期定额申购）</w:t>
      </w:r>
      <w:r>
        <w:rPr>
          <w:rFonts w:cs="宋体" w:hint="eastAsia"/>
          <w:color w:val="000000"/>
          <w:szCs w:val="21"/>
        </w:rPr>
        <w:t>及处于基金募集期的基金认购费，</w:t>
      </w:r>
      <w:r>
        <w:rPr>
          <w:rFonts w:cs="宋体" w:hint="eastAsia"/>
          <w:color w:val="000000"/>
          <w:szCs w:val="21"/>
        </w:rPr>
        <w:t>不包括基金赎回等其他业务的手续费。</w:t>
      </w:r>
    </w:p>
    <w:p w:rsidR="00000000" w:rsidRDefault="00EC74A3">
      <w:pPr>
        <w:tabs>
          <w:tab w:val="left" w:pos="720"/>
        </w:tabs>
        <w:autoSpaceDE w:val="0"/>
        <w:autoSpaceDN w:val="0"/>
        <w:adjustRightInd w:val="0"/>
        <w:spacing w:line="360" w:lineRule="auto"/>
        <w:ind w:firstLineChars="200" w:firstLine="420"/>
        <w:jc w:val="left"/>
        <w:rPr>
          <w:rFonts w:cs="宋体" w:hint="eastAsia"/>
          <w:color w:val="000000"/>
          <w:szCs w:val="21"/>
        </w:rPr>
      </w:pPr>
      <w:r>
        <w:rPr>
          <w:rFonts w:cs="宋体" w:hint="eastAsia"/>
          <w:color w:val="000000"/>
          <w:szCs w:val="21"/>
        </w:rPr>
        <w:t>2</w:t>
      </w:r>
      <w:r>
        <w:rPr>
          <w:rFonts w:cs="宋体" w:hint="eastAsia"/>
          <w:color w:val="000000"/>
          <w:szCs w:val="21"/>
        </w:rPr>
        <w:t>、费率优惠解释权归</w:t>
      </w:r>
      <w:r>
        <w:rPr>
          <w:rFonts w:cs="宋体" w:hint="eastAsia"/>
          <w:color w:val="000000"/>
          <w:szCs w:val="21"/>
        </w:rPr>
        <w:t>腾元基金</w:t>
      </w:r>
      <w:r>
        <w:rPr>
          <w:rFonts w:cs="宋体" w:hint="eastAsia"/>
          <w:color w:val="000000"/>
          <w:szCs w:val="21"/>
        </w:rPr>
        <w:t>所有，有关费率优惠的具体规定如有变化，敬请投资者留意前述代销机构的有关规定。</w:t>
      </w:r>
      <w:r>
        <w:rPr>
          <w:rFonts w:cs="宋体" w:hint="eastAsia"/>
          <w:color w:val="000000"/>
          <w:szCs w:val="21"/>
        </w:rPr>
        <w:t xml:space="preserve"> </w:t>
      </w:r>
    </w:p>
    <w:p w:rsidR="00000000" w:rsidRDefault="00EC74A3">
      <w:pPr>
        <w:tabs>
          <w:tab w:val="left" w:pos="720"/>
        </w:tabs>
        <w:autoSpaceDE w:val="0"/>
        <w:autoSpaceDN w:val="0"/>
        <w:adjustRightInd w:val="0"/>
        <w:spacing w:line="360" w:lineRule="auto"/>
        <w:ind w:firstLineChars="200" w:firstLine="420"/>
        <w:jc w:val="left"/>
        <w:rPr>
          <w:rFonts w:cs="宋体" w:hint="eastAsia"/>
          <w:color w:val="000000"/>
          <w:szCs w:val="21"/>
        </w:rPr>
      </w:pPr>
      <w:r>
        <w:rPr>
          <w:rFonts w:cs="宋体" w:hint="eastAsia"/>
          <w:color w:val="000000"/>
          <w:szCs w:val="21"/>
        </w:rPr>
        <w:t>3</w:t>
      </w:r>
      <w:r>
        <w:rPr>
          <w:rFonts w:cs="宋体" w:hint="eastAsia"/>
          <w:color w:val="000000"/>
          <w:szCs w:val="21"/>
        </w:rPr>
        <w:t>、费率优惠期间，业务办理的流程以</w:t>
      </w:r>
      <w:r>
        <w:rPr>
          <w:rFonts w:cs="宋体" w:hint="eastAsia"/>
          <w:color w:val="000000"/>
          <w:szCs w:val="21"/>
        </w:rPr>
        <w:t>腾元基金</w:t>
      </w:r>
      <w:r>
        <w:rPr>
          <w:rFonts w:cs="宋体" w:hint="eastAsia"/>
          <w:color w:val="000000"/>
          <w:szCs w:val="21"/>
        </w:rPr>
        <w:t>的规定为准。投资者欲了解基金产品的详细情况，请仔细阅</w:t>
      </w:r>
      <w:r>
        <w:rPr>
          <w:rFonts w:cs="宋体" w:hint="eastAsia"/>
          <w:color w:val="000000"/>
          <w:szCs w:val="21"/>
        </w:rPr>
        <w:t>读基金的基金合同、招募说明书等法律文件。</w:t>
      </w:r>
    </w:p>
    <w:p w:rsidR="00000000" w:rsidRDefault="00EC74A3">
      <w:pPr>
        <w:tabs>
          <w:tab w:val="left" w:pos="720"/>
        </w:tabs>
        <w:autoSpaceDE w:val="0"/>
        <w:autoSpaceDN w:val="0"/>
        <w:adjustRightInd w:val="0"/>
        <w:spacing w:line="360" w:lineRule="auto"/>
        <w:ind w:right="18" w:firstLineChars="200" w:firstLine="420"/>
        <w:jc w:val="left"/>
        <w:rPr>
          <w:rFonts w:cs="宋体" w:hint="eastAsia"/>
          <w:color w:val="000000"/>
          <w:szCs w:val="21"/>
        </w:rPr>
      </w:pPr>
    </w:p>
    <w:p w:rsidR="00000000" w:rsidRDefault="00EC74A3">
      <w:pPr>
        <w:tabs>
          <w:tab w:val="left" w:pos="720"/>
        </w:tabs>
        <w:autoSpaceDE w:val="0"/>
        <w:autoSpaceDN w:val="0"/>
        <w:adjustRightInd w:val="0"/>
        <w:spacing w:line="360" w:lineRule="auto"/>
        <w:ind w:right="18"/>
        <w:jc w:val="left"/>
        <w:rPr>
          <w:rFonts w:ascii="宋体" w:hAnsi="宋体" w:cs="宋体" w:hint="eastAsia"/>
          <w:color w:val="000000"/>
          <w:szCs w:val="21"/>
        </w:rPr>
      </w:pPr>
    </w:p>
    <w:p w:rsidR="00000000" w:rsidRDefault="00EC74A3">
      <w:pPr>
        <w:tabs>
          <w:tab w:val="left" w:pos="720"/>
        </w:tabs>
        <w:autoSpaceDE w:val="0"/>
        <w:autoSpaceDN w:val="0"/>
        <w:adjustRightInd w:val="0"/>
        <w:spacing w:line="360" w:lineRule="auto"/>
        <w:ind w:right="18" w:firstLineChars="200" w:firstLine="420"/>
        <w:jc w:val="left"/>
        <w:rPr>
          <w:rFonts w:cs="宋体" w:hint="eastAsia"/>
          <w:color w:val="000000"/>
          <w:szCs w:val="21"/>
        </w:rPr>
      </w:pPr>
      <w:r>
        <w:rPr>
          <w:rFonts w:cs="宋体" w:hint="eastAsia"/>
          <w:color w:val="000000"/>
          <w:szCs w:val="21"/>
        </w:rPr>
        <w:t>五、</w:t>
      </w:r>
      <w:r>
        <w:rPr>
          <w:rFonts w:cs="宋体" w:hint="eastAsia"/>
          <w:color w:val="000000"/>
          <w:szCs w:val="21"/>
        </w:rPr>
        <w:t>投资者可通过以下途径了解或咨询相关情况</w:t>
      </w:r>
      <w:r>
        <w:rPr>
          <w:rFonts w:cs="宋体" w:hint="eastAsia"/>
          <w:color w:val="000000"/>
          <w:szCs w:val="21"/>
        </w:rPr>
        <w:t xml:space="preserve"> </w:t>
      </w:r>
    </w:p>
    <w:p w:rsidR="00000000" w:rsidRDefault="00EC74A3">
      <w:pPr>
        <w:tabs>
          <w:tab w:val="left" w:pos="720"/>
        </w:tabs>
        <w:autoSpaceDE w:val="0"/>
        <w:autoSpaceDN w:val="0"/>
        <w:adjustRightInd w:val="0"/>
        <w:spacing w:line="360" w:lineRule="auto"/>
        <w:ind w:right="18" w:firstLineChars="200" w:firstLine="420"/>
        <w:jc w:val="left"/>
        <w:rPr>
          <w:rFonts w:cs="宋体" w:hint="eastAsia"/>
          <w:kern w:val="0"/>
          <w:szCs w:val="21"/>
        </w:rPr>
      </w:pPr>
      <w:r>
        <w:rPr>
          <w:rFonts w:cs="宋体" w:hint="eastAsia"/>
          <w:kern w:val="0"/>
          <w:szCs w:val="21"/>
        </w:rPr>
        <w:t>1</w:t>
      </w:r>
      <w:r>
        <w:rPr>
          <w:rFonts w:cs="宋体" w:hint="eastAsia"/>
          <w:kern w:val="0"/>
          <w:szCs w:val="21"/>
        </w:rPr>
        <w:t>、腾元基金基金销售有限公司</w:t>
      </w:r>
    </w:p>
    <w:p w:rsidR="00000000" w:rsidRDefault="00EC74A3">
      <w:pPr>
        <w:spacing w:line="360" w:lineRule="auto"/>
        <w:ind w:firstLineChars="350" w:firstLine="735"/>
        <w:rPr>
          <w:rFonts w:cs="宋体"/>
          <w:kern w:val="0"/>
          <w:szCs w:val="21"/>
        </w:rPr>
      </w:pPr>
      <w:r>
        <w:rPr>
          <w:rFonts w:cs="宋体" w:hint="eastAsia"/>
          <w:kern w:val="0"/>
          <w:szCs w:val="21"/>
        </w:rPr>
        <w:t>客户服务热线：</w:t>
      </w:r>
      <w:r>
        <w:rPr>
          <w:rFonts w:cs="宋体" w:hint="eastAsia"/>
          <w:kern w:val="0"/>
          <w:szCs w:val="21"/>
        </w:rPr>
        <w:t>400-990-8601</w:t>
      </w:r>
    </w:p>
    <w:p w:rsidR="00000000" w:rsidRDefault="00EC74A3">
      <w:pPr>
        <w:spacing w:line="360" w:lineRule="auto"/>
        <w:ind w:firstLineChars="350" w:firstLine="735"/>
        <w:rPr>
          <w:rFonts w:cs="宋体" w:hint="eastAsia"/>
          <w:kern w:val="0"/>
          <w:szCs w:val="21"/>
        </w:rPr>
      </w:pPr>
      <w:r>
        <w:rPr>
          <w:rFonts w:cs="宋体" w:hint="eastAsia"/>
          <w:kern w:val="0"/>
          <w:szCs w:val="21"/>
        </w:rPr>
        <w:t>公司网址：</w:t>
      </w:r>
      <w:hyperlink r:id="rId5" w:history="1">
        <w:r>
          <w:rPr>
            <w:rFonts w:cs="宋体" w:hint="eastAsia"/>
            <w:kern w:val="0"/>
            <w:szCs w:val="21"/>
          </w:rPr>
          <w:t>www.tenyuanfund.com</w:t>
        </w:r>
      </w:hyperlink>
      <w:hyperlink r:id="rId6" w:history="1"/>
      <w:hyperlink r:id="rId7" w:tooltip="blocked::http://www.shzq.com/" w:history="1"/>
      <w:hyperlink r:id="rId8" w:history="1"/>
      <w:hyperlink r:id="rId9" w:history="1"/>
    </w:p>
    <w:p w:rsidR="00000000" w:rsidRDefault="00EC74A3">
      <w:pPr>
        <w:spacing w:line="360" w:lineRule="auto"/>
        <w:ind w:firstLineChars="200" w:firstLine="420"/>
        <w:rPr>
          <w:rFonts w:cs="宋体" w:hint="eastAsia"/>
          <w:kern w:val="0"/>
          <w:szCs w:val="21"/>
        </w:rPr>
      </w:pPr>
      <w:r>
        <w:rPr>
          <w:rFonts w:cs="宋体" w:hint="eastAsia"/>
          <w:kern w:val="0"/>
          <w:szCs w:val="21"/>
        </w:rPr>
        <w:t>2</w:t>
      </w:r>
      <w:r>
        <w:rPr>
          <w:rFonts w:cs="宋体" w:hint="eastAsia"/>
          <w:kern w:val="0"/>
          <w:szCs w:val="21"/>
        </w:rPr>
        <w:t>、</w:t>
      </w:r>
      <w:r>
        <w:rPr>
          <w:rFonts w:cs="宋体" w:hint="eastAsia"/>
          <w:kern w:val="0"/>
          <w:szCs w:val="21"/>
        </w:rPr>
        <w:t>东吴基金管理有限公司</w:t>
      </w:r>
      <w:r>
        <w:rPr>
          <w:rFonts w:cs="宋体" w:hint="eastAsia"/>
          <w:kern w:val="0"/>
          <w:szCs w:val="21"/>
        </w:rPr>
        <w:t xml:space="preserve"> </w:t>
      </w:r>
    </w:p>
    <w:p w:rsidR="00000000" w:rsidRDefault="00EC74A3">
      <w:pPr>
        <w:spacing w:line="360" w:lineRule="auto"/>
        <w:ind w:firstLineChars="350" w:firstLine="735"/>
        <w:rPr>
          <w:rFonts w:cs="宋体" w:hint="eastAsia"/>
          <w:kern w:val="0"/>
          <w:szCs w:val="21"/>
        </w:rPr>
      </w:pPr>
      <w:r>
        <w:rPr>
          <w:rFonts w:cs="宋体" w:hint="eastAsia"/>
          <w:kern w:val="0"/>
          <w:szCs w:val="21"/>
        </w:rPr>
        <w:t>客户服务热线：</w:t>
      </w:r>
      <w:r>
        <w:rPr>
          <w:rFonts w:cs="宋体" w:hint="eastAsia"/>
          <w:kern w:val="0"/>
          <w:szCs w:val="21"/>
        </w:rPr>
        <w:t>400-821-0588</w:t>
      </w:r>
      <w:r>
        <w:rPr>
          <w:rFonts w:cs="宋体" w:hint="eastAsia"/>
          <w:kern w:val="0"/>
          <w:szCs w:val="21"/>
        </w:rPr>
        <w:t>（免长途话费）</w:t>
      </w:r>
    </w:p>
    <w:p w:rsidR="00000000" w:rsidRDefault="00EC74A3">
      <w:pPr>
        <w:spacing w:line="360" w:lineRule="auto"/>
        <w:ind w:firstLineChars="350" w:firstLine="735"/>
        <w:rPr>
          <w:rFonts w:cs="宋体" w:hint="eastAsia"/>
          <w:color w:val="000000"/>
          <w:kern w:val="0"/>
          <w:szCs w:val="21"/>
        </w:rPr>
      </w:pPr>
      <w:r>
        <w:rPr>
          <w:rFonts w:cs="宋体" w:hint="eastAsia"/>
          <w:kern w:val="0"/>
          <w:szCs w:val="21"/>
        </w:rPr>
        <w:t>公司网址：</w:t>
      </w:r>
      <w:hyperlink r:id="rId10" w:history="1">
        <w:r>
          <w:rPr>
            <w:rFonts w:cs="宋体" w:hint="eastAsia"/>
            <w:szCs w:val="21"/>
          </w:rPr>
          <w:t>www.scfund.com.cn</w:t>
        </w:r>
      </w:hyperlink>
    </w:p>
    <w:p w:rsidR="00000000" w:rsidRDefault="00EC74A3">
      <w:pPr>
        <w:spacing w:line="360" w:lineRule="auto"/>
        <w:ind w:firstLineChars="200" w:firstLine="420"/>
        <w:rPr>
          <w:rFonts w:cs="宋体" w:hint="eastAsia"/>
          <w:color w:val="000000"/>
          <w:kern w:val="0"/>
          <w:szCs w:val="21"/>
        </w:rPr>
      </w:pPr>
    </w:p>
    <w:p w:rsidR="00000000" w:rsidRDefault="00EC74A3">
      <w:pPr>
        <w:spacing w:line="360" w:lineRule="auto"/>
        <w:ind w:firstLineChars="200" w:firstLine="420"/>
        <w:rPr>
          <w:rFonts w:cs="宋体" w:hint="eastAsia"/>
          <w:color w:val="000000"/>
          <w:kern w:val="0"/>
          <w:szCs w:val="21"/>
        </w:rPr>
      </w:pPr>
      <w:r>
        <w:rPr>
          <w:rFonts w:cs="宋体" w:hint="eastAsia"/>
          <w:color w:val="000000"/>
          <w:kern w:val="0"/>
          <w:szCs w:val="21"/>
        </w:rPr>
        <w:t>六</w:t>
      </w:r>
      <w:r>
        <w:rPr>
          <w:rFonts w:cs="宋体" w:hint="eastAsia"/>
          <w:color w:val="000000"/>
          <w:kern w:val="0"/>
          <w:szCs w:val="21"/>
        </w:rPr>
        <w:t>、风险提示</w:t>
      </w:r>
    </w:p>
    <w:p w:rsidR="00000000" w:rsidRDefault="00EC74A3">
      <w:pPr>
        <w:spacing w:line="360" w:lineRule="auto"/>
        <w:ind w:firstLineChars="200" w:firstLine="420"/>
        <w:rPr>
          <w:rFonts w:cs="宋体" w:hint="eastAsia"/>
          <w:szCs w:val="21"/>
        </w:rPr>
      </w:pPr>
      <w:r>
        <w:rPr>
          <w:rFonts w:cs="宋体" w:hint="eastAsia"/>
          <w:szCs w:val="21"/>
        </w:rPr>
        <w:t>基金管理人承诺以诚实信用、勤勉尽责的原则管理和运用基金资产，但不保证基金一定盈利，也不保证最低收益。基金的过</w:t>
      </w:r>
      <w:r>
        <w:rPr>
          <w:rFonts w:cs="宋体" w:hint="eastAsia"/>
          <w:szCs w:val="21"/>
        </w:rPr>
        <w:t>往业绩及其净值高低并不预示其未来业绩表现</w:t>
      </w:r>
      <w:r>
        <w:rPr>
          <w:rFonts w:cs="宋体" w:hint="eastAsia"/>
          <w:szCs w:val="21"/>
        </w:rPr>
        <w:t>，基金管理人管理的其他基金的业绩不构成对本基金业绩表现的保证</w:t>
      </w:r>
      <w:r>
        <w:rPr>
          <w:rFonts w:cs="宋体" w:hint="eastAsia"/>
          <w:szCs w:val="21"/>
        </w:rPr>
        <w:t>。投资</w:t>
      </w:r>
      <w:r>
        <w:rPr>
          <w:rFonts w:cs="宋体" w:hint="eastAsia"/>
          <w:szCs w:val="21"/>
        </w:rPr>
        <w:t>者</w:t>
      </w:r>
      <w:r>
        <w:rPr>
          <w:rFonts w:cs="宋体" w:hint="eastAsia"/>
          <w:szCs w:val="21"/>
        </w:rPr>
        <w:t>应当充分了解基金定期定额投资和零存整取等储蓄方式的区别。定期定额投资是引导投资</w:t>
      </w:r>
      <w:r>
        <w:rPr>
          <w:rFonts w:cs="宋体" w:hint="eastAsia"/>
          <w:szCs w:val="21"/>
        </w:rPr>
        <w:t>者</w:t>
      </w:r>
      <w:r>
        <w:rPr>
          <w:rFonts w:cs="宋体" w:hint="eastAsia"/>
          <w:szCs w:val="21"/>
        </w:rPr>
        <w:t>进行长期投资、平均投资成本的一种简单易行的投资方式。但是定期定额投资并不能规避基金投资所固有的风险，不能保证投资</w:t>
      </w:r>
      <w:r>
        <w:rPr>
          <w:rFonts w:cs="宋体" w:hint="eastAsia"/>
          <w:szCs w:val="21"/>
        </w:rPr>
        <w:t>者</w:t>
      </w:r>
      <w:r>
        <w:rPr>
          <w:rFonts w:cs="宋体" w:hint="eastAsia"/>
          <w:szCs w:val="21"/>
        </w:rPr>
        <w:t>获得收益，也不是替代储蓄的等效理财方式。投资有风险，敬请投资者在投资基金</w:t>
      </w:r>
      <w:r>
        <w:rPr>
          <w:rFonts w:cs="宋体" w:hint="eastAsia"/>
          <w:szCs w:val="21"/>
        </w:rPr>
        <w:t>前</w:t>
      </w:r>
      <w:r>
        <w:rPr>
          <w:rFonts w:cs="宋体" w:hint="eastAsia"/>
          <w:szCs w:val="21"/>
        </w:rPr>
        <w:t>仔细阅读基金的《基金合同》</w:t>
      </w:r>
      <w:r>
        <w:rPr>
          <w:rFonts w:cs="宋体" w:hint="eastAsia"/>
          <w:szCs w:val="21"/>
        </w:rPr>
        <w:t>、</w:t>
      </w:r>
      <w:r>
        <w:rPr>
          <w:rFonts w:cs="宋体" w:hint="eastAsia"/>
          <w:szCs w:val="21"/>
        </w:rPr>
        <w:t>《招募说明书》</w:t>
      </w:r>
      <w:r>
        <w:rPr>
          <w:rFonts w:cs="宋体" w:hint="eastAsia"/>
          <w:szCs w:val="21"/>
        </w:rPr>
        <w:t>、</w:t>
      </w:r>
      <w:r>
        <w:rPr>
          <w:rFonts w:cs="宋体" w:hint="eastAsia"/>
          <w:szCs w:val="21"/>
        </w:rPr>
        <w:t>《基金产品资料概要》</w:t>
      </w:r>
      <w:r>
        <w:rPr>
          <w:rFonts w:cs="宋体" w:hint="eastAsia"/>
          <w:szCs w:val="21"/>
        </w:rPr>
        <w:t>及其更新</w:t>
      </w:r>
      <w:r>
        <w:rPr>
          <w:rFonts w:cs="宋体" w:hint="eastAsia"/>
          <w:szCs w:val="21"/>
        </w:rPr>
        <w:t>等法律文件，全面认识基金的风险收益特征和产品特性，充分考虑自身的</w:t>
      </w:r>
      <w:r>
        <w:rPr>
          <w:rFonts w:cs="宋体" w:hint="eastAsia"/>
          <w:szCs w:val="21"/>
        </w:rPr>
        <w:t>风险承受能力，在了解产品情况、听取销售机构适当性匹配意见的基础上，理性判断市场，谨慎做出投资决策。基金具体风险评级结果以销售机构提供的评级结果为准。基金管理人提醒投资者基金投资的“买者自负”原则，在做出投资决策后，基金运营状况与基金净值变化引致的投资风险，由投资者自行负担。基金管理人不对基金投资收益做出任何承诺或保证。</w:t>
      </w:r>
      <w:r>
        <w:rPr>
          <w:rFonts w:cs="宋体" w:hint="eastAsia"/>
          <w:szCs w:val="21"/>
        </w:rPr>
        <w:t xml:space="preserve">    </w:t>
      </w:r>
    </w:p>
    <w:p w:rsidR="00000000" w:rsidRDefault="00EC74A3">
      <w:pPr>
        <w:spacing w:line="360" w:lineRule="auto"/>
        <w:ind w:firstLineChars="200" w:firstLine="420"/>
        <w:rPr>
          <w:rFonts w:cs="宋体" w:hint="eastAsia"/>
          <w:szCs w:val="21"/>
        </w:rPr>
      </w:pPr>
      <w:r>
        <w:rPr>
          <w:rFonts w:cs="宋体" w:hint="eastAsia"/>
          <w:szCs w:val="21"/>
        </w:rPr>
        <w:t xml:space="preserve"> </w:t>
      </w:r>
    </w:p>
    <w:p w:rsidR="00000000" w:rsidRDefault="00EC74A3">
      <w:pPr>
        <w:spacing w:line="360" w:lineRule="auto"/>
        <w:ind w:firstLineChars="200" w:firstLine="420"/>
        <w:rPr>
          <w:rFonts w:cs="宋体" w:hint="eastAsia"/>
          <w:szCs w:val="21"/>
        </w:rPr>
      </w:pPr>
      <w:r>
        <w:rPr>
          <w:rFonts w:cs="宋体" w:hint="eastAsia"/>
          <w:szCs w:val="21"/>
        </w:rPr>
        <w:t>特此公告。</w:t>
      </w:r>
      <w:r>
        <w:rPr>
          <w:rFonts w:cs="宋体" w:hint="eastAsia"/>
          <w:szCs w:val="21"/>
        </w:rPr>
        <w:t xml:space="preserve"> </w:t>
      </w:r>
    </w:p>
    <w:p w:rsidR="00000000" w:rsidRDefault="00EC74A3">
      <w:pPr>
        <w:spacing w:line="400" w:lineRule="exact"/>
        <w:jc w:val="right"/>
        <w:rPr>
          <w:rFonts w:cs="宋体" w:hint="eastAsia"/>
          <w:szCs w:val="21"/>
        </w:rPr>
      </w:pPr>
      <w:r>
        <w:rPr>
          <w:rFonts w:cs="宋体" w:hint="eastAsia"/>
          <w:szCs w:val="21"/>
        </w:rPr>
        <w:t xml:space="preserve">                                     </w:t>
      </w:r>
    </w:p>
    <w:p w:rsidR="00000000" w:rsidRDefault="00EC74A3">
      <w:pPr>
        <w:spacing w:line="400" w:lineRule="exact"/>
        <w:jc w:val="right"/>
        <w:rPr>
          <w:rFonts w:cs="宋体" w:hint="eastAsia"/>
          <w:szCs w:val="21"/>
        </w:rPr>
      </w:pPr>
    </w:p>
    <w:p w:rsidR="00000000" w:rsidRDefault="00EC74A3">
      <w:pPr>
        <w:spacing w:line="400" w:lineRule="exact"/>
        <w:jc w:val="right"/>
        <w:rPr>
          <w:rFonts w:cs="宋体" w:hint="eastAsia"/>
          <w:szCs w:val="21"/>
        </w:rPr>
      </w:pPr>
      <w:r>
        <w:rPr>
          <w:rFonts w:cs="宋体" w:hint="eastAsia"/>
          <w:szCs w:val="21"/>
        </w:rPr>
        <w:t>东吴基金管理有限公司</w:t>
      </w:r>
    </w:p>
    <w:p w:rsidR="00000000" w:rsidRDefault="00EC74A3">
      <w:pPr>
        <w:spacing w:line="400" w:lineRule="exact"/>
        <w:jc w:val="center"/>
        <w:rPr>
          <w:rFonts w:cs="宋体" w:hint="eastAsia"/>
          <w:szCs w:val="21"/>
        </w:rPr>
      </w:pPr>
      <w:r>
        <w:rPr>
          <w:rFonts w:cs="宋体" w:hint="eastAsia"/>
          <w:szCs w:val="21"/>
        </w:rPr>
        <w:t xml:space="preserve">                                </w:t>
      </w:r>
      <w:r>
        <w:rPr>
          <w:rFonts w:cs="宋体" w:hint="eastAsia"/>
          <w:szCs w:val="21"/>
        </w:rPr>
        <w:t xml:space="preserve">                            2026</w:t>
      </w:r>
      <w:r>
        <w:rPr>
          <w:rFonts w:cs="宋体" w:hint="eastAsia"/>
          <w:szCs w:val="21"/>
        </w:rPr>
        <w:t>年</w:t>
      </w:r>
      <w:r>
        <w:rPr>
          <w:rFonts w:cs="宋体" w:hint="eastAsia"/>
          <w:szCs w:val="21"/>
        </w:rPr>
        <w:t>1</w:t>
      </w:r>
      <w:r>
        <w:rPr>
          <w:rFonts w:cs="宋体" w:hint="eastAsia"/>
          <w:szCs w:val="21"/>
        </w:rPr>
        <w:t>月</w:t>
      </w:r>
      <w:r>
        <w:rPr>
          <w:rFonts w:cs="宋体" w:hint="eastAsia"/>
          <w:szCs w:val="21"/>
        </w:rPr>
        <w:t>14</w:t>
      </w:r>
      <w:r>
        <w:rPr>
          <w:rFonts w:cs="宋体" w:hint="eastAsia"/>
          <w:szCs w:val="21"/>
        </w:rPr>
        <w:t>日</w:t>
      </w:r>
    </w:p>
    <w:p w:rsidR="00000000" w:rsidRDefault="00EC74A3"/>
    <w:sectPr w:rsidR="0000000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ˎ̥">
    <w:altName w:val="Times New Roman"/>
    <w:charset w:val="00"/>
    <w:family w:val="roman"/>
    <w:pitch w:val="default"/>
    <w:sig w:usb0="00000000" w:usb1="00000000" w:usb2="00000000" w:usb3="00000000" w:csb0="00040001" w:csb1="00000000"/>
  </w:font>
  <w:font w:name="方正仿宋简体">
    <w:altName w:val="宋体"/>
    <w:charset w:val="86"/>
    <w:family w:val="auto"/>
    <w:pitch w:val="default"/>
    <w:sig w:usb0="00000001" w:usb1="080E0000" w:usb2="0000000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EB2679"/>
    <w:multiLevelType w:val="multilevel"/>
    <w:tmpl w:val="39EB2679"/>
    <w:lvl w:ilvl="0">
      <w:start w:val="1"/>
      <w:numFmt w:val="none"/>
      <w:suff w:val="nothing"/>
      <w:lvlText w:val=""/>
      <w:lvlJc w:val="left"/>
      <w:pPr>
        <w:ind w:left="0" w:firstLine="0"/>
      </w:pPr>
      <w:rPr>
        <w:rFonts w:hint="eastAsia"/>
      </w:rPr>
    </w:lvl>
    <w:lvl w:ilvl="1">
      <w:start w:val="1"/>
      <w:numFmt w:val="chineseCountingThousand"/>
      <w:suff w:val="nothing"/>
      <w:lvlText w:val="%2、"/>
      <w:lvlJc w:val="left"/>
      <w:pPr>
        <w:ind w:left="0" w:firstLine="0"/>
      </w:pPr>
      <w:rPr>
        <w:rFonts w:ascii="宋体" w:eastAsia="宋体" w:hint="eastAsia"/>
        <w:b/>
        <w:i w:val="0"/>
        <w:sz w:val="28"/>
      </w:rPr>
    </w:lvl>
    <w:lvl w:ilvl="2">
      <w:start w:val="1"/>
      <w:numFmt w:val="chineseCountingThousand"/>
      <w:suff w:val="nothing"/>
      <w:lvlText w:val="（%3）"/>
      <w:lvlJc w:val="left"/>
      <w:pPr>
        <w:ind w:left="0" w:firstLine="510"/>
      </w:pPr>
      <w:rPr>
        <w:rFonts w:hint="eastAsia"/>
      </w:rPr>
    </w:lvl>
    <w:lvl w:ilvl="3">
      <w:start w:val="1"/>
      <w:numFmt w:val="decimal"/>
      <w:suff w:val="nothing"/>
      <w:lvlText w:val="%4．"/>
      <w:lvlJc w:val="left"/>
      <w:pPr>
        <w:ind w:left="0" w:firstLine="624"/>
      </w:pPr>
      <w:rPr>
        <w:rFonts w:hint="eastAsia"/>
      </w:rPr>
    </w:lvl>
    <w:lvl w:ilvl="4">
      <w:start w:val="1"/>
      <w:numFmt w:val="decimal"/>
      <w:suff w:val="nothing"/>
      <w:lvlText w:val="（%5）"/>
      <w:lvlJc w:val="left"/>
      <w:pPr>
        <w:ind w:left="57" w:firstLine="510"/>
      </w:pPr>
      <w:rPr>
        <w:rFonts w:hint="eastAsia"/>
        <w:b/>
        <w:lang w:val="en-US"/>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5E28EE34"/>
    <w:multiLevelType w:val="singleLevel"/>
    <w:tmpl w:val="5E28EE34"/>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NotTrackMoves/>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zU3ZjFhMTI0Y2Y5NGExM2IzYWFiY2FlN2E5MGIzNTAifQ=="/>
    <w:docVar w:name="KSO_WPS_MARK_KEY" w:val="1282f676-f6e8-43f6-b041-c716090c35d3"/>
  </w:docVars>
  <w:rsids>
    <w:rsidRoot w:val="00A1064D"/>
    <w:rsid w:val="00002377"/>
    <w:rsid w:val="0001137F"/>
    <w:rsid w:val="0001592A"/>
    <w:rsid w:val="0009599E"/>
    <w:rsid w:val="000A42E0"/>
    <w:rsid w:val="000B1FB9"/>
    <w:rsid w:val="000D59AC"/>
    <w:rsid w:val="000F612E"/>
    <w:rsid w:val="00123F4F"/>
    <w:rsid w:val="00174219"/>
    <w:rsid w:val="00180EFA"/>
    <w:rsid w:val="00185A7B"/>
    <w:rsid w:val="001A262C"/>
    <w:rsid w:val="001B0862"/>
    <w:rsid w:val="001B278B"/>
    <w:rsid w:val="001C2706"/>
    <w:rsid w:val="001C6613"/>
    <w:rsid w:val="001D1398"/>
    <w:rsid w:val="002038DF"/>
    <w:rsid w:val="00264D21"/>
    <w:rsid w:val="00286994"/>
    <w:rsid w:val="00293433"/>
    <w:rsid w:val="002B5F30"/>
    <w:rsid w:val="002C2F4D"/>
    <w:rsid w:val="002D2115"/>
    <w:rsid w:val="002D5F30"/>
    <w:rsid w:val="002F49D9"/>
    <w:rsid w:val="00312488"/>
    <w:rsid w:val="00330975"/>
    <w:rsid w:val="00354A87"/>
    <w:rsid w:val="00374201"/>
    <w:rsid w:val="003878A4"/>
    <w:rsid w:val="00393AFF"/>
    <w:rsid w:val="00394115"/>
    <w:rsid w:val="00397F6D"/>
    <w:rsid w:val="003C68FA"/>
    <w:rsid w:val="003F797E"/>
    <w:rsid w:val="004035F4"/>
    <w:rsid w:val="004155AF"/>
    <w:rsid w:val="00434FA4"/>
    <w:rsid w:val="00437AFE"/>
    <w:rsid w:val="004433D6"/>
    <w:rsid w:val="004558F4"/>
    <w:rsid w:val="00471B57"/>
    <w:rsid w:val="004B6426"/>
    <w:rsid w:val="004E1C88"/>
    <w:rsid w:val="00523264"/>
    <w:rsid w:val="00526DF2"/>
    <w:rsid w:val="00532036"/>
    <w:rsid w:val="00553C77"/>
    <w:rsid w:val="00563060"/>
    <w:rsid w:val="005A720A"/>
    <w:rsid w:val="005B3D09"/>
    <w:rsid w:val="005C250A"/>
    <w:rsid w:val="005F6388"/>
    <w:rsid w:val="005F6E1C"/>
    <w:rsid w:val="0062730D"/>
    <w:rsid w:val="0064633D"/>
    <w:rsid w:val="006805B6"/>
    <w:rsid w:val="00686C85"/>
    <w:rsid w:val="0068707E"/>
    <w:rsid w:val="006966C9"/>
    <w:rsid w:val="006B745E"/>
    <w:rsid w:val="006C76F5"/>
    <w:rsid w:val="006D6841"/>
    <w:rsid w:val="006E4A44"/>
    <w:rsid w:val="006E70D0"/>
    <w:rsid w:val="006F62E7"/>
    <w:rsid w:val="007267FF"/>
    <w:rsid w:val="00726A6C"/>
    <w:rsid w:val="00741ED7"/>
    <w:rsid w:val="00745320"/>
    <w:rsid w:val="00757DF8"/>
    <w:rsid w:val="00775E0F"/>
    <w:rsid w:val="007A3EE4"/>
    <w:rsid w:val="007D1EBA"/>
    <w:rsid w:val="007D5E95"/>
    <w:rsid w:val="007F3ED7"/>
    <w:rsid w:val="007F632E"/>
    <w:rsid w:val="00826717"/>
    <w:rsid w:val="00831E1A"/>
    <w:rsid w:val="00837B68"/>
    <w:rsid w:val="008847A9"/>
    <w:rsid w:val="0089461A"/>
    <w:rsid w:val="008D143D"/>
    <w:rsid w:val="008D5D10"/>
    <w:rsid w:val="008E2110"/>
    <w:rsid w:val="008F2B68"/>
    <w:rsid w:val="008F6401"/>
    <w:rsid w:val="008F7008"/>
    <w:rsid w:val="00901D9C"/>
    <w:rsid w:val="00922629"/>
    <w:rsid w:val="00922BB1"/>
    <w:rsid w:val="00932064"/>
    <w:rsid w:val="00941470"/>
    <w:rsid w:val="00956EF3"/>
    <w:rsid w:val="0098011F"/>
    <w:rsid w:val="009C5FD9"/>
    <w:rsid w:val="009E1C84"/>
    <w:rsid w:val="009E6B58"/>
    <w:rsid w:val="009F5CEA"/>
    <w:rsid w:val="00A04D69"/>
    <w:rsid w:val="00A1064D"/>
    <w:rsid w:val="00A140B7"/>
    <w:rsid w:val="00A23CF0"/>
    <w:rsid w:val="00A23F6E"/>
    <w:rsid w:val="00A24F19"/>
    <w:rsid w:val="00A33CF6"/>
    <w:rsid w:val="00A362A8"/>
    <w:rsid w:val="00A46F58"/>
    <w:rsid w:val="00A56789"/>
    <w:rsid w:val="00A66DE2"/>
    <w:rsid w:val="00A90763"/>
    <w:rsid w:val="00AA36E9"/>
    <w:rsid w:val="00AA4733"/>
    <w:rsid w:val="00AB4D59"/>
    <w:rsid w:val="00AB57C3"/>
    <w:rsid w:val="00AD31E6"/>
    <w:rsid w:val="00AE7776"/>
    <w:rsid w:val="00B0646C"/>
    <w:rsid w:val="00B20C4E"/>
    <w:rsid w:val="00B247B9"/>
    <w:rsid w:val="00B54A3E"/>
    <w:rsid w:val="00B63E86"/>
    <w:rsid w:val="00B7560D"/>
    <w:rsid w:val="00B82CA0"/>
    <w:rsid w:val="00BA13C9"/>
    <w:rsid w:val="00BB6BBB"/>
    <w:rsid w:val="00BD031D"/>
    <w:rsid w:val="00BD7E83"/>
    <w:rsid w:val="00BE6693"/>
    <w:rsid w:val="00BE76E5"/>
    <w:rsid w:val="00C165AF"/>
    <w:rsid w:val="00C17BA5"/>
    <w:rsid w:val="00C2200A"/>
    <w:rsid w:val="00C42510"/>
    <w:rsid w:val="00C52319"/>
    <w:rsid w:val="00C5547D"/>
    <w:rsid w:val="00C5667B"/>
    <w:rsid w:val="00C56FF7"/>
    <w:rsid w:val="00C6298D"/>
    <w:rsid w:val="00C63722"/>
    <w:rsid w:val="00C65C6A"/>
    <w:rsid w:val="00CC7510"/>
    <w:rsid w:val="00CD3BB0"/>
    <w:rsid w:val="00CD74EE"/>
    <w:rsid w:val="00D257C8"/>
    <w:rsid w:val="00D416D1"/>
    <w:rsid w:val="00D80ACE"/>
    <w:rsid w:val="00DA45D7"/>
    <w:rsid w:val="00DF5DFE"/>
    <w:rsid w:val="00E13A02"/>
    <w:rsid w:val="00E225AA"/>
    <w:rsid w:val="00E3060C"/>
    <w:rsid w:val="00E41840"/>
    <w:rsid w:val="00E61458"/>
    <w:rsid w:val="00EA0A52"/>
    <w:rsid w:val="00EC5B25"/>
    <w:rsid w:val="00EC74A3"/>
    <w:rsid w:val="00ED20EB"/>
    <w:rsid w:val="00ED30A2"/>
    <w:rsid w:val="00EE38E4"/>
    <w:rsid w:val="00EF357C"/>
    <w:rsid w:val="00F1164F"/>
    <w:rsid w:val="00F12E1F"/>
    <w:rsid w:val="00F33854"/>
    <w:rsid w:val="00F45DF7"/>
    <w:rsid w:val="00F46D15"/>
    <w:rsid w:val="00F57D17"/>
    <w:rsid w:val="00F62BB7"/>
    <w:rsid w:val="00F854C4"/>
    <w:rsid w:val="00F91A49"/>
    <w:rsid w:val="00FA490F"/>
    <w:rsid w:val="00FA728E"/>
    <w:rsid w:val="00FC5112"/>
    <w:rsid w:val="00FC5A8B"/>
    <w:rsid w:val="00FD5138"/>
    <w:rsid w:val="011B6997"/>
    <w:rsid w:val="01266495"/>
    <w:rsid w:val="014F75AE"/>
    <w:rsid w:val="018141F9"/>
    <w:rsid w:val="01DA3C64"/>
    <w:rsid w:val="023B0880"/>
    <w:rsid w:val="025E6EF2"/>
    <w:rsid w:val="028E4041"/>
    <w:rsid w:val="02A9126A"/>
    <w:rsid w:val="02AC2AD9"/>
    <w:rsid w:val="02C44E0D"/>
    <w:rsid w:val="02C4633C"/>
    <w:rsid w:val="02EA4FB8"/>
    <w:rsid w:val="02FE7A2C"/>
    <w:rsid w:val="03164509"/>
    <w:rsid w:val="037B608B"/>
    <w:rsid w:val="03900D70"/>
    <w:rsid w:val="03BF4636"/>
    <w:rsid w:val="043833BC"/>
    <w:rsid w:val="049802FF"/>
    <w:rsid w:val="050177C7"/>
    <w:rsid w:val="05282922"/>
    <w:rsid w:val="05743748"/>
    <w:rsid w:val="05FD0EAD"/>
    <w:rsid w:val="06171B42"/>
    <w:rsid w:val="06530F29"/>
    <w:rsid w:val="065D535C"/>
    <w:rsid w:val="066C5AF4"/>
    <w:rsid w:val="07223B44"/>
    <w:rsid w:val="0725719D"/>
    <w:rsid w:val="076808B4"/>
    <w:rsid w:val="07C02047"/>
    <w:rsid w:val="07E27256"/>
    <w:rsid w:val="07EC11B9"/>
    <w:rsid w:val="08914121"/>
    <w:rsid w:val="089B75B6"/>
    <w:rsid w:val="089F48AC"/>
    <w:rsid w:val="08B95FAF"/>
    <w:rsid w:val="095A6915"/>
    <w:rsid w:val="097914DE"/>
    <w:rsid w:val="099A29BB"/>
    <w:rsid w:val="099A6913"/>
    <w:rsid w:val="09C82DC6"/>
    <w:rsid w:val="09E830DD"/>
    <w:rsid w:val="0A641E54"/>
    <w:rsid w:val="0AE5737F"/>
    <w:rsid w:val="0AEB4D2E"/>
    <w:rsid w:val="0AFA04AF"/>
    <w:rsid w:val="0B2854B7"/>
    <w:rsid w:val="0B5A6D5F"/>
    <w:rsid w:val="0B702E95"/>
    <w:rsid w:val="0C1734E6"/>
    <w:rsid w:val="0C465321"/>
    <w:rsid w:val="0CBA046B"/>
    <w:rsid w:val="0CD34EFF"/>
    <w:rsid w:val="0CDA088F"/>
    <w:rsid w:val="0CFC7345"/>
    <w:rsid w:val="0D240982"/>
    <w:rsid w:val="0D781E29"/>
    <w:rsid w:val="0E345530"/>
    <w:rsid w:val="0E947D89"/>
    <w:rsid w:val="0F2D2C5D"/>
    <w:rsid w:val="0F304F86"/>
    <w:rsid w:val="0F420568"/>
    <w:rsid w:val="0F4A6B73"/>
    <w:rsid w:val="0F5A6124"/>
    <w:rsid w:val="0FCE7E58"/>
    <w:rsid w:val="103852DA"/>
    <w:rsid w:val="103D7A7A"/>
    <w:rsid w:val="10AF4A06"/>
    <w:rsid w:val="10E548D3"/>
    <w:rsid w:val="10EA5DD8"/>
    <w:rsid w:val="10ED011B"/>
    <w:rsid w:val="11252F1A"/>
    <w:rsid w:val="117D03B7"/>
    <w:rsid w:val="1199174F"/>
    <w:rsid w:val="11D35ECA"/>
    <w:rsid w:val="121B17A1"/>
    <w:rsid w:val="12260115"/>
    <w:rsid w:val="126C35C1"/>
    <w:rsid w:val="12A80A9A"/>
    <w:rsid w:val="12ED0AC1"/>
    <w:rsid w:val="139C7012"/>
    <w:rsid w:val="13A147CE"/>
    <w:rsid w:val="1412586F"/>
    <w:rsid w:val="144D74F1"/>
    <w:rsid w:val="14695692"/>
    <w:rsid w:val="149A6E87"/>
    <w:rsid w:val="149B08DC"/>
    <w:rsid w:val="14AC27FC"/>
    <w:rsid w:val="14D50D81"/>
    <w:rsid w:val="15284B7A"/>
    <w:rsid w:val="156173A0"/>
    <w:rsid w:val="15D65076"/>
    <w:rsid w:val="15F90791"/>
    <w:rsid w:val="16274FBF"/>
    <w:rsid w:val="16887312"/>
    <w:rsid w:val="16BB2E3C"/>
    <w:rsid w:val="16CB1DD4"/>
    <w:rsid w:val="16E41E49"/>
    <w:rsid w:val="176C38A0"/>
    <w:rsid w:val="17837E4E"/>
    <w:rsid w:val="17AB4629"/>
    <w:rsid w:val="17EF3F7F"/>
    <w:rsid w:val="17F654E3"/>
    <w:rsid w:val="1808590F"/>
    <w:rsid w:val="183F3F70"/>
    <w:rsid w:val="185A6A58"/>
    <w:rsid w:val="18723695"/>
    <w:rsid w:val="18AC5BF4"/>
    <w:rsid w:val="18AF1506"/>
    <w:rsid w:val="18B358E3"/>
    <w:rsid w:val="18C748B7"/>
    <w:rsid w:val="19502AFF"/>
    <w:rsid w:val="196E49C7"/>
    <w:rsid w:val="19AE35ED"/>
    <w:rsid w:val="1A0B0B52"/>
    <w:rsid w:val="1A4100CF"/>
    <w:rsid w:val="1A6B6B98"/>
    <w:rsid w:val="1A9B556D"/>
    <w:rsid w:val="1B7D7FE3"/>
    <w:rsid w:val="1BD41A17"/>
    <w:rsid w:val="1BED5CE0"/>
    <w:rsid w:val="1C3152AF"/>
    <w:rsid w:val="1C320D13"/>
    <w:rsid w:val="1C677BCF"/>
    <w:rsid w:val="1C863E5F"/>
    <w:rsid w:val="1CA27161"/>
    <w:rsid w:val="1CDF3654"/>
    <w:rsid w:val="1D3E15EC"/>
    <w:rsid w:val="1DE62317"/>
    <w:rsid w:val="1E3644FF"/>
    <w:rsid w:val="1EF07BE9"/>
    <w:rsid w:val="1EFE461A"/>
    <w:rsid w:val="1F603866"/>
    <w:rsid w:val="1FC7683A"/>
    <w:rsid w:val="1FDF5B04"/>
    <w:rsid w:val="1FFE7667"/>
    <w:rsid w:val="20040DFF"/>
    <w:rsid w:val="213212D6"/>
    <w:rsid w:val="213B4D91"/>
    <w:rsid w:val="21FC2E7E"/>
    <w:rsid w:val="22016A78"/>
    <w:rsid w:val="2217174F"/>
    <w:rsid w:val="22213E6C"/>
    <w:rsid w:val="224C5A31"/>
    <w:rsid w:val="225C7323"/>
    <w:rsid w:val="2269333F"/>
    <w:rsid w:val="22B107F8"/>
    <w:rsid w:val="235231CF"/>
    <w:rsid w:val="239B35B7"/>
    <w:rsid w:val="23A83A0D"/>
    <w:rsid w:val="24140680"/>
    <w:rsid w:val="243B7B17"/>
    <w:rsid w:val="24492F66"/>
    <w:rsid w:val="246062EC"/>
    <w:rsid w:val="24E07885"/>
    <w:rsid w:val="25123A35"/>
    <w:rsid w:val="2534229A"/>
    <w:rsid w:val="257D32B1"/>
    <w:rsid w:val="25EC6BD7"/>
    <w:rsid w:val="26165B41"/>
    <w:rsid w:val="26881B2A"/>
    <w:rsid w:val="268A21E6"/>
    <w:rsid w:val="26D42FC1"/>
    <w:rsid w:val="276C144B"/>
    <w:rsid w:val="27751639"/>
    <w:rsid w:val="27C45851"/>
    <w:rsid w:val="27CF750B"/>
    <w:rsid w:val="27E36121"/>
    <w:rsid w:val="280C74C5"/>
    <w:rsid w:val="28525604"/>
    <w:rsid w:val="287C47B4"/>
    <w:rsid w:val="28AF333F"/>
    <w:rsid w:val="2920062A"/>
    <w:rsid w:val="293B3F83"/>
    <w:rsid w:val="29437AAE"/>
    <w:rsid w:val="297E1EFC"/>
    <w:rsid w:val="29FD398C"/>
    <w:rsid w:val="2A1B7B5C"/>
    <w:rsid w:val="2A395F8D"/>
    <w:rsid w:val="2A656EEF"/>
    <w:rsid w:val="2A691501"/>
    <w:rsid w:val="2A7603D1"/>
    <w:rsid w:val="2A944F41"/>
    <w:rsid w:val="2AA32102"/>
    <w:rsid w:val="2AAE6793"/>
    <w:rsid w:val="2B382728"/>
    <w:rsid w:val="2B3D7387"/>
    <w:rsid w:val="2B5C6850"/>
    <w:rsid w:val="2B8A529A"/>
    <w:rsid w:val="2BAA0794"/>
    <w:rsid w:val="2BAD2685"/>
    <w:rsid w:val="2BC43604"/>
    <w:rsid w:val="2C445CD5"/>
    <w:rsid w:val="2C957B69"/>
    <w:rsid w:val="2CA653A9"/>
    <w:rsid w:val="2CB23497"/>
    <w:rsid w:val="2D2F0A6E"/>
    <w:rsid w:val="2D47547B"/>
    <w:rsid w:val="2E290C48"/>
    <w:rsid w:val="2F1D5A8B"/>
    <w:rsid w:val="2FAA2872"/>
    <w:rsid w:val="2FB1307B"/>
    <w:rsid w:val="2FCA1259"/>
    <w:rsid w:val="2FDC331F"/>
    <w:rsid w:val="2FE857C9"/>
    <w:rsid w:val="309148BA"/>
    <w:rsid w:val="30A04B7E"/>
    <w:rsid w:val="30D40089"/>
    <w:rsid w:val="320D0E17"/>
    <w:rsid w:val="322D3DD5"/>
    <w:rsid w:val="323563A5"/>
    <w:rsid w:val="329F0927"/>
    <w:rsid w:val="32B61B46"/>
    <w:rsid w:val="32C945B8"/>
    <w:rsid w:val="330C0562"/>
    <w:rsid w:val="331C31BE"/>
    <w:rsid w:val="33464B7A"/>
    <w:rsid w:val="334D0383"/>
    <w:rsid w:val="33576347"/>
    <w:rsid w:val="33915228"/>
    <w:rsid w:val="33B075FE"/>
    <w:rsid w:val="33CB2631"/>
    <w:rsid w:val="340332F1"/>
    <w:rsid w:val="342A18F2"/>
    <w:rsid w:val="34395C89"/>
    <w:rsid w:val="34877D0D"/>
    <w:rsid w:val="349613D0"/>
    <w:rsid w:val="34DA79F4"/>
    <w:rsid w:val="351A72AD"/>
    <w:rsid w:val="35282C5A"/>
    <w:rsid w:val="35310D34"/>
    <w:rsid w:val="354D41DF"/>
    <w:rsid w:val="35D5640E"/>
    <w:rsid w:val="35FB23CC"/>
    <w:rsid w:val="36371F6E"/>
    <w:rsid w:val="36774B69"/>
    <w:rsid w:val="36AC5178"/>
    <w:rsid w:val="36BE381C"/>
    <w:rsid w:val="370C6F24"/>
    <w:rsid w:val="373E372F"/>
    <w:rsid w:val="37CA3A87"/>
    <w:rsid w:val="38137F9C"/>
    <w:rsid w:val="381E150F"/>
    <w:rsid w:val="384D2127"/>
    <w:rsid w:val="38900AA3"/>
    <w:rsid w:val="38B03454"/>
    <w:rsid w:val="39A04924"/>
    <w:rsid w:val="39E949C6"/>
    <w:rsid w:val="39F5319F"/>
    <w:rsid w:val="39FB0130"/>
    <w:rsid w:val="3A0D111F"/>
    <w:rsid w:val="3A0D38CD"/>
    <w:rsid w:val="3A387FA7"/>
    <w:rsid w:val="3A4C3187"/>
    <w:rsid w:val="3A88044D"/>
    <w:rsid w:val="3AD30201"/>
    <w:rsid w:val="3B2E782F"/>
    <w:rsid w:val="3B893F22"/>
    <w:rsid w:val="3BC15D34"/>
    <w:rsid w:val="3BCF2D0F"/>
    <w:rsid w:val="3C3A3B41"/>
    <w:rsid w:val="3C44454F"/>
    <w:rsid w:val="3CB42A10"/>
    <w:rsid w:val="3CDB60E7"/>
    <w:rsid w:val="3D6E29EB"/>
    <w:rsid w:val="3D7374F4"/>
    <w:rsid w:val="3D994F8E"/>
    <w:rsid w:val="3D9B70CD"/>
    <w:rsid w:val="3DA939C5"/>
    <w:rsid w:val="3E1F1601"/>
    <w:rsid w:val="3E431917"/>
    <w:rsid w:val="3EA74EA6"/>
    <w:rsid w:val="3EAB2453"/>
    <w:rsid w:val="3F0D38BA"/>
    <w:rsid w:val="3F156B28"/>
    <w:rsid w:val="40287F7B"/>
    <w:rsid w:val="40591B82"/>
    <w:rsid w:val="406900CD"/>
    <w:rsid w:val="409B7B27"/>
    <w:rsid w:val="40ED1605"/>
    <w:rsid w:val="411C46C3"/>
    <w:rsid w:val="412133EB"/>
    <w:rsid w:val="41220024"/>
    <w:rsid w:val="414B2DA0"/>
    <w:rsid w:val="41F017A8"/>
    <w:rsid w:val="423544BC"/>
    <w:rsid w:val="425828A0"/>
    <w:rsid w:val="42D52A3F"/>
    <w:rsid w:val="42F17050"/>
    <w:rsid w:val="431369E3"/>
    <w:rsid w:val="436A00A2"/>
    <w:rsid w:val="4399457F"/>
    <w:rsid w:val="443C6B00"/>
    <w:rsid w:val="445157F9"/>
    <w:rsid w:val="445C6EC4"/>
    <w:rsid w:val="44676143"/>
    <w:rsid w:val="44794D63"/>
    <w:rsid w:val="44D067D1"/>
    <w:rsid w:val="44E670C8"/>
    <w:rsid w:val="450528D3"/>
    <w:rsid w:val="453E3F7B"/>
    <w:rsid w:val="4572211D"/>
    <w:rsid w:val="46692B10"/>
    <w:rsid w:val="4672392A"/>
    <w:rsid w:val="467C28B2"/>
    <w:rsid w:val="46924683"/>
    <w:rsid w:val="46B05CA5"/>
    <w:rsid w:val="46B90A82"/>
    <w:rsid w:val="473A5625"/>
    <w:rsid w:val="476F114B"/>
    <w:rsid w:val="47C02C46"/>
    <w:rsid w:val="47C17D67"/>
    <w:rsid w:val="48463A92"/>
    <w:rsid w:val="488515F1"/>
    <w:rsid w:val="489354A0"/>
    <w:rsid w:val="49083735"/>
    <w:rsid w:val="490F7BDD"/>
    <w:rsid w:val="492D2391"/>
    <w:rsid w:val="49B758A3"/>
    <w:rsid w:val="4A8E51ED"/>
    <w:rsid w:val="4AAF17BC"/>
    <w:rsid w:val="4AFB1112"/>
    <w:rsid w:val="4BFB6776"/>
    <w:rsid w:val="4C060F8B"/>
    <w:rsid w:val="4C2F6420"/>
    <w:rsid w:val="4C8C3A8E"/>
    <w:rsid w:val="4D0C302C"/>
    <w:rsid w:val="4D473B61"/>
    <w:rsid w:val="4D5A571F"/>
    <w:rsid w:val="4DC3520D"/>
    <w:rsid w:val="4E053C46"/>
    <w:rsid w:val="4E13044B"/>
    <w:rsid w:val="4E1E499E"/>
    <w:rsid w:val="4E2906CE"/>
    <w:rsid w:val="4EC201C3"/>
    <w:rsid w:val="4F1C2EFD"/>
    <w:rsid w:val="4F691C56"/>
    <w:rsid w:val="4FA249DE"/>
    <w:rsid w:val="4FD81752"/>
    <w:rsid w:val="5001270A"/>
    <w:rsid w:val="50B77329"/>
    <w:rsid w:val="51C41695"/>
    <w:rsid w:val="51D74CEC"/>
    <w:rsid w:val="521D407E"/>
    <w:rsid w:val="524B0146"/>
    <w:rsid w:val="52861B73"/>
    <w:rsid w:val="52CB7035"/>
    <w:rsid w:val="52CD24EF"/>
    <w:rsid w:val="52D60FD9"/>
    <w:rsid w:val="531319AA"/>
    <w:rsid w:val="531D1557"/>
    <w:rsid w:val="5328390B"/>
    <w:rsid w:val="53506042"/>
    <w:rsid w:val="537F1847"/>
    <w:rsid w:val="538F4566"/>
    <w:rsid w:val="54C94F38"/>
    <w:rsid w:val="554167A1"/>
    <w:rsid w:val="568F2F49"/>
    <w:rsid w:val="56BD677F"/>
    <w:rsid w:val="56CD6F61"/>
    <w:rsid w:val="57564D00"/>
    <w:rsid w:val="57755916"/>
    <w:rsid w:val="5794651A"/>
    <w:rsid w:val="57BD2906"/>
    <w:rsid w:val="57EC095E"/>
    <w:rsid w:val="580F7213"/>
    <w:rsid w:val="58BB67A0"/>
    <w:rsid w:val="58DA0FD3"/>
    <w:rsid w:val="58F65C68"/>
    <w:rsid w:val="58FD4074"/>
    <w:rsid w:val="58FF5142"/>
    <w:rsid w:val="5923594F"/>
    <w:rsid w:val="59391735"/>
    <w:rsid w:val="596E70E3"/>
    <w:rsid w:val="59C33488"/>
    <w:rsid w:val="5A131408"/>
    <w:rsid w:val="5A2B49EC"/>
    <w:rsid w:val="5A5E5E28"/>
    <w:rsid w:val="5A6F1F2F"/>
    <w:rsid w:val="5A765101"/>
    <w:rsid w:val="5A7977E0"/>
    <w:rsid w:val="5A9F0071"/>
    <w:rsid w:val="5AF57022"/>
    <w:rsid w:val="5B524A71"/>
    <w:rsid w:val="5B5C6B36"/>
    <w:rsid w:val="5B6C4405"/>
    <w:rsid w:val="5B850857"/>
    <w:rsid w:val="5B9E2DB8"/>
    <w:rsid w:val="5BA33C64"/>
    <w:rsid w:val="5BE71D34"/>
    <w:rsid w:val="5BED401D"/>
    <w:rsid w:val="5BF159D4"/>
    <w:rsid w:val="5C0E2860"/>
    <w:rsid w:val="5C712910"/>
    <w:rsid w:val="5C992924"/>
    <w:rsid w:val="5CD04656"/>
    <w:rsid w:val="5D057564"/>
    <w:rsid w:val="5D6B0290"/>
    <w:rsid w:val="5DF854E1"/>
    <w:rsid w:val="5E1A796B"/>
    <w:rsid w:val="5E2A5AED"/>
    <w:rsid w:val="5E7D2556"/>
    <w:rsid w:val="5EFB210D"/>
    <w:rsid w:val="5F110351"/>
    <w:rsid w:val="5F2913F5"/>
    <w:rsid w:val="5F3C0630"/>
    <w:rsid w:val="5FA97E40"/>
    <w:rsid w:val="5FAA4FFC"/>
    <w:rsid w:val="6025124B"/>
    <w:rsid w:val="603D5AAD"/>
    <w:rsid w:val="6072134A"/>
    <w:rsid w:val="608A7D81"/>
    <w:rsid w:val="60C05441"/>
    <w:rsid w:val="60D26F5B"/>
    <w:rsid w:val="61186496"/>
    <w:rsid w:val="61B65F15"/>
    <w:rsid w:val="61BE058B"/>
    <w:rsid w:val="61BE4076"/>
    <w:rsid w:val="61D03DA9"/>
    <w:rsid w:val="61F61A03"/>
    <w:rsid w:val="6219297F"/>
    <w:rsid w:val="621E7D51"/>
    <w:rsid w:val="6277421B"/>
    <w:rsid w:val="62CD38A9"/>
    <w:rsid w:val="62DC3CE2"/>
    <w:rsid w:val="62E01DCA"/>
    <w:rsid w:val="637D72F5"/>
    <w:rsid w:val="63857653"/>
    <w:rsid w:val="63A64DC2"/>
    <w:rsid w:val="63AF3D3A"/>
    <w:rsid w:val="63D931E2"/>
    <w:rsid w:val="641D434E"/>
    <w:rsid w:val="646D072F"/>
    <w:rsid w:val="64D352B8"/>
    <w:rsid w:val="650A6E75"/>
    <w:rsid w:val="651560BA"/>
    <w:rsid w:val="65273A24"/>
    <w:rsid w:val="652B31FC"/>
    <w:rsid w:val="652E52F0"/>
    <w:rsid w:val="65302539"/>
    <w:rsid w:val="658102BD"/>
    <w:rsid w:val="65890AB7"/>
    <w:rsid w:val="65916115"/>
    <w:rsid w:val="65DE5582"/>
    <w:rsid w:val="66240165"/>
    <w:rsid w:val="66F43AF7"/>
    <w:rsid w:val="674F474C"/>
    <w:rsid w:val="675822DE"/>
    <w:rsid w:val="67787F8D"/>
    <w:rsid w:val="6792295F"/>
    <w:rsid w:val="67C07C99"/>
    <w:rsid w:val="67F266AF"/>
    <w:rsid w:val="680B78E9"/>
    <w:rsid w:val="684B7F35"/>
    <w:rsid w:val="68FC32F2"/>
    <w:rsid w:val="69A07404"/>
    <w:rsid w:val="69E95778"/>
    <w:rsid w:val="6A596387"/>
    <w:rsid w:val="6A732B77"/>
    <w:rsid w:val="6AA55DB5"/>
    <w:rsid w:val="6AC975E8"/>
    <w:rsid w:val="6AE83011"/>
    <w:rsid w:val="6B3016EB"/>
    <w:rsid w:val="6B722607"/>
    <w:rsid w:val="6BA2466A"/>
    <w:rsid w:val="6BBB6AAD"/>
    <w:rsid w:val="6BED0B92"/>
    <w:rsid w:val="6C497EB0"/>
    <w:rsid w:val="6C50732E"/>
    <w:rsid w:val="6C7E270E"/>
    <w:rsid w:val="6C8860A9"/>
    <w:rsid w:val="6C9768B4"/>
    <w:rsid w:val="6CA61A3A"/>
    <w:rsid w:val="6CC60CEF"/>
    <w:rsid w:val="6CF217D4"/>
    <w:rsid w:val="6D267968"/>
    <w:rsid w:val="6DB15CE3"/>
    <w:rsid w:val="6DCF7A62"/>
    <w:rsid w:val="6E044B8A"/>
    <w:rsid w:val="6E556B4A"/>
    <w:rsid w:val="6EB448FD"/>
    <w:rsid w:val="6F383D07"/>
    <w:rsid w:val="6F421085"/>
    <w:rsid w:val="6FC714F2"/>
    <w:rsid w:val="6FF414D4"/>
    <w:rsid w:val="700746B2"/>
    <w:rsid w:val="70077DE7"/>
    <w:rsid w:val="706C7FA2"/>
    <w:rsid w:val="70845812"/>
    <w:rsid w:val="70E37F8D"/>
    <w:rsid w:val="71127BA2"/>
    <w:rsid w:val="7187084F"/>
    <w:rsid w:val="718F50E7"/>
    <w:rsid w:val="71FB5066"/>
    <w:rsid w:val="72165F65"/>
    <w:rsid w:val="72181581"/>
    <w:rsid w:val="72262C1C"/>
    <w:rsid w:val="72424086"/>
    <w:rsid w:val="726F6D4C"/>
    <w:rsid w:val="72835E6E"/>
    <w:rsid w:val="72B30DC7"/>
    <w:rsid w:val="73417908"/>
    <w:rsid w:val="73975252"/>
    <w:rsid w:val="73BB1804"/>
    <w:rsid w:val="73F12CD0"/>
    <w:rsid w:val="73FD2CDB"/>
    <w:rsid w:val="74031DBD"/>
    <w:rsid w:val="74101159"/>
    <w:rsid w:val="74DF7B5A"/>
    <w:rsid w:val="74EA7203"/>
    <w:rsid w:val="74FA55F6"/>
    <w:rsid w:val="753271D8"/>
    <w:rsid w:val="756A3CA9"/>
    <w:rsid w:val="757438E6"/>
    <w:rsid w:val="7578477B"/>
    <w:rsid w:val="75E861EF"/>
    <w:rsid w:val="760553A8"/>
    <w:rsid w:val="7618435B"/>
    <w:rsid w:val="768C1119"/>
    <w:rsid w:val="7729744D"/>
    <w:rsid w:val="776C6CE8"/>
    <w:rsid w:val="777D46CA"/>
    <w:rsid w:val="77923065"/>
    <w:rsid w:val="77B37523"/>
    <w:rsid w:val="77EF43DC"/>
    <w:rsid w:val="78501E3B"/>
    <w:rsid w:val="78B70A5B"/>
    <w:rsid w:val="79426699"/>
    <w:rsid w:val="795A5208"/>
    <w:rsid w:val="795D3C37"/>
    <w:rsid w:val="79833C7C"/>
    <w:rsid w:val="79C91A00"/>
    <w:rsid w:val="79DB41C3"/>
    <w:rsid w:val="79EE3760"/>
    <w:rsid w:val="7A3D23EC"/>
    <w:rsid w:val="7A5709DC"/>
    <w:rsid w:val="7A8F4748"/>
    <w:rsid w:val="7A9629B0"/>
    <w:rsid w:val="7ACB744D"/>
    <w:rsid w:val="7AD832E2"/>
    <w:rsid w:val="7B166879"/>
    <w:rsid w:val="7B3E4593"/>
    <w:rsid w:val="7B533629"/>
    <w:rsid w:val="7B9F358C"/>
    <w:rsid w:val="7BC6770E"/>
    <w:rsid w:val="7C1D1B1D"/>
    <w:rsid w:val="7C271FE0"/>
    <w:rsid w:val="7C464660"/>
    <w:rsid w:val="7CE03CA6"/>
    <w:rsid w:val="7D0801C2"/>
    <w:rsid w:val="7D3B2EE5"/>
    <w:rsid w:val="7D450D50"/>
    <w:rsid w:val="7D6C452F"/>
    <w:rsid w:val="7D6E64F9"/>
    <w:rsid w:val="7DA60233"/>
    <w:rsid w:val="7DE92D15"/>
    <w:rsid w:val="7E1150D6"/>
    <w:rsid w:val="7E1A4758"/>
    <w:rsid w:val="7E4159BB"/>
    <w:rsid w:val="7E590F57"/>
    <w:rsid w:val="7F1076A5"/>
    <w:rsid w:val="7F2A644F"/>
    <w:rsid w:val="7F737252"/>
    <w:rsid w:val="7F8D69DE"/>
    <w:rsid w:val="7FCD3814"/>
    <w:rsid w:val="7FFC290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qFormat/>
    <w:pPr>
      <w:numPr>
        <w:ilvl w:val="4"/>
        <w:numId w:val="1"/>
      </w:numPr>
      <w:adjustRightInd w:val="0"/>
      <w:spacing w:before="40" w:after="20" w:line="288" w:lineRule="auto"/>
      <w:textAlignment w:val="baseline"/>
      <w:outlineLvl w:val="4"/>
    </w:pPr>
    <w:rPr>
      <w:kern w:val="0"/>
      <w:sz w:val="28"/>
      <w:szCs w:val="20"/>
    </w:rPr>
  </w:style>
  <w:style w:type="character" w:default="1" w:styleId="a0">
    <w:name w:val="Default Paragraph Font"/>
    <w:link w:val="CharCharCharChar"/>
    <w:semiHidden/>
    <w:rPr>
      <w:sz w:val="24"/>
    </w:rPr>
  </w:style>
  <w:style w:type="table" w:default="1" w:styleId="a1">
    <w:name w:val="Normal Table"/>
    <w:semiHidden/>
    <w:rPr>
      <w:rFonts w:ascii="Calibri" w:hAnsi="Calibri" w:cs="Calibri"/>
      <w:kern w:val="2"/>
      <w:sz w:val="21"/>
      <w:szCs w:val="22"/>
    </w:rPr>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rPr>
      <w:rFonts w:ascii="宋体"/>
      <w:sz w:val="18"/>
      <w:szCs w:val="18"/>
    </w:rPr>
  </w:style>
  <w:style w:type="character" w:customStyle="1" w:styleId="Char">
    <w:name w:val="文档结构图 Char"/>
    <w:link w:val="a3"/>
    <w:rPr>
      <w:rFonts w:ascii="宋体"/>
      <w:kern w:val="2"/>
      <w:sz w:val="18"/>
      <w:szCs w:val="18"/>
    </w:rPr>
  </w:style>
  <w:style w:type="paragraph" w:styleId="a4">
    <w:name w:val="annotation text"/>
    <w:basedOn w:val="a"/>
    <w:semiHidden/>
    <w:pPr>
      <w:jc w:val="left"/>
    </w:pPr>
  </w:style>
  <w:style w:type="paragraph" w:styleId="a5">
    <w:name w:val="Balloon Text"/>
    <w:basedOn w:val="a"/>
    <w:link w:val="Char0"/>
    <w:semiHidden/>
    <w:rPr>
      <w:sz w:val="18"/>
      <w:szCs w:val="18"/>
    </w:rPr>
  </w:style>
  <w:style w:type="character" w:customStyle="1" w:styleId="Char0">
    <w:name w:val="批注框文本 Char"/>
    <w:link w:val="a5"/>
    <w:rPr>
      <w:rFonts w:ascii="宋体" w:eastAsia="宋体" w:hAnsi="宋体" w:cs="宋体" w:hint="eastAsia"/>
    </w:rPr>
  </w:style>
  <w:style w:type="paragraph" w:styleId="a6">
    <w:name w:val="footer"/>
    <w:basedOn w:val="a"/>
    <w:link w:val="Char1"/>
    <w:pPr>
      <w:tabs>
        <w:tab w:val="center" w:pos="4153"/>
        <w:tab w:val="right" w:pos="8306"/>
      </w:tabs>
      <w:snapToGrid w:val="0"/>
      <w:jc w:val="left"/>
    </w:pPr>
    <w:rPr>
      <w:sz w:val="18"/>
      <w:szCs w:val="18"/>
    </w:rPr>
  </w:style>
  <w:style w:type="character" w:customStyle="1" w:styleId="Char1">
    <w:name w:val="页脚 Char"/>
    <w:link w:val="a6"/>
    <w:rPr>
      <w:kern w:val="2"/>
      <w:sz w:val="18"/>
      <w:szCs w:val="18"/>
    </w:rPr>
  </w:style>
  <w:style w:type="paragraph" w:styleId="a7">
    <w:name w:val="header"/>
    <w:basedOn w:val="a"/>
    <w:link w:val="Char2"/>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rPr>
      <w:kern w:val="2"/>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8">
    <w:name w:val="Normal (Web)"/>
    <w:basedOn w:val="a"/>
    <w:pPr>
      <w:widowControl/>
      <w:spacing w:before="100" w:beforeAutospacing="1" w:after="100" w:afterAutospacing="1"/>
      <w:jc w:val="left"/>
    </w:pPr>
    <w:rPr>
      <w:rFonts w:ascii="宋体" w:hAnsi="宋体"/>
      <w:kern w:val="0"/>
      <w:sz w:val="24"/>
    </w:rPr>
  </w:style>
  <w:style w:type="paragraph" w:styleId="a9">
    <w:name w:val="annotation subject"/>
    <w:basedOn w:val="a4"/>
    <w:next w:val="a4"/>
    <w:semiHidden/>
    <w:rPr>
      <w:b/>
      <w:bCs/>
    </w:r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 Char Char Char Char"/>
    <w:basedOn w:val="a"/>
    <w:link w:val="a0"/>
    <w:pPr>
      <w:tabs>
        <w:tab w:val="left" w:pos="360"/>
      </w:tabs>
    </w:pPr>
    <w:rPr>
      <w:sz w:val="24"/>
    </w:rPr>
  </w:style>
  <w:style w:type="character" w:styleId="ab">
    <w:name w:val="Strong"/>
    <w:basedOn w:val="a0"/>
    <w:qFormat/>
    <w:rPr>
      <w:b/>
    </w:rPr>
  </w:style>
  <w:style w:type="character" w:styleId="ac">
    <w:name w:val="page number"/>
    <w:basedOn w:val="a0"/>
  </w:style>
  <w:style w:type="character" w:styleId="ad">
    <w:name w:val="FollowedHyperlink"/>
    <w:basedOn w:val="a0"/>
    <w:rPr>
      <w:color w:val="954F72"/>
      <w:u w:val="single"/>
    </w:rPr>
  </w:style>
  <w:style w:type="character" w:styleId="ae">
    <w:name w:val="Hyperlink"/>
    <w:basedOn w:val="a0"/>
    <w:rPr>
      <w:color w:val="0000FF"/>
      <w:u w:val="single"/>
    </w:rPr>
  </w:style>
  <w:style w:type="character" w:styleId="af">
    <w:name w:val="annotation reference"/>
    <w:semiHidden/>
    <w:rPr>
      <w:sz w:val="21"/>
      <w:szCs w:val="21"/>
    </w:rPr>
  </w:style>
  <w:style w:type="character" w:customStyle="1" w:styleId="emailstyle21">
    <w:name w:val="emailstyle21"/>
    <w:rPr>
      <w:rFonts w:ascii="Calibri" w:hAnsi="Calibri" w:cs="Calibri" w:hint="default"/>
      <w:color w:val="1F497D"/>
    </w:rPr>
  </w:style>
  <w:style w:type="character" w:customStyle="1" w:styleId="emailstyle27">
    <w:name w:val="emailstyle27"/>
    <w:rPr>
      <w:rFonts w:ascii="Calibri" w:hAnsi="Calibri" w:cs="Calibri" w:hint="default"/>
      <w:color w:val="1F497D"/>
    </w:rPr>
  </w:style>
  <w:style w:type="character" w:customStyle="1" w:styleId="da">
    <w:name w:val="da"/>
    <w:basedOn w:val="a0"/>
  </w:style>
  <w:style w:type="character" w:customStyle="1" w:styleId="emailstyle24">
    <w:name w:val="emailstyle24"/>
    <w:rPr>
      <w:rFonts w:ascii="Calibri" w:hAnsi="Calibri" w:cs="Calibri" w:hint="default"/>
      <w:color w:val="1F497D"/>
    </w:rPr>
  </w:style>
  <w:style w:type="character" w:customStyle="1" w:styleId="emailstyle26">
    <w:name w:val="emailstyle26"/>
    <w:rPr>
      <w:rFonts w:ascii="Calibri" w:hAnsi="Calibri" w:cs="Calibri" w:hint="default"/>
      <w:color w:val="1F497D"/>
    </w:rPr>
  </w:style>
  <w:style w:type="character" w:customStyle="1" w:styleId="emailstyle25">
    <w:name w:val="emailstyle25"/>
    <w:rPr>
      <w:rFonts w:ascii="Calibri" w:hAnsi="Calibri" w:cs="Calibri" w:hint="default"/>
      <w:color w:val="1F497D"/>
    </w:rPr>
  </w:style>
  <w:style w:type="character" w:customStyle="1" w:styleId="emailstyle23">
    <w:name w:val="emailstyle23"/>
    <w:rPr>
      <w:rFonts w:ascii="Calibri" w:hAnsi="Calibri" w:cs="Calibri" w:hint="default"/>
      <w:color w:val="1F497D"/>
    </w:rPr>
  </w:style>
  <w:style w:type="character" w:customStyle="1" w:styleId="txtcontent11">
    <w:name w:val="txtcontent11"/>
    <w:rPr>
      <w:rFonts w:ascii="ˎ̥" w:hAnsi="ˎ̥" w:hint="default"/>
      <w:b w:val="0"/>
      <w:bCs w:val="0"/>
      <w:color w:val="000000"/>
      <w:sz w:val="21"/>
      <w:szCs w:val="21"/>
    </w:rPr>
  </w:style>
  <w:style w:type="character" w:customStyle="1" w:styleId="emailstyle22">
    <w:name w:val="emailstyle22"/>
    <w:rPr>
      <w:rFonts w:ascii="Calibri" w:hAnsi="Calibri" w:cs="Calibri" w:hint="default"/>
      <w:color w:val="1F497D"/>
    </w:rPr>
  </w:style>
  <w:style w:type="character" w:customStyle="1" w:styleId="emailstyle20">
    <w:name w:val="emailstyle20"/>
    <w:rPr>
      <w:rFonts w:ascii="Calibri" w:hAnsi="Calibri" w:cs="Calibri" w:hint="default"/>
      <w:color w:val="1F497D"/>
    </w:rPr>
  </w:style>
  <w:style w:type="paragraph" w:customStyle="1" w:styleId="CharCharCharCharCharCharChar">
    <w:name w:val=" Char Char Char Char Char Char Char"/>
    <w:basedOn w:val="a"/>
    <w:pPr>
      <w:tabs>
        <w:tab w:val="left" w:pos="360"/>
      </w:tabs>
    </w:pPr>
    <w:rPr>
      <w:sz w:val="24"/>
    </w:rPr>
  </w:style>
  <w:style w:type="paragraph" w:customStyle="1" w:styleId="CharCharCharCharCharChar1CharCharChar">
    <w:name w:val=" Char Char Char Char Char Char1 Char Char Char"/>
    <w:basedOn w:val="a"/>
    <w:pPr>
      <w:autoSpaceDE w:val="0"/>
      <w:autoSpaceDN w:val="0"/>
      <w:adjustRightInd w:val="0"/>
      <w:jc w:val="left"/>
      <w:textAlignment w:val="baseline"/>
    </w:pPr>
    <w:rPr>
      <w:rFonts w:eastAsia="方正仿宋简体"/>
      <w:sz w:val="32"/>
      <w:szCs w:val="20"/>
    </w:r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caimofang.cn/" TargetMode="External"/><Relationship Id="rId3" Type="http://schemas.openxmlformats.org/officeDocument/2006/relationships/settings" Target="settings.xml"/><Relationship Id="rId7" Type="http://schemas.openxmlformats.org/officeDocument/2006/relationships/hyperlink" Target="http://www.shzq.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66liantai.com" TargetMode="External"/><Relationship Id="rId11" Type="http://schemas.openxmlformats.org/officeDocument/2006/relationships/fontTable" Target="fontTable.xml"/><Relationship Id="rId5" Type="http://schemas.openxmlformats.org/officeDocument/2006/relationships/hyperlink" Target="https://www.tenyuanfund.com/" TargetMode="External"/><Relationship Id="rId10" Type="http://schemas.openxmlformats.org/officeDocument/2006/relationships/hyperlink" Target="http://www.scfund.com.cn" TargetMode="External"/><Relationship Id="rId4" Type="http://schemas.openxmlformats.org/officeDocument/2006/relationships/webSettings" Target="webSettings.xml"/><Relationship Id="rId9" Type="http://schemas.openxmlformats.org/officeDocument/2006/relationships/hyperlink" Target="http://www.hgccpb.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617</Words>
  <Characters>3519</Characters>
  <Application>Microsoft Office Word</Application>
  <DocSecurity>4</DocSecurity>
  <PresentationFormat/>
  <Lines>29</Lines>
  <Paragraphs>8</Paragraphs>
  <Slides>0</Slides>
  <Notes>0</Notes>
  <HiddenSlides>0</HiddenSlides>
  <MMClips>0</MMClips>
  <ScaleCrop>false</ScaleCrop>
  <Manager/>
  <Company/>
  <LinksUpToDate>false</LinksUpToDate>
  <CharactersWithSpaces>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东吴基金管理有限公司关于旗下部分基金新增深圳腾元基金销售有限公司为代销机构、开通定期定额投资及转换业务并参加费率优惠的公告</dc:title>
  <dc:subject/>
  <dc:creator>dingxue</dc:creator>
  <cp:keywords/>
  <dc:description/>
  <cp:lastModifiedBy>ZHONGM</cp:lastModifiedBy>
  <cp:revision>2</cp:revision>
  <cp:lastPrinted>2015-06-11T02:51:00Z</cp:lastPrinted>
  <dcterms:created xsi:type="dcterms:W3CDTF">2026-01-13T16:01:00Z</dcterms:created>
  <dcterms:modified xsi:type="dcterms:W3CDTF">2026-01-13T16:01:00Z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BCE1064706D24EE6AAA7591536B5D8FB_13</vt:lpwstr>
  </property>
</Properties>
</file>