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3C" w:rsidRPr="00B81B11" w:rsidRDefault="0070523C">
      <w:pPr>
        <w:autoSpaceDE w:val="0"/>
        <w:autoSpaceDN w:val="0"/>
        <w:adjustRightInd w:val="0"/>
        <w:jc w:val="center"/>
        <w:rPr>
          <w:rFonts w:ascii="宋体" w:hAnsi="宋体" w:cs="Verdana"/>
          <w:b/>
          <w:bCs/>
          <w:color w:val="000000"/>
          <w:kern w:val="0"/>
          <w:sz w:val="39"/>
          <w:szCs w:val="39"/>
        </w:rPr>
      </w:pP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关于</w:t>
      </w:r>
      <w:r w:rsidR="001E67F8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银华招利一年持有期混合型</w:t>
      </w:r>
      <w:r w:rsidR="005A6944"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证券投资基金</w:t>
      </w: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基金资产净值低于</w:t>
      </w:r>
      <w:r>
        <w:rPr>
          <w:rFonts w:ascii="宋体" w:hAnsi="宋体" w:cs="Verdana"/>
          <w:b/>
          <w:bCs/>
          <w:color w:val="000000"/>
          <w:kern w:val="0"/>
          <w:sz w:val="39"/>
          <w:szCs w:val="39"/>
        </w:rPr>
        <w:t>5000</w:t>
      </w: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万元的提示性公告</w:t>
      </w:r>
    </w:p>
    <w:p w:rsidR="0070523C" w:rsidRDefault="0070523C">
      <w:pPr>
        <w:autoSpaceDE w:val="0"/>
        <w:autoSpaceDN w:val="0"/>
        <w:adjustRightInd w:val="0"/>
        <w:jc w:val="left"/>
        <w:rPr>
          <w:rFonts w:ascii="宋体" w:cs="宋体"/>
          <w:color w:val="666666"/>
          <w:kern w:val="0"/>
          <w:sz w:val="24"/>
          <w:szCs w:val="24"/>
        </w:rPr>
      </w:pP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根据《中华人民共和国证券投资基金法》、《公开募集证券投资基金运作管理办法》、《</w:t>
      </w:r>
      <w:r w:rsidR="001E67F8">
        <w:rPr>
          <w:rFonts w:ascii="宋体" w:hAnsi="宋体" w:cs="宋体" w:hint="eastAsia"/>
          <w:kern w:val="0"/>
          <w:sz w:val="24"/>
          <w:szCs w:val="24"/>
        </w:rPr>
        <w:t>银华招利一年持有期混合型</w:t>
      </w:r>
      <w:r w:rsidR="005A6944" w:rsidRPr="00F47646">
        <w:rPr>
          <w:rFonts w:ascii="宋体" w:hAnsi="宋体" w:cs="宋体" w:hint="eastAsia"/>
          <w:kern w:val="0"/>
          <w:sz w:val="24"/>
          <w:szCs w:val="24"/>
        </w:rPr>
        <w:t>证券投资基金</w:t>
      </w:r>
      <w:r w:rsidRPr="000F0E18">
        <w:rPr>
          <w:rFonts w:ascii="宋体" w:hAnsi="宋体" w:cs="宋体" w:hint="eastAsia"/>
          <w:kern w:val="0"/>
          <w:sz w:val="24"/>
          <w:szCs w:val="24"/>
        </w:rPr>
        <w:t>基金合同》（以下简称“《基金合同》”）的有关规定，</w:t>
      </w:r>
      <w:r w:rsidR="001E67F8">
        <w:rPr>
          <w:rFonts w:ascii="宋体" w:hAnsi="宋体" w:cs="宋体" w:hint="eastAsia"/>
          <w:kern w:val="0"/>
          <w:sz w:val="24"/>
          <w:szCs w:val="24"/>
        </w:rPr>
        <w:t>银华招利一年持有期混合型</w:t>
      </w:r>
      <w:r w:rsidR="005A6944" w:rsidRPr="00F47646">
        <w:rPr>
          <w:rFonts w:ascii="宋体" w:hAnsi="宋体" w:cs="宋体" w:hint="eastAsia"/>
          <w:kern w:val="0"/>
          <w:sz w:val="24"/>
          <w:szCs w:val="24"/>
        </w:rPr>
        <w:t>证券投资基金</w:t>
      </w:r>
      <w:r w:rsidRPr="000F0E18">
        <w:rPr>
          <w:rFonts w:ascii="宋体" w:hAnsi="宋体" w:cs="宋体" w:hint="eastAsia"/>
          <w:kern w:val="0"/>
          <w:sz w:val="24"/>
          <w:szCs w:val="24"/>
        </w:rPr>
        <w:t>（以下简称“本基金”</w:t>
      </w:r>
      <w:r w:rsidR="002C3AC6">
        <w:rPr>
          <w:rFonts w:ascii="宋体" w:hAnsi="宋体" w:cs="宋体" w:hint="eastAsia"/>
          <w:kern w:val="0"/>
          <w:sz w:val="24"/>
          <w:szCs w:val="24"/>
        </w:rPr>
        <w:t>，</w:t>
      </w:r>
      <w:r w:rsidR="0054724F" w:rsidRPr="00CB279B">
        <w:rPr>
          <w:rFonts w:ascii="宋体" w:hAnsi="宋体" w:cs="宋体" w:hint="eastAsia"/>
          <w:kern w:val="0"/>
          <w:sz w:val="24"/>
          <w:szCs w:val="24"/>
        </w:rPr>
        <w:t>A类份额基金代码：</w:t>
      </w:r>
      <w:r w:rsidR="001E67F8">
        <w:rPr>
          <w:rFonts w:ascii="宋体" w:hAnsi="宋体" w:cs="宋体"/>
          <w:kern w:val="0"/>
          <w:sz w:val="24"/>
          <w:szCs w:val="24"/>
        </w:rPr>
        <w:t>009977</w:t>
      </w:r>
      <w:r w:rsidR="0054724F" w:rsidRPr="00CB279B">
        <w:rPr>
          <w:rFonts w:ascii="宋体" w:hAnsi="宋体" w:cs="宋体" w:hint="eastAsia"/>
          <w:kern w:val="0"/>
          <w:sz w:val="24"/>
          <w:szCs w:val="24"/>
        </w:rPr>
        <w:t>，C类份额基金代码：</w:t>
      </w:r>
      <w:r w:rsidR="001E67F8">
        <w:rPr>
          <w:rFonts w:ascii="宋体" w:hAnsi="宋体" w:cs="宋体"/>
          <w:kern w:val="0"/>
          <w:sz w:val="24"/>
          <w:szCs w:val="24"/>
        </w:rPr>
        <w:t>009978</w:t>
      </w:r>
      <w:r w:rsidRPr="000F0E18">
        <w:rPr>
          <w:rFonts w:ascii="宋体" w:hAnsi="宋体" w:cs="宋体" w:hint="eastAsia"/>
          <w:kern w:val="0"/>
          <w:sz w:val="24"/>
          <w:szCs w:val="24"/>
        </w:rPr>
        <w:t>）连续</w:t>
      </w:r>
      <w:r w:rsidR="00F77735">
        <w:rPr>
          <w:rFonts w:ascii="宋体" w:hAnsi="宋体" w:cs="宋体"/>
          <w:kern w:val="0"/>
          <w:sz w:val="24"/>
          <w:szCs w:val="24"/>
        </w:rPr>
        <w:t>30</w:t>
      </w:r>
      <w:r w:rsidRPr="000F0E18">
        <w:rPr>
          <w:rFonts w:ascii="宋体" w:hAnsi="宋体" w:cs="宋体" w:hint="eastAsia"/>
          <w:kern w:val="0"/>
          <w:sz w:val="24"/>
          <w:szCs w:val="24"/>
        </w:rPr>
        <w:t>个工作日基金资产净值低于5000万元，可能触发基金合同终止情形，现将相关事宜公告如下。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一、可能触发基金合同终止的情形说明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根据《基金合同》的规定，《基金合同》生效后，连续</w:t>
      </w:r>
      <w:r w:rsidR="00C87157">
        <w:rPr>
          <w:rFonts w:ascii="宋体" w:hAnsi="宋体" w:cs="宋体"/>
          <w:kern w:val="0"/>
          <w:sz w:val="24"/>
          <w:szCs w:val="24"/>
        </w:rPr>
        <w:t>5</w:t>
      </w:r>
      <w:r w:rsidRPr="000F0E18">
        <w:rPr>
          <w:rFonts w:ascii="宋体" w:hAnsi="宋体" w:cs="宋体" w:hint="eastAsia"/>
          <w:kern w:val="0"/>
          <w:sz w:val="24"/>
          <w:szCs w:val="24"/>
        </w:rPr>
        <w:t>0个工作日出现基金份额持有人数量不满200人或者基金资产净值低于5,000万元情形的，本基金</w:t>
      </w:r>
      <w:r w:rsidR="005A6944">
        <w:rPr>
          <w:rFonts w:ascii="宋体" w:hAnsi="宋体" w:cs="宋体" w:hint="eastAsia"/>
          <w:kern w:val="0"/>
          <w:sz w:val="24"/>
          <w:szCs w:val="24"/>
        </w:rPr>
        <w:t>《基金合同》</w:t>
      </w:r>
      <w:r w:rsidRPr="000F0E18">
        <w:rPr>
          <w:rFonts w:ascii="宋体" w:hAnsi="宋体" w:cs="宋体" w:hint="eastAsia"/>
          <w:kern w:val="0"/>
          <w:sz w:val="24"/>
          <w:szCs w:val="24"/>
        </w:rPr>
        <w:t>将终止并进行基金财产清算，且</w:t>
      </w:r>
      <w:r w:rsidR="005A6944">
        <w:rPr>
          <w:rFonts w:ascii="宋体" w:hAnsi="宋体" w:cs="宋体" w:hint="eastAsia"/>
          <w:kern w:val="0"/>
          <w:sz w:val="24"/>
          <w:szCs w:val="24"/>
        </w:rPr>
        <w:t>不需要</w:t>
      </w:r>
      <w:r w:rsidRPr="000F0E18">
        <w:rPr>
          <w:rFonts w:ascii="宋体" w:hAnsi="宋体" w:cs="宋体" w:hint="eastAsia"/>
          <w:kern w:val="0"/>
          <w:sz w:val="24"/>
          <w:szCs w:val="24"/>
        </w:rPr>
        <w:t>召开基金份额持有人大会</w:t>
      </w:r>
      <w:r w:rsidR="005A6944">
        <w:rPr>
          <w:rFonts w:ascii="宋体" w:hAnsi="宋体" w:cs="宋体" w:hint="eastAsia"/>
          <w:kern w:val="0"/>
          <w:sz w:val="24"/>
          <w:szCs w:val="24"/>
        </w:rPr>
        <w:t>进行表决</w:t>
      </w:r>
      <w:r w:rsidRPr="000F0E18">
        <w:rPr>
          <w:rFonts w:ascii="宋体" w:hAnsi="宋体" w:cs="宋体" w:hint="eastAsia"/>
          <w:kern w:val="0"/>
          <w:sz w:val="24"/>
          <w:szCs w:val="24"/>
        </w:rPr>
        <w:t>。截至</w:t>
      </w:r>
      <w:r w:rsidR="001E67F8">
        <w:rPr>
          <w:rFonts w:ascii="宋体" w:hAnsi="宋体" w:cs="宋体"/>
          <w:kern w:val="0"/>
          <w:sz w:val="24"/>
          <w:szCs w:val="24"/>
        </w:rPr>
        <w:t>2026</w:t>
      </w:r>
      <w:r w:rsidR="00F77735" w:rsidRPr="000F0E18">
        <w:rPr>
          <w:rFonts w:ascii="宋体" w:hAnsi="宋体" w:cs="宋体" w:hint="eastAsia"/>
          <w:kern w:val="0"/>
          <w:sz w:val="24"/>
          <w:szCs w:val="24"/>
        </w:rPr>
        <w:t>年</w:t>
      </w:r>
      <w:r w:rsidR="001E67F8">
        <w:rPr>
          <w:rFonts w:ascii="宋体" w:hAnsi="宋体" w:cs="宋体"/>
          <w:kern w:val="0"/>
          <w:sz w:val="24"/>
          <w:szCs w:val="24"/>
        </w:rPr>
        <w:t>1</w:t>
      </w:r>
      <w:r w:rsidRPr="000F0E18">
        <w:rPr>
          <w:rFonts w:ascii="宋体" w:hAnsi="宋体" w:cs="宋体" w:hint="eastAsia"/>
          <w:kern w:val="0"/>
          <w:sz w:val="24"/>
          <w:szCs w:val="24"/>
        </w:rPr>
        <w:t>月</w:t>
      </w:r>
      <w:r w:rsidR="001E67F8">
        <w:rPr>
          <w:rFonts w:ascii="宋体" w:hAnsi="宋体" w:cs="宋体"/>
          <w:kern w:val="0"/>
          <w:sz w:val="24"/>
          <w:szCs w:val="24"/>
        </w:rPr>
        <w:t>12</w:t>
      </w:r>
      <w:r w:rsidRPr="000F0E18">
        <w:rPr>
          <w:rFonts w:ascii="宋体" w:hAnsi="宋体" w:cs="宋体" w:hint="eastAsia"/>
          <w:kern w:val="0"/>
          <w:sz w:val="24"/>
          <w:szCs w:val="24"/>
        </w:rPr>
        <w:t>日，本基金已连续</w:t>
      </w:r>
      <w:r w:rsidR="00F77735">
        <w:rPr>
          <w:rFonts w:ascii="宋体" w:hAnsi="宋体" w:cs="宋体"/>
          <w:kern w:val="0"/>
          <w:sz w:val="24"/>
          <w:szCs w:val="24"/>
        </w:rPr>
        <w:t>30</w:t>
      </w:r>
      <w:r w:rsidRPr="000F0E18">
        <w:rPr>
          <w:rFonts w:ascii="宋体" w:hAnsi="宋体" w:cs="宋体" w:hint="eastAsia"/>
          <w:kern w:val="0"/>
          <w:sz w:val="24"/>
          <w:szCs w:val="24"/>
        </w:rPr>
        <w:t>个工作日基金资产净值低于5000万元，特此提示。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二、其他需要提示的事项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2、投资人欲了解本基金的详细情况，请认真阅读本基金《基金合同》及《招募说明书》等法律文件。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3、投资人可登录本公司网站（www.yhfund.com.cn）查阅《基金合同》全文或拨打客户服务电话（400-678-3333）咨询相关事宜。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4、本基金管理人承诺以恪尽职守、诚实信用、谨慎勤勉的原则管理和运用基金资产，但不保证本基金一定盈利，也不保证最低收益。投资人应当认真阅读基金合同、基金招募说明书等信息披露文件，自主判断基金的投资价值，自主做出投资决策，自行承担投资风险。本基金的过往业绩及其净值高低并不预示其未来业绩表现。本基金管理人所管理的其他基金的业绩并不构成对本基金业绩表现</w:t>
      </w:r>
      <w:r w:rsidRPr="000F0E18">
        <w:rPr>
          <w:rFonts w:ascii="宋体" w:hAnsi="宋体" w:cs="宋体" w:hint="eastAsia"/>
          <w:kern w:val="0"/>
          <w:sz w:val="24"/>
          <w:szCs w:val="24"/>
        </w:rPr>
        <w:lastRenderedPageBreak/>
        <w:t>的保证。本基金管理人提醒投资人基金投资的“买者自负”原则，在做出投资决策后，基金运营状况与基金净值变化引致的投资风险，由投资人自行负担。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</w:p>
    <w:p w:rsidR="0070523C" w:rsidRPr="000F0E18" w:rsidRDefault="0070523C" w:rsidP="000F0E18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银华基金管理股份有限公司</w:t>
      </w:r>
    </w:p>
    <w:p w:rsidR="0070523C" w:rsidRPr="00157B51" w:rsidRDefault="001E67F8" w:rsidP="000F0E18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2026</w:t>
      </w:r>
      <w:r w:rsidR="00F77735" w:rsidRPr="000F0E18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</w:t>
      </w:r>
      <w:r w:rsidR="0070523C" w:rsidRPr="000F0E18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14</w:t>
      </w:r>
      <w:r w:rsidR="0070523C" w:rsidRPr="000F0E18"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70523C" w:rsidRPr="00157B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2F" w:rsidRDefault="00EE042F" w:rsidP="00D0115F">
      <w:r>
        <w:separator/>
      </w:r>
    </w:p>
  </w:endnote>
  <w:endnote w:type="continuationSeparator" w:id="0">
    <w:p w:rsidR="00EE042F" w:rsidRDefault="00EE042F" w:rsidP="00D0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2F" w:rsidRDefault="00EE042F" w:rsidP="00D0115F">
      <w:r>
        <w:separator/>
      </w:r>
    </w:p>
  </w:footnote>
  <w:footnote w:type="continuationSeparator" w:id="0">
    <w:p w:rsidR="00EE042F" w:rsidRDefault="00EE042F" w:rsidP="00D0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814"/>
    <w:rsid w:val="00050B9C"/>
    <w:rsid w:val="00061B2F"/>
    <w:rsid w:val="000D6B18"/>
    <w:rsid w:val="000F0E18"/>
    <w:rsid w:val="000F4879"/>
    <w:rsid w:val="001100A8"/>
    <w:rsid w:val="001149AE"/>
    <w:rsid w:val="0012122E"/>
    <w:rsid w:val="001423B8"/>
    <w:rsid w:val="00144B88"/>
    <w:rsid w:val="00157B51"/>
    <w:rsid w:val="0016170F"/>
    <w:rsid w:val="001964BC"/>
    <w:rsid w:val="001A1580"/>
    <w:rsid w:val="001A6058"/>
    <w:rsid w:val="001E67F8"/>
    <w:rsid w:val="00206F26"/>
    <w:rsid w:val="002169F0"/>
    <w:rsid w:val="00297DC7"/>
    <w:rsid w:val="002C3AC6"/>
    <w:rsid w:val="002F0377"/>
    <w:rsid w:val="00354D68"/>
    <w:rsid w:val="00371261"/>
    <w:rsid w:val="00377BAF"/>
    <w:rsid w:val="003B2768"/>
    <w:rsid w:val="003C6F54"/>
    <w:rsid w:val="00425AAF"/>
    <w:rsid w:val="004306C3"/>
    <w:rsid w:val="0044726C"/>
    <w:rsid w:val="004649CB"/>
    <w:rsid w:val="004E49AD"/>
    <w:rsid w:val="004F10E1"/>
    <w:rsid w:val="004F7814"/>
    <w:rsid w:val="00537295"/>
    <w:rsid w:val="0054724F"/>
    <w:rsid w:val="00583CA9"/>
    <w:rsid w:val="005A6944"/>
    <w:rsid w:val="00636FC6"/>
    <w:rsid w:val="0064509F"/>
    <w:rsid w:val="0070523C"/>
    <w:rsid w:val="007A3055"/>
    <w:rsid w:val="008E4AED"/>
    <w:rsid w:val="00963E82"/>
    <w:rsid w:val="00970B15"/>
    <w:rsid w:val="009826E0"/>
    <w:rsid w:val="009D6003"/>
    <w:rsid w:val="009E2331"/>
    <w:rsid w:val="009F7D30"/>
    <w:rsid w:val="00A57B0D"/>
    <w:rsid w:val="00B50755"/>
    <w:rsid w:val="00B81B11"/>
    <w:rsid w:val="00B906E7"/>
    <w:rsid w:val="00BC4B74"/>
    <w:rsid w:val="00C403F3"/>
    <w:rsid w:val="00C87157"/>
    <w:rsid w:val="00D0115F"/>
    <w:rsid w:val="00D40B55"/>
    <w:rsid w:val="00DD150E"/>
    <w:rsid w:val="00E019A0"/>
    <w:rsid w:val="00E61CF6"/>
    <w:rsid w:val="00E61F83"/>
    <w:rsid w:val="00E771F0"/>
    <w:rsid w:val="00EE042F"/>
    <w:rsid w:val="00EE04BC"/>
    <w:rsid w:val="00F32360"/>
    <w:rsid w:val="00F3347F"/>
    <w:rsid w:val="00F47646"/>
    <w:rsid w:val="00F56042"/>
    <w:rsid w:val="00F6518F"/>
    <w:rsid w:val="00F661EC"/>
    <w:rsid w:val="00F71DB3"/>
    <w:rsid w:val="00F7571F"/>
    <w:rsid w:val="00F77452"/>
    <w:rsid w:val="00F77731"/>
    <w:rsid w:val="00F77735"/>
    <w:rsid w:val="00FC7C40"/>
    <w:rsid w:val="00FE1887"/>
    <w:rsid w:val="21FA20DA"/>
    <w:rsid w:val="2A775FB6"/>
    <w:rsid w:val="538A165F"/>
    <w:rsid w:val="5BAF01C3"/>
    <w:rsid w:val="626F4B90"/>
    <w:rsid w:val="745D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Balloon Text"/>
    <w:basedOn w:val="a"/>
    <w:link w:val="Char1"/>
    <w:uiPriority w:val="99"/>
    <w:semiHidden/>
    <w:unhideWhenUsed/>
    <w:rsid w:val="000F0E18"/>
    <w:rPr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0F0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4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duxiao</dc:creator>
  <cp:keywords/>
  <cp:lastModifiedBy>ZHONGM</cp:lastModifiedBy>
  <cp:revision>2</cp:revision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