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1"/>
        <w:placeholder>
          <w:docPart w:val="DefaultPlaceholder_-1854013440"/>
        </w:placeholder>
      </w:sdtPr>
      <w:sdtEndPr>
        <w:rPr>
          <w:rFonts w:ascii="宋体" w:hAnsi="宋体"/>
          <w:sz w:val="28"/>
          <w:szCs w:val="28"/>
        </w:rPr>
      </w:sdtEndPr>
      <w:sdtContent>
        <w:p w:rsidR="000D7A16" w:rsidRDefault="009B7BAE">
          <w:pPr>
            <w:spacing w:line="360" w:lineRule="auto"/>
            <w:jc w:val="center"/>
            <w:rPr>
              <w:rFonts w:ascii="宋体" w:hAnsi="宋体"/>
              <w:b/>
              <w:bCs/>
              <w:color w:val="000000"/>
              <w:sz w:val="28"/>
              <w:szCs w:val="28"/>
            </w:rPr>
          </w:pPr>
          <w:r>
            <w:rPr>
              <w:rFonts w:ascii="宋体" w:hAnsi="宋体" w:hint="eastAsia"/>
              <w:b/>
              <w:bCs/>
              <w:color w:val="000000"/>
              <w:sz w:val="28"/>
              <w:szCs w:val="28"/>
            </w:rPr>
            <w:t>中欧新趋势混合型证券投资基金</w:t>
          </w:r>
          <w:r>
            <w:rPr>
              <w:rFonts w:ascii="宋体" w:hAnsi="宋体" w:hint="eastAsia"/>
              <w:b/>
              <w:bCs/>
              <w:color w:val="000000"/>
              <w:sz w:val="28"/>
              <w:szCs w:val="28"/>
            </w:rPr>
            <w:t>(LOF)</w:t>
          </w:r>
          <w:r>
            <w:rPr>
              <w:rFonts w:ascii="宋体" w:hAnsi="宋体" w:hint="eastAsia"/>
              <w:b/>
              <w:bCs/>
              <w:color w:val="000000"/>
              <w:sz w:val="28"/>
              <w:szCs w:val="28"/>
            </w:rPr>
            <w:t>分红公告</w:t>
          </w:r>
        </w:p>
      </w:sdtContent>
    </w:sdt>
    <w:p w:rsidR="000D7A16" w:rsidRDefault="009B7BAE">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97905192"/>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1</w:t>
          </w:r>
          <w:r>
            <w:rPr>
              <w:rFonts w:ascii="宋体" w:hAnsi="宋体" w:cs="宋体"/>
              <w:b/>
              <w:sz w:val="24"/>
            </w:rPr>
            <w:t>月</w:t>
          </w:r>
          <w:r>
            <w:rPr>
              <w:rFonts w:ascii="宋体" w:hAnsi="宋体" w:cs="宋体"/>
              <w:b/>
              <w:sz w:val="24"/>
            </w:rPr>
            <w:t>13</w:t>
          </w:r>
          <w:r>
            <w:rPr>
              <w:rFonts w:ascii="宋体" w:hAnsi="宋体" w:cs="宋体"/>
              <w:b/>
              <w:sz w:val="24"/>
            </w:rPr>
            <w:t>日</w:t>
          </w:r>
        </w:sdtContent>
      </w:sdt>
    </w:p>
    <w:bookmarkEnd w:id="1"/>
    <w:p w:rsidR="000D7A16" w:rsidRDefault="009B7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774"/>
        <w:gridCol w:w="1578"/>
        <w:gridCol w:w="1578"/>
        <w:gridCol w:w="1578"/>
        <w:gridCol w:w="1701"/>
      </w:tblGrid>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基金名称</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170536742"/>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中欧新趋势混合型证券投资基金</w:t>
                </w:r>
                <w:r>
                  <w:rPr>
                    <w:rFonts w:ascii="宋体" w:hAnsi="宋体" w:hint="eastAsia"/>
                    <w:color w:val="000000"/>
                    <w:sz w:val="24"/>
                  </w:rPr>
                  <w:t>(LOF)</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基金简称</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196663265"/>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中欧新趋势混合（</w:t>
                </w:r>
                <w:r>
                  <w:rPr>
                    <w:rFonts w:ascii="宋体" w:hAnsi="宋体" w:hint="eastAsia"/>
                    <w:color w:val="000000"/>
                    <w:sz w:val="24"/>
                  </w:rPr>
                  <w:t>LOF</w:t>
                </w:r>
                <w:r>
                  <w:rPr>
                    <w:rFonts w:ascii="宋体" w:hAnsi="宋体" w:hint="eastAsia"/>
                    <w:color w:val="000000"/>
                    <w:sz w:val="24"/>
                  </w:rPr>
                  <w:t>）</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基金主代码</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840125837"/>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166001</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基金合同生效日</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1633828462"/>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2007</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29</w:t>
                </w:r>
                <w:r>
                  <w:rPr>
                    <w:rFonts w:ascii="宋体" w:hAnsi="宋体" w:hint="eastAsia"/>
                    <w:color w:val="000000"/>
                    <w:sz w:val="24"/>
                  </w:rPr>
                  <w:t>日</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基金管理人名称</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1459693112"/>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中欧基金管理有限公司</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基金托管人名称</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1921755070"/>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兴业银行股份有限公司</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公告依据</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514464728"/>
              <w:placeholder>
                <w:docPart w:val="DefaultPlaceholder_-1854013440"/>
              </w:placeholder>
            </w:sdtPr>
            <w:sdtContent>
              <w:p w:rsidR="000D7A16" w:rsidRDefault="009B7BAE">
                <w:pPr>
                  <w:rPr>
                    <w:sz w:val="24"/>
                  </w:rPr>
                </w:pPr>
                <w:r>
                  <w:rPr>
                    <w:rFonts w:ascii="宋体" w:hAnsi="宋体" w:hint="eastAsia"/>
                    <w:color w:val="000000"/>
                    <w:sz w:val="24"/>
                  </w:rPr>
                  <w:t>《中华人民共和国证券投资基金法》、《公开募集证券投资基金运作管理办法》等法律法规以及《中欧新趋势混合型证券投资基金</w:t>
                </w:r>
                <w:r>
                  <w:rPr>
                    <w:rFonts w:ascii="宋体" w:hAnsi="宋体" w:hint="eastAsia"/>
                    <w:color w:val="000000"/>
                    <w:sz w:val="24"/>
                  </w:rPr>
                  <w:t>(LOF)</w:t>
                </w:r>
                <w:r>
                  <w:rPr>
                    <w:rFonts w:ascii="宋体" w:hAnsi="宋体" w:hint="eastAsia"/>
                    <w:color w:val="000000"/>
                    <w:sz w:val="24"/>
                  </w:rPr>
                  <w:t>基金合同》、《中欧新趋势混合型证券投资基金</w:t>
                </w:r>
                <w:r>
                  <w:rPr>
                    <w:rFonts w:ascii="宋体" w:hAnsi="宋体" w:hint="eastAsia"/>
                    <w:color w:val="000000"/>
                    <w:sz w:val="24"/>
                  </w:rPr>
                  <w:t>(LOF)</w:t>
                </w:r>
                <w:r>
                  <w:rPr>
                    <w:rFonts w:ascii="宋体" w:hAnsi="宋体" w:hint="eastAsia"/>
                    <w:color w:val="000000"/>
                    <w:sz w:val="24"/>
                  </w:rPr>
                  <w:t>招募说明书》</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收益分配基准日</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591312133"/>
              <w:placeholder>
                <w:docPart w:val="DefaultPlaceholder_-1854013440"/>
              </w:placeholder>
            </w:sdtPr>
            <w:sdtContent>
              <w:p w:rsidR="000D7A16" w:rsidRDefault="009B7BAE">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有关年度分红次数的说明</w:t>
            </w:r>
          </w:p>
        </w:tc>
        <w:tc>
          <w:tcPr>
            <w:tcW w:w="6435" w:type="dxa"/>
            <w:gridSpan w:val="4"/>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916927450"/>
              <w:placeholder>
                <w:docPart w:val="DefaultPlaceholder_-1854013440"/>
              </w:placeholder>
            </w:sdtPr>
            <w:sdtContent>
              <w:p w:rsidR="000D7A16" w:rsidRDefault="009B7BAE">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年度的第一次分红</w:t>
                </w:r>
              </w:p>
            </w:sdtContent>
          </w:sdt>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sz w:val="24"/>
              </w:rPr>
            </w:pPr>
            <w:bookmarkStart w:id="2" w:name="order_data"/>
            <w:r>
              <w:rPr>
                <w:rFonts w:hint="eastAsia"/>
                <w:sz w:val="24"/>
              </w:rPr>
              <w:t>下属分类基金的基金简称</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FF0000"/>
                <w:sz w:val="24"/>
              </w:rPr>
            </w:pPr>
            <w:r>
              <w:rPr>
                <w:rFonts w:ascii="宋体" w:hAnsi="宋体" w:hint="eastAsia"/>
                <w:color w:val="000000"/>
                <w:sz w:val="24"/>
              </w:rPr>
              <w:t>中欧新趋势混合（</w:t>
            </w:r>
            <w:r>
              <w:rPr>
                <w:rFonts w:ascii="宋体" w:hAnsi="宋体" w:hint="eastAsia"/>
                <w:color w:val="000000"/>
                <w:sz w:val="24"/>
              </w:rPr>
              <w:t>LOF</w:t>
            </w:r>
            <w:r>
              <w:rPr>
                <w:rFonts w:ascii="宋体" w:hAnsi="宋体" w:hint="eastAsia"/>
                <w:color w:val="000000"/>
                <w:sz w:val="24"/>
              </w:rPr>
              <w:t>）</w:t>
            </w:r>
            <w:r>
              <w:rPr>
                <w:rFonts w:ascii="宋体" w:hAnsi="宋体" w:hint="eastAsia"/>
                <w:color w:val="000000"/>
                <w:sz w:val="24"/>
              </w:rPr>
              <w:t>A(</w:t>
            </w:r>
            <w:r>
              <w:rPr>
                <w:rFonts w:ascii="宋体" w:hAnsi="宋体" w:hint="eastAsia"/>
                <w:color w:val="000000"/>
                <w:sz w:val="24"/>
              </w:rPr>
              <w:t>场内简称：中欧趋势</w:t>
            </w:r>
            <w:r>
              <w:rPr>
                <w:rFonts w:ascii="宋体" w:hAnsi="宋体" w:hint="eastAsia"/>
                <w:color w:val="000000"/>
                <w:sz w:val="24"/>
              </w:rPr>
              <w:t>LOF)</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FF0000"/>
                <w:sz w:val="24"/>
              </w:rPr>
            </w:pPr>
            <w:r>
              <w:rPr>
                <w:rFonts w:ascii="宋体" w:hAnsi="宋体" w:hint="eastAsia"/>
                <w:color w:val="000000"/>
                <w:sz w:val="24"/>
              </w:rPr>
              <w:t>中欧新趋势混合（</w:t>
            </w:r>
            <w:r>
              <w:rPr>
                <w:rFonts w:ascii="宋体" w:hAnsi="宋体" w:hint="eastAsia"/>
                <w:color w:val="000000"/>
                <w:sz w:val="24"/>
              </w:rPr>
              <w:t>LOF</w:t>
            </w:r>
            <w:r>
              <w:rPr>
                <w:rFonts w:ascii="宋体" w:hAnsi="宋体" w:hint="eastAsia"/>
                <w:color w:val="000000"/>
                <w:sz w:val="24"/>
              </w:rPr>
              <w:t>）</w:t>
            </w:r>
            <w:r>
              <w:rPr>
                <w:rFonts w:ascii="宋体" w:hAnsi="宋体" w:hint="eastAsia"/>
                <w:color w:val="000000"/>
                <w:sz w:val="24"/>
              </w:rPr>
              <w:t>C</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FF0000"/>
                <w:sz w:val="24"/>
              </w:rPr>
            </w:pPr>
            <w:r>
              <w:rPr>
                <w:rFonts w:ascii="宋体" w:hAnsi="宋体" w:hint="eastAsia"/>
                <w:color w:val="000000"/>
                <w:sz w:val="24"/>
              </w:rPr>
              <w:t>中欧新趋势混合（</w:t>
            </w:r>
            <w:r>
              <w:rPr>
                <w:rFonts w:ascii="宋体" w:hAnsi="宋体" w:hint="eastAsia"/>
                <w:color w:val="000000"/>
                <w:sz w:val="24"/>
              </w:rPr>
              <w:t>LOF</w:t>
            </w:r>
            <w:r>
              <w:rPr>
                <w:rFonts w:ascii="宋体" w:hAnsi="宋体" w:hint="eastAsia"/>
                <w:color w:val="000000"/>
                <w:sz w:val="24"/>
              </w:rPr>
              <w:t>）</w:t>
            </w:r>
            <w:r>
              <w:rPr>
                <w:rFonts w:ascii="宋体" w:hAnsi="宋体" w:hint="eastAsia"/>
                <w:color w:val="000000"/>
                <w:sz w:val="24"/>
              </w:rPr>
              <w:t>E</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FF0000"/>
                <w:sz w:val="24"/>
              </w:rPr>
            </w:pPr>
            <w:r>
              <w:rPr>
                <w:rFonts w:ascii="宋体" w:hAnsi="宋体" w:hint="eastAsia"/>
                <w:color w:val="000000"/>
                <w:sz w:val="24"/>
              </w:rPr>
              <w:t>中欧新趋势混合（</w:t>
            </w:r>
            <w:r>
              <w:rPr>
                <w:rFonts w:ascii="宋体" w:hAnsi="宋体" w:hint="eastAsia"/>
                <w:color w:val="000000"/>
                <w:sz w:val="24"/>
              </w:rPr>
              <w:t>LOF</w:t>
            </w:r>
            <w:r>
              <w:rPr>
                <w:rFonts w:ascii="宋体" w:hAnsi="宋体" w:hint="eastAsia"/>
                <w:color w:val="000000"/>
                <w:sz w:val="24"/>
              </w:rPr>
              <w:t>）</w:t>
            </w:r>
            <w:r>
              <w:rPr>
                <w:rFonts w:ascii="宋体" w:hAnsi="宋体" w:hint="eastAsia"/>
                <w:color w:val="000000"/>
                <w:sz w:val="24"/>
              </w:rPr>
              <w:t>X</w:t>
            </w:r>
          </w:p>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sz w:val="24"/>
              </w:rPr>
            </w:pPr>
            <w:r>
              <w:rPr>
                <w:rFonts w:hint="eastAsia"/>
                <w:sz w:val="24"/>
              </w:rPr>
              <w:t>下属分类基金的交易代码</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166001</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005787</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001881</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011264</w:t>
            </w:r>
          </w:p>
        </w:tc>
      </w:tr>
      <w:tr w:rsidR="000D7A16">
        <w:trPr>
          <w:trHeight w:val="1340"/>
          <w:jc w:val="center"/>
        </w:trPr>
        <w:tc>
          <w:tcPr>
            <w:tcW w:w="1271" w:type="dxa"/>
            <w:vMerge w:val="restart"/>
            <w:tcBorders>
              <w:top w:val="single" w:sz="4" w:space="0" w:color="auto"/>
              <w:left w:val="single" w:sz="4" w:space="0" w:color="auto"/>
              <w:bottom w:val="nil"/>
              <w:right w:val="single" w:sz="4" w:space="0" w:color="auto"/>
            </w:tcBorders>
            <w:vAlign w:val="center"/>
          </w:tcPr>
          <w:p w:rsidR="000D7A16" w:rsidRDefault="009B7BAE">
            <w:pPr>
              <w:jc w:val="center"/>
              <w:rPr>
                <w:sz w:val="24"/>
              </w:rPr>
            </w:pPr>
            <w:r>
              <w:rPr>
                <w:rFonts w:ascii="宋体" w:hAnsi="宋体" w:hint="eastAsia"/>
                <w:sz w:val="24"/>
              </w:rPr>
              <w:t>截止基准日下属分级基金的相关指标</w:t>
            </w:r>
          </w:p>
        </w:tc>
        <w:tc>
          <w:tcPr>
            <w:tcW w:w="1774" w:type="dxa"/>
            <w:tcBorders>
              <w:top w:val="single" w:sz="4" w:space="0" w:color="auto"/>
              <w:left w:val="single" w:sz="4" w:space="0" w:color="auto"/>
              <w:bottom w:val="single" w:sz="4" w:space="0" w:color="auto"/>
              <w:right w:val="single" w:sz="4" w:space="0" w:color="auto"/>
            </w:tcBorders>
            <w:vAlign w:val="center"/>
          </w:tcPr>
          <w:p w:rsidR="000D7A16" w:rsidRDefault="009B7BAE">
            <w:pPr>
              <w:rPr>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1.8059</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1.7432</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1.9597</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1.2556</w:t>
            </w:r>
          </w:p>
        </w:tc>
      </w:tr>
      <w:tr w:rsidR="000D7A16">
        <w:trPr>
          <w:jc w:val="center"/>
        </w:trPr>
        <w:tc>
          <w:tcPr>
            <w:tcW w:w="1271" w:type="dxa"/>
            <w:vMerge/>
            <w:tcBorders>
              <w:top w:val="single" w:sz="4" w:space="0" w:color="auto"/>
              <w:left w:val="single" w:sz="4" w:space="0" w:color="auto"/>
              <w:bottom w:val="nil"/>
              <w:right w:val="single" w:sz="4" w:space="0" w:color="auto"/>
            </w:tcBorders>
            <w:vAlign w:val="center"/>
          </w:tcPr>
          <w:p w:rsidR="000D7A16" w:rsidRDefault="000D7A16">
            <w:pPr>
              <w:widowControl/>
              <w:jc w:val="left"/>
              <w:rPr>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hint="eastAsia"/>
                <w:sz w:val="24"/>
              </w:rPr>
              <w:t>基准日下属分类基金可供分配利润</w:t>
            </w:r>
            <w:r>
              <w:rPr>
                <w:rFonts w:ascii="宋体" w:hAnsi="宋体" w:hint="eastAsia"/>
                <w:sz w:val="24"/>
              </w:rPr>
              <w:t>（单位：人民币元</w:t>
            </w:r>
            <w:r>
              <w:rPr>
                <w:rFonts w:ascii="宋体" w:hAnsi="宋体" w:hint="eastAsia"/>
                <w:sz w:val="24"/>
              </w:rPr>
              <w:t xml:space="preserve"> </w:t>
            </w:r>
            <w:r>
              <w:rPr>
                <w:rFonts w:ascii="宋体" w:hAnsi="宋体" w:hint="eastAsia"/>
                <w:sz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757,012,044.41</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86,175,761.92</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99,961,420.24</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324,999,723.43</w:t>
            </w:r>
          </w:p>
        </w:tc>
      </w:tr>
      <w:tr w:rsidR="000D7A16">
        <w:trPr>
          <w:trHeight w:val="116"/>
          <w:jc w:val="center"/>
        </w:trPr>
        <w:tc>
          <w:tcPr>
            <w:tcW w:w="1271" w:type="dxa"/>
            <w:vMerge/>
            <w:tcBorders>
              <w:top w:val="single" w:sz="4" w:space="0" w:color="auto"/>
              <w:left w:val="single" w:sz="4" w:space="0" w:color="auto"/>
              <w:bottom w:val="nil"/>
              <w:right w:val="single" w:sz="4" w:space="0" w:color="auto"/>
            </w:tcBorders>
            <w:vAlign w:val="center"/>
          </w:tcPr>
          <w:p w:rsidR="000D7A16" w:rsidRDefault="009B7BAE">
            <w:pPr>
              <w:widowControl/>
              <w:jc w:val="left"/>
              <w:rPr>
                <w:sz w:val="24"/>
              </w:rPr>
            </w:pPr>
            <w:r>
              <w:rPr>
                <w:rFonts w:hint="eastAsia"/>
                <w:sz w:val="24"/>
              </w:rPr>
              <w:t xml:space="preserve"> 162,499,861.72 </w:t>
            </w:r>
          </w:p>
          <w:p w:rsidR="000D7A16" w:rsidRDefault="000D7A16">
            <w:pPr>
              <w:widowControl/>
              <w:jc w:val="left"/>
              <w:rPr>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0D7A16" w:rsidRDefault="009B7BAE">
            <w:pPr>
              <w:rPr>
                <w:sz w:val="24"/>
              </w:rPr>
            </w:pPr>
            <w:r>
              <w:rPr>
                <w:rFonts w:hint="eastAsia"/>
                <w:color w:val="000000"/>
                <w:sz w:val="24"/>
              </w:rPr>
              <w:t>截止基准日按照基金合同约定的分红比例计算的下属分类基金应分配金额（单位：人民币元</w:t>
            </w:r>
            <w:r>
              <w:rPr>
                <w:rFonts w:hint="eastAsia"/>
                <w:color w:val="000000"/>
                <w:sz w:val="24"/>
              </w:rPr>
              <w:t xml:space="preserve"> </w:t>
            </w:r>
            <w:r>
              <w:rPr>
                <w:rFonts w:hint="eastAsia"/>
                <w:color w:val="000000"/>
                <w:sz w:val="24"/>
              </w:rPr>
              <w:t>）</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378,506,022.21</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43,087,880.96</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49,980,710.12</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162,499,861.72</w:t>
            </w:r>
          </w:p>
        </w:tc>
      </w:tr>
      <w:tr w:rsidR="000D7A16">
        <w:trPr>
          <w:jc w:val="center"/>
        </w:trPr>
        <w:tc>
          <w:tcPr>
            <w:tcW w:w="3045" w:type="dxa"/>
            <w:gridSpan w:val="2"/>
            <w:tcBorders>
              <w:top w:val="single" w:sz="4" w:space="0" w:color="auto"/>
              <w:left w:val="single" w:sz="4" w:space="0" w:color="auto"/>
              <w:bottom w:val="single" w:sz="4" w:space="0" w:color="auto"/>
              <w:right w:val="single" w:sz="4" w:space="0" w:color="auto"/>
            </w:tcBorders>
            <w:vAlign w:val="center"/>
          </w:tcPr>
          <w:p w:rsidR="000D7A16" w:rsidRDefault="009B7BAE">
            <w:pPr>
              <w:rPr>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2.282</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2.001</w:t>
            </w:r>
          </w:p>
        </w:tc>
        <w:tc>
          <w:tcPr>
            <w:tcW w:w="1578"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2.430</w:t>
            </w:r>
          </w:p>
        </w:tc>
        <w:tc>
          <w:tcPr>
            <w:tcW w:w="1701" w:type="dxa"/>
            <w:tcBorders>
              <w:top w:val="single" w:sz="4" w:space="0" w:color="auto"/>
              <w:left w:val="single" w:sz="4" w:space="0" w:color="auto"/>
              <w:bottom w:val="single" w:sz="4" w:space="0" w:color="auto"/>
              <w:right w:val="single" w:sz="4" w:space="0" w:color="auto"/>
            </w:tcBorders>
            <w:vAlign w:val="center"/>
          </w:tcPr>
          <w:p w:rsidR="000D7A16" w:rsidRDefault="009B7BAE">
            <w:pPr>
              <w:jc w:val="left"/>
              <w:rPr>
                <w:rFonts w:ascii="宋体" w:hAnsi="宋体"/>
                <w:color w:val="000000"/>
                <w:sz w:val="24"/>
              </w:rPr>
            </w:pPr>
            <w:r>
              <w:rPr>
                <w:rFonts w:ascii="宋体" w:hAnsi="宋体" w:hint="eastAsia"/>
                <w:color w:val="000000"/>
                <w:sz w:val="24"/>
              </w:rPr>
              <w:t>0.433</w:t>
            </w:r>
          </w:p>
        </w:tc>
      </w:tr>
    </w:tbl>
    <w:sdt>
      <w:sdtPr>
        <w:rPr>
          <w:rFonts w:ascii="宋体" w:hAnsi="宋体" w:hint="eastAsia"/>
          <w:bCs/>
          <w:color w:val="000000"/>
          <w:sz w:val="18"/>
          <w:szCs w:val="18"/>
        </w:rPr>
        <w:id w:val="1013806006"/>
        <w:placeholder>
          <w:docPart w:val="DefaultPlaceholder_-1854013440"/>
        </w:placeholder>
      </w:sdtPr>
      <w:sdtContent>
        <w:p w:rsidR="000D7A16" w:rsidRDefault="009B7BAE">
          <w:pPr>
            <w:rPr>
              <w:rFonts w:ascii="宋体" w:hAnsi="宋体"/>
              <w:bCs/>
              <w:color w:val="000000"/>
              <w:sz w:val="18"/>
              <w:szCs w:val="18"/>
            </w:rPr>
          </w:pPr>
          <w:r>
            <w:rPr>
              <w:rFonts w:ascii="宋体" w:hAnsi="宋体" w:hint="eastAsia"/>
              <w:bCs/>
              <w:color w:val="000000"/>
              <w:sz w:val="18"/>
              <w:szCs w:val="18"/>
            </w:rPr>
            <w:t>注：</w:t>
          </w:r>
          <w:r>
            <w:rPr>
              <w:rFonts w:ascii="宋体" w:hAnsi="宋体" w:hint="eastAsia"/>
              <w:bCs/>
              <w:color w:val="000000"/>
              <w:sz w:val="18"/>
              <w:szCs w:val="18"/>
            </w:rPr>
            <w:t>1</w:t>
          </w:r>
          <w:r>
            <w:rPr>
              <w:rFonts w:ascii="宋体" w:hAnsi="宋体" w:hint="eastAsia"/>
              <w:bCs/>
              <w:color w:val="000000"/>
              <w:sz w:val="18"/>
              <w:szCs w:val="18"/>
            </w:rPr>
            <w:t>、根据本基金基金合同规定：在符合有关基金分红条件的前提下，本基金每年收益分配次数最多为</w:t>
          </w:r>
          <w:r>
            <w:rPr>
              <w:rFonts w:ascii="宋体" w:hAnsi="宋体" w:hint="eastAsia"/>
              <w:bCs/>
              <w:color w:val="000000"/>
              <w:sz w:val="18"/>
              <w:szCs w:val="18"/>
            </w:rPr>
            <w:t>4</w:t>
          </w:r>
          <w:r>
            <w:rPr>
              <w:rFonts w:ascii="宋体" w:hAnsi="宋体" w:hint="eastAsia"/>
              <w:bCs/>
              <w:color w:val="000000"/>
              <w:sz w:val="18"/>
              <w:szCs w:val="18"/>
            </w:rPr>
            <w:t>次，全年分配比例不低于该类基金份额年度可供分配收益的</w:t>
          </w:r>
          <w:r>
            <w:rPr>
              <w:rFonts w:ascii="宋体" w:hAnsi="宋体" w:hint="eastAsia"/>
              <w:bCs/>
              <w:color w:val="000000"/>
              <w:sz w:val="18"/>
              <w:szCs w:val="18"/>
            </w:rPr>
            <w:t>50%</w:t>
          </w:r>
          <w:r>
            <w:rPr>
              <w:rFonts w:ascii="宋体" w:hAnsi="宋体" w:hint="eastAsia"/>
              <w:bCs/>
              <w:color w:val="000000"/>
              <w:sz w:val="18"/>
              <w:szCs w:val="18"/>
            </w:rPr>
            <w:cr/>
            <w:t>2</w:t>
          </w:r>
          <w:r>
            <w:rPr>
              <w:rFonts w:ascii="宋体" w:hAnsi="宋体" w:hint="eastAsia"/>
              <w:bCs/>
              <w:color w:val="000000"/>
              <w:sz w:val="18"/>
              <w:szCs w:val="18"/>
            </w:rPr>
            <w:t>、截止本次基准日的应分配金额</w:t>
          </w:r>
          <w:r>
            <w:rPr>
              <w:rFonts w:ascii="宋体" w:hAnsi="宋体" w:hint="eastAsia"/>
              <w:bCs/>
              <w:color w:val="000000"/>
              <w:sz w:val="18"/>
              <w:szCs w:val="18"/>
            </w:rPr>
            <w:t>=</w:t>
          </w:r>
          <w:r>
            <w:rPr>
              <w:rFonts w:ascii="宋体" w:hAnsi="宋体" w:hint="eastAsia"/>
              <w:bCs/>
              <w:color w:val="000000"/>
              <w:sz w:val="18"/>
              <w:szCs w:val="18"/>
            </w:rPr>
            <w:t>基准日基金可供分配利润×</w:t>
          </w:r>
          <w:r>
            <w:rPr>
              <w:rFonts w:ascii="宋体" w:hAnsi="宋体" w:hint="eastAsia"/>
              <w:bCs/>
              <w:color w:val="000000"/>
              <w:sz w:val="18"/>
              <w:szCs w:val="18"/>
            </w:rPr>
            <w:t>50.00%</w:t>
          </w:r>
        </w:p>
      </w:sdtContent>
    </w:sdt>
    <w:bookmarkEnd w:id="2"/>
    <w:p w:rsidR="000D7A16" w:rsidRDefault="009B7BAE" w:rsidP="009B7BA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lastRenderedPageBreak/>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3263"/>
        <w:gridCol w:w="3263"/>
      </w:tblGrid>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834491717"/>
              <w:placeholder>
                <w:docPart w:val="DefaultPlaceholder_-1854013440"/>
              </w:placeholder>
            </w:sdtPr>
            <w:sdtContent>
              <w:p w:rsidR="000D7A16" w:rsidRDefault="009B7BAE">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p>
            </w:sdtContent>
          </w:sdt>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bCs/>
                <w:color w:val="000000"/>
                <w:sz w:val="24"/>
              </w:rPr>
            </w:pPr>
            <w:r>
              <w:rPr>
                <w:rFonts w:ascii="宋体" w:hAnsi="宋体" w:hint="eastAsia"/>
                <w:sz w:val="24"/>
              </w:rPr>
              <w:t>除息日</w:t>
            </w:r>
            <w:r>
              <w:rPr>
                <w:rFonts w:ascii="宋体" w:hAnsi="宋体" w:hint="eastAsia"/>
                <w:sz w:val="24"/>
              </w:rPr>
              <w:t xml:space="preserve"> </w:t>
            </w:r>
          </w:p>
        </w:tc>
        <w:tc>
          <w:tcPr>
            <w:tcW w:w="3263" w:type="dxa"/>
            <w:tcBorders>
              <w:top w:val="single" w:sz="4" w:space="0" w:color="auto"/>
              <w:left w:val="single" w:sz="4" w:space="0" w:color="auto"/>
              <w:bottom w:val="single" w:sz="4" w:space="0" w:color="auto"/>
              <w:right w:val="single" w:sz="4" w:space="0" w:color="auto"/>
            </w:tcBorders>
            <w:vAlign w:val="center"/>
          </w:tcPr>
          <w:p w:rsidR="000D7A16" w:rsidRDefault="000D7A16">
            <w:pPr>
              <w:rPr>
                <w:bCs/>
                <w:color w:val="000000"/>
                <w:sz w:val="24"/>
              </w:rPr>
            </w:pPr>
            <w:sdt>
              <w:sdtPr>
                <w:rPr>
                  <w:rFonts w:hint="eastAsia"/>
                  <w:bCs/>
                  <w:color w:val="000000"/>
                  <w:sz w:val="24"/>
                </w:rPr>
                <w:id w:val="1246073364"/>
                <w:placeholder>
                  <w:docPart w:val="DefaultPlaceholder_-1854013440"/>
                </w:placeholder>
              </w:sdtPr>
              <w:sdtContent>
                <w:r w:rsidR="009B7BAE">
                  <w:rPr>
                    <w:rFonts w:ascii="宋体" w:hAnsi="宋体" w:hint="eastAsia"/>
                    <w:color w:val="000000"/>
                    <w:sz w:val="24"/>
                  </w:rPr>
                  <w:t>2026</w:t>
                </w:r>
                <w:r w:rsidR="009B7BAE">
                  <w:rPr>
                    <w:rFonts w:ascii="宋体" w:hAnsi="宋体" w:hint="eastAsia"/>
                    <w:color w:val="000000"/>
                    <w:sz w:val="24"/>
                  </w:rPr>
                  <w:t>年</w:t>
                </w:r>
                <w:r w:rsidR="009B7BAE">
                  <w:rPr>
                    <w:rFonts w:ascii="宋体" w:hAnsi="宋体" w:hint="eastAsia"/>
                    <w:color w:val="000000"/>
                    <w:sz w:val="24"/>
                  </w:rPr>
                  <w:t>1</w:t>
                </w:r>
                <w:r w:rsidR="009B7BAE">
                  <w:rPr>
                    <w:rFonts w:ascii="宋体" w:hAnsi="宋体" w:hint="eastAsia"/>
                    <w:color w:val="000000"/>
                    <w:sz w:val="24"/>
                  </w:rPr>
                  <w:t>月</w:t>
                </w:r>
                <w:r w:rsidR="009B7BAE">
                  <w:rPr>
                    <w:rFonts w:ascii="宋体" w:hAnsi="宋体" w:hint="eastAsia"/>
                    <w:color w:val="000000"/>
                    <w:sz w:val="24"/>
                  </w:rPr>
                  <w:t>16</w:t>
                </w:r>
                <w:r w:rsidR="009B7BAE">
                  <w:rPr>
                    <w:rFonts w:ascii="宋体" w:hAnsi="宋体" w:hint="eastAsia"/>
                    <w:color w:val="000000"/>
                    <w:sz w:val="24"/>
                  </w:rPr>
                  <w:t>日</w:t>
                </w:r>
              </w:sdtContent>
            </w:sdt>
            <w:r w:rsidR="009B7BAE">
              <w:rPr>
                <w:rFonts w:hint="eastAsia"/>
                <w:bCs/>
                <w:color w:val="000000"/>
                <w:sz w:val="24"/>
              </w:rPr>
              <w:t>（场内）</w:t>
            </w:r>
          </w:p>
        </w:tc>
        <w:tc>
          <w:tcPr>
            <w:tcW w:w="3263" w:type="dxa"/>
            <w:tcBorders>
              <w:top w:val="single" w:sz="4" w:space="0" w:color="auto"/>
              <w:left w:val="single" w:sz="4" w:space="0" w:color="auto"/>
              <w:bottom w:val="single" w:sz="4" w:space="0" w:color="auto"/>
              <w:right w:val="single" w:sz="4" w:space="0" w:color="auto"/>
            </w:tcBorders>
            <w:vAlign w:val="center"/>
          </w:tcPr>
          <w:p w:rsidR="000D7A16" w:rsidRDefault="000D7A16">
            <w:pPr>
              <w:rPr>
                <w:bCs/>
                <w:color w:val="000000"/>
                <w:sz w:val="24"/>
              </w:rPr>
            </w:pPr>
            <w:sdt>
              <w:sdtPr>
                <w:rPr>
                  <w:rFonts w:hint="eastAsia"/>
                  <w:bCs/>
                  <w:color w:val="000000"/>
                  <w:sz w:val="24"/>
                </w:rPr>
                <w:id w:val="1871578110"/>
                <w:placeholder>
                  <w:docPart w:val="DefaultPlaceholder_-1854013440"/>
                </w:placeholder>
              </w:sdtPr>
              <w:sdtEndPr>
                <w:rPr>
                  <w:rFonts w:ascii="宋体" w:hAnsi="宋体"/>
                  <w:bCs w:val="0"/>
                </w:rPr>
              </w:sdtEndPr>
              <w:sdtContent>
                <w:r w:rsidR="009B7BAE">
                  <w:rPr>
                    <w:rFonts w:ascii="宋体" w:hAnsi="宋体" w:hint="eastAsia"/>
                    <w:color w:val="000000"/>
                    <w:sz w:val="24"/>
                  </w:rPr>
                  <w:t>2026</w:t>
                </w:r>
                <w:r w:rsidR="009B7BAE">
                  <w:rPr>
                    <w:rFonts w:ascii="宋体" w:hAnsi="宋体" w:hint="eastAsia"/>
                    <w:color w:val="000000"/>
                    <w:sz w:val="24"/>
                  </w:rPr>
                  <w:t>年</w:t>
                </w:r>
                <w:r w:rsidR="009B7BAE">
                  <w:rPr>
                    <w:rFonts w:ascii="宋体" w:hAnsi="宋体" w:hint="eastAsia"/>
                    <w:color w:val="000000"/>
                    <w:sz w:val="24"/>
                  </w:rPr>
                  <w:t>1</w:t>
                </w:r>
                <w:r w:rsidR="009B7BAE">
                  <w:rPr>
                    <w:rFonts w:ascii="宋体" w:hAnsi="宋体" w:hint="eastAsia"/>
                    <w:color w:val="000000"/>
                    <w:sz w:val="24"/>
                  </w:rPr>
                  <w:t>月</w:t>
                </w:r>
                <w:r w:rsidR="009B7BAE">
                  <w:rPr>
                    <w:rFonts w:ascii="宋体" w:hAnsi="宋体" w:hint="eastAsia"/>
                    <w:color w:val="000000"/>
                    <w:sz w:val="24"/>
                  </w:rPr>
                  <w:t>15</w:t>
                </w:r>
                <w:r w:rsidR="009B7BAE">
                  <w:rPr>
                    <w:rFonts w:ascii="宋体" w:hAnsi="宋体" w:hint="eastAsia"/>
                    <w:color w:val="000000"/>
                    <w:sz w:val="24"/>
                  </w:rPr>
                  <w:t>日</w:t>
                </w:r>
              </w:sdtContent>
            </w:sdt>
            <w:r w:rsidR="009B7BAE">
              <w:rPr>
                <w:rFonts w:ascii="宋体" w:hAnsi="宋体" w:hint="eastAsia"/>
                <w:color w:val="000000"/>
                <w:sz w:val="24"/>
              </w:rPr>
              <w:t>（场外）</w:t>
            </w:r>
          </w:p>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eastAsia="等线" w:hAnsi="宋体" w:cs="宋体" w:hint="eastAsia"/>
                <w:sz w:val="18"/>
                <w:szCs w:val="18"/>
              </w:rPr>
              <w:id w:val="761414119"/>
              <w:placeholder>
                <w:docPart w:val="DefaultPlaceholder_-1854013440"/>
              </w:placeholder>
            </w:sdtPr>
            <w:sdtContent>
              <w:p w:rsidR="000D7A16" w:rsidRDefault="009B7BAE">
                <w:pPr>
                  <w:rPr>
                    <w:bCs/>
                    <w:color w:val="000000"/>
                    <w:sz w:val="24"/>
                  </w:rPr>
                </w:pPr>
                <w:r>
                  <w:rPr>
                    <w:rFonts w:ascii="宋体" w:hAnsi="宋体" w:cs="宋体" w:hint="eastAsia"/>
                    <w:sz w:val="18"/>
                    <w:szCs w:val="18"/>
                  </w:rPr>
                  <w:t>（“现金红利发放日”是指现金红利划出托管户的日期）</w:t>
                </w:r>
              </w:p>
            </w:sdtContent>
          </w:sdt>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588714045"/>
              <w:placeholder>
                <w:docPart w:val="DefaultPlaceholder_-1854013440"/>
              </w:placeholder>
            </w:sdtPr>
            <w:sdtContent>
              <w:p w:rsidR="000D7A16" w:rsidRDefault="009B7BAE">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w:t>
                </w:r>
              </w:p>
            </w:sdtContent>
          </w:sdt>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分红对象</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279561969"/>
              <w:placeholder>
                <w:docPart w:val="DefaultPlaceholder_-1854013440"/>
              </w:placeholder>
            </w:sdtPr>
            <w:sdtContent>
              <w:p w:rsidR="000D7A16" w:rsidRDefault="009B7BAE">
                <w:pPr>
                  <w:rPr>
                    <w:sz w:val="24"/>
                  </w:rPr>
                </w:pPr>
                <w:r>
                  <w:rPr>
                    <w:rFonts w:ascii="宋体" w:hAnsi="宋体" w:hint="eastAsia"/>
                    <w:color w:val="000000"/>
                    <w:sz w:val="24"/>
                  </w:rPr>
                  <w:t>权益登记日在本基金注册登记机构登记在册的本基金全体份额持有人</w:t>
                </w:r>
              </w:p>
            </w:sdtContent>
          </w:sdt>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color w:val="000000"/>
                <w:sz w:val="24"/>
                <w:szCs w:val="22"/>
              </w:rPr>
              <w:id w:val="711357543"/>
              <w:placeholder>
                <w:docPart w:val="DefaultPlaceholder_-1854013440"/>
              </w:placeholder>
            </w:sdtPr>
            <w:sdtContent>
              <w:p w:rsidR="000D7A16" w:rsidRDefault="009B7BAE">
                <w:pPr>
                  <w:rPr>
                    <w:sz w:val="24"/>
                  </w:rPr>
                </w:pPr>
                <w:r>
                  <w:rPr>
                    <w:rFonts w:ascii="宋体" w:hAnsi="宋体" w:hint="eastAsia"/>
                    <w:color w:val="000000"/>
                    <w:sz w:val="24"/>
                  </w:rPr>
                  <w:t>场内认购、申购和上市交易的基金份额的分红方式为现金红利。场外的基金份额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日起，投资者可以查询，并可以在基金合同规定的开放时间内赎回。</w:t>
                </w:r>
              </w:p>
            </w:sdtContent>
          </w:sdt>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税收相关事项的说明</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sz w:val="24"/>
                <w:szCs w:val="22"/>
              </w:rPr>
              <w:id w:val="839280065"/>
              <w:placeholder>
                <w:docPart w:val="DefaultPlaceholder_-1854013440"/>
              </w:placeholder>
            </w:sdtPr>
            <w:sdtContent>
              <w:p w:rsidR="000D7A16" w:rsidRDefault="009B7BAE">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0D7A1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0D7A16" w:rsidRDefault="009B7BAE">
            <w:pPr>
              <w:rPr>
                <w:rFonts w:ascii="宋体" w:hAnsi="宋体"/>
                <w:sz w:val="24"/>
              </w:rPr>
            </w:pPr>
            <w:r>
              <w:rPr>
                <w:rFonts w:ascii="宋体" w:hAnsi="宋体" w:hint="eastAsia"/>
                <w:sz w:val="24"/>
              </w:rPr>
              <w:t>费用相关事项的说明</w:t>
            </w:r>
          </w:p>
        </w:tc>
        <w:tc>
          <w:tcPr>
            <w:tcW w:w="6526" w:type="dxa"/>
            <w:gridSpan w:val="2"/>
            <w:tcBorders>
              <w:top w:val="single" w:sz="4" w:space="0" w:color="auto"/>
              <w:left w:val="single" w:sz="4" w:space="0" w:color="auto"/>
              <w:bottom w:val="single" w:sz="4" w:space="0" w:color="auto"/>
              <w:right w:val="single" w:sz="4" w:space="0" w:color="auto"/>
            </w:tcBorders>
            <w:vAlign w:val="center"/>
          </w:tcPr>
          <w:sdt>
            <w:sdtPr>
              <w:rPr>
                <w:rFonts w:ascii="宋体" w:eastAsia="等线" w:hAnsi="宋体" w:cs="等线" w:hint="eastAsia"/>
                <w:sz w:val="24"/>
                <w:szCs w:val="22"/>
              </w:rPr>
              <w:id w:val="395821987"/>
              <w:placeholder>
                <w:docPart w:val="DefaultPlaceholder_-1854013440"/>
              </w:placeholder>
            </w:sdtPr>
            <w:sdtContent>
              <w:p w:rsidR="000D7A16" w:rsidRDefault="009B7BAE">
                <w:pPr>
                  <w:rPr>
                    <w:sz w:val="24"/>
                  </w:rPr>
                </w:pPr>
                <w:r>
                  <w:rPr>
                    <w:rFonts w:ascii="宋体" w:hAnsi="宋体" w:hint="eastAsia"/>
                    <w:sz w:val="24"/>
                  </w:rPr>
                  <w:t>本基金本次分红免收分红手续费。</w:t>
                </w:r>
              </w:p>
            </w:sdtContent>
          </w:sdt>
        </w:tc>
      </w:tr>
    </w:tbl>
    <w:p w:rsidR="000D7A16" w:rsidRDefault="009B7BAE" w:rsidP="009B7BA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w:t>
      </w:r>
      <w:r>
        <w:rPr>
          <w:rFonts w:ascii="宋体" w:hAnsi="宋体" w:hint="eastAsia"/>
          <w:bCs w:val="0"/>
          <w:sz w:val="24"/>
          <w:szCs w:val="24"/>
        </w:rPr>
        <w:t>的事项</w:t>
      </w:r>
    </w:p>
    <w:sdt>
      <w:sdtPr>
        <w:rPr>
          <w:rFonts w:ascii="宋体" w:hAnsi="宋体" w:cs="宋体" w:hint="eastAsia"/>
          <w:bCs/>
          <w:color w:val="000000"/>
          <w:sz w:val="24"/>
          <w:szCs w:val="32"/>
        </w:rPr>
        <w:id w:val="1691111502"/>
        <w:placeholder>
          <w:docPart w:val="DefaultPlaceholder_-1854013440"/>
        </w:placeholder>
      </w:sdtPr>
      <w:sdtContent>
        <w:p w:rsidR="000D7A16" w:rsidRDefault="009B7BA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）本基金将于</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13</w:t>
          </w:r>
          <w:r>
            <w:rPr>
              <w:rFonts w:ascii="宋体" w:hAnsi="宋体" w:cs="宋体" w:hint="eastAsia"/>
              <w:bCs/>
              <w:color w:val="000000"/>
              <w:sz w:val="24"/>
              <w:szCs w:val="32"/>
            </w:rPr>
            <w:t>日上午</w:t>
          </w:r>
          <w:r>
            <w:rPr>
              <w:rFonts w:ascii="宋体" w:hAnsi="宋体" w:cs="宋体" w:hint="eastAsia"/>
              <w:bCs/>
              <w:color w:val="000000"/>
              <w:sz w:val="24"/>
              <w:szCs w:val="32"/>
            </w:rPr>
            <w:t>9:30</w:t>
          </w:r>
          <w:r>
            <w:rPr>
              <w:rFonts w:ascii="宋体" w:hAnsi="宋体" w:cs="宋体" w:hint="eastAsia"/>
              <w:bCs/>
              <w:color w:val="000000"/>
              <w:sz w:val="24"/>
              <w:szCs w:val="32"/>
            </w:rPr>
            <w:t>至</w:t>
          </w:r>
          <w:r>
            <w:rPr>
              <w:rFonts w:ascii="宋体" w:hAnsi="宋体" w:cs="宋体" w:hint="eastAsia"/>
              <w:bCs/>
              <w:color w:val="000000"/>
              <w:sz w:val="24"/>
              <w:szCs w:val="32"/>
            </w:rPr>
            <w:t>10:30</w:t>
          </w:r>
          <w:r>
            <w:rPr>
              <w:rFonts w:ascii="宋体" w:hAnsi="宋体" w:cs="宋体" w:hint="eastAsia"/>
              <w:bCs/>
              <w:color w:val="000000"/>
              <w:sz w:val="24"/>
              <w:szCs w:val="32"/>
            </w:rPr>
            <w:t>期间停牌</w:t>
          </w:r>
          <w:r>
            <w:rPr>
              <w:rFonts w:ascii="宋体" w:hAnsi="宋体" w:cs="宋体" w:hint="eastAsia"/>
              <w:bCs/>
              <w:color w:val="000000"/>
              <w:sz w:val="24"/>
              <w:szCs w:val="32"/>
            </w:rPr>
            <w:t>1</w:t>
          </w:r>
          <w:r>
            <w:rPr>
              <w:rFonts w:ascii="宋体" w:hAnsi="宋体" w:cs="宋体" w:hint="eastAsia"/>
              <w:bCs/>
              <w:color w:val="000000"/>
              <w:sz w:val="24"/>
              <w:szCs w:val="32"/>
            </w:rPr>
            <w:t>小时。</w:t>
          </w:r>
        </w:p>
        <w:p w:rsidR="000D7A16" w:rsidRDefault="009B7BA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）权益分派期间（</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13</w:t>
          </w:r>
          <w:r>
            <w:rPr>
              <w:rFonts w:ascii="宋体" w:hAnsi="宋体" w:cs="宋体" w:hint="eastAsia"/>
              <w:bCs/>
              <w:color w:val="000000"/>
              <w:sz w:val="24"/>
              <w:szCs w:val="32"/>
            </w:rPr>
            <w:t>日至</w:t>
          </w:r>
          <w:r>
            <w:rPr>
              <w:rFonts w:ascii="宋体" w:hAnsi="宋体" w:cs="宋体" w:hint="eastAsia"/>
              <w:bCs/>
              <w:color w:val="000000"/>
              <w:sz w:val="24"/>
              <w:szCs w:val="32"/>
            </w:rPr>
            <w:t>2026</w:t>
          </w:r>
          <w:r>
            <w:rPr>
              <w:rFonts w:ascii="宋体" w:hAnsi="宋体" w:cs="宋体" w:hint="eastAsia"/>
              <w:bCs/>
              <w:color w:val="000000"/>
              <w:sz w:val="24"/>
              <w:szCs w:val="32"/>
            </w:rPr>
            <w:t>年</w:t>
          </w:r>
          <w:r>
            <w:rPr>
              <w:rFonts w:ascii="宋体" w:hAnsi="宋体" w:cs="宋体" w:hint="eastAsia"/>
              <w:bCs/>
              <w:color w:val="000000"/>
              <w:sz w:val="24"/>
              <w:szCs w:val="32"/>
            </w:rPr>
            <w:t>1</w:t>
          </w:r>
          <w:r>
            <w:rPr>
              <w:rFonts w:ascii="宋体" w:hAnsi="宋体" w:cs="宋体" w:hint="eastAsia"/>
              <w:bCs/>
              <w:color w:val="000000"/>
              <w:sz w:val="24"/>
              <w:szCs w:val="32"/>
            </w:rPr>
            <w:t>月</w:t>
          </w:r>
          <w:r>
            <w:rPr>
              <w:rFonts w:ascii="宋体" w:hAnsi="宋体" w:cs="宋体" w:hint="eastAsia"/>
              <w:bCs/>
              <w:color w:val="000000"/>
              <w:sz w:val="24"/>
              <w:szCs w:val="32"/>
            </w:rPr>
            <w:t>15</w:t>
          </w:r>
          <w:r>
            <w:rPr>
              <w:rFonts w:ascii="宋体" w:hAnsi="宋体" w:cs="宋体" w:hint="eastAsia"/>
              <w:bCs/>
              <w:color w:val="000000"/>
              <w:sz w:val="24"/>
              <w:szCs w:val="32"/>
            </w:rPr>
            <w:t>日）暂停本基金跨系统转托管业务。</w:t>
          </w:r>
        </w:p>
        <w:p w:rsidR="000D7A16" w:rsidRDefault="009B7BA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0D7A16" w:rsidRDefault="009B7BA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4</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权益登记日当天买入的基金份额享有本次分红权益，权益登记日当天卖出的基金份额不享有本次分红权益。</w:t>
          </w:r>
        </w:p>
        <w:p w:rsidR="000D7A16" w:rsidRDefault="009B7BAE">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5</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0D7A16" w:rsidRDefault="000D7A16">
      <w:pPr>
        <w:spacing w:line="360" w:lineRule="auto"/>
        <w:ind w:firstLineChars="200" w:firstLine="480"/>
        <w:rPr>
          <w:rFonts w:ascii="宋体" w:hAnsi="宋体"/>
          <w:sz w:val="24"/>
        </w:rPr>
      </w:pPr>
    </w:p>
    <w:p w:rsidR="000D7A16" w:rsidRDefault="009B7BAE">
      <w:pPr>
        <w:spacing w:line="360" w:lineRule="auto"/>
        <w:ind w:firstLineChars="200" w:firstLine="480"/>
        <w:rPr>
          <w:rFonts w:ascii="宋体" w:hAnsi="宋体"/>
          <w:sz w:val="24"/>
        </w:rPr>
      </w:pPr>
      <w:r>
        <w:rPr>
          <w:rFonts w:ascii="宋体" w:hAnsi="宋体" w:hint="eastAsia"/>
          <w:sz w:val="24"/>
        </w:rPr>
        <w:t>特此公告。</w:t>
      </w:r>
    </w:p>
    <w:p w:rsidR="000D7A16" w:rsidRDefault="000D7A16"/>
    <w:p w:rsidR="000D7A16" w:rsidRDefault="009B7BAE" w:rsidP="009B7BAE">
      <w:pPr>
        <w:pStyle w:val="3"/>
        <w:keepNext w:val="0"/>
        <w:keepLines w:val="0"/>
        <w:spacing w:beforeLines="50" w:after="0" w:line="360" w:lineRule="auto"/>
        <w:ind w:firstLine="420"/>
        <w:jc w:val="right"/>
        <w:rPr>
          <w:b w:val="0"/>
          <w:color w:val="000000"/>
          <w:sz w:val="24"/>
        </w:rPr>
      </w:pPr>
      <w:r>
        <w:rPr>
          <w:rFonts w:hint="eastAsia"/>
          <w:b w:val="0"/>
          <w:color w:val="000000"/>
          <w:sz w:val="24"/>
        </w:rPr>
        <w:lastRenderedPageBreak/>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0D7A16" w:rsidRDefault="009B7BAE" w:rsidP="000D7A16">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1</w:t>
          </w:r>
          <w:r>
            <w:rPr>
              <w:rFonts w:ascii="宋体" w:hAnsi="宋体" w:hint="eastAsia"/>
              <w:b w:val="0"/>
              <w:color w:val="000000"/>
              <w:sz w:val="24"/>
              <w:szCs w:val="24"/>
            </w:rPr>
            <w:t>月</w:t>
          </w:r>
          <w:r>
            <w:rPr>
              <w:rFonts w:ascii="宋体" w:hAnsi="宋体" w:hint="eastAsia"/>
              <w:b w:val="0"/>
              <w:color w:val="000000"/>
              <w:sz w:val="24"/>
              <w:szCs w:val="24"/>
            </w:rPr>
            <w:t>13</w:t>
          </w:r>
          <w:r>
            <w:rPr>
              <w:rFonts w:ascii="宋体" w:hAnsi="宋体" w:hint="eastAsia"/>
              <w:b w:val="0"/>
              <w:color w:val="000000"/>
              <w:sz w:val="24"/>
              <w:szCs w:val="24"/>
            </w:rPr>
            <w:t>日</w:t>
          </w:r>
        </w:p>
      </w:sdtContent>
    </w:sdt>
    <w:sectPr w:rsidR="000D7A16" w:rsidSect="000D7A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rsids>
    <w:rsidRoot w:val="00C61827"/>
    <w:rsid w:val="BF927D02"/>
    <w:rsid w:val="D77F187D"/>
    <w:rsid w:val="DEC9579E"/>
    <w:rsid w:val="DFF915DA"/>
    <w:rsid w:val="E9FACC25"/>
    <w:rsid w:val="EAEF3DE4"/>
    <w:rsid w:val="EFDB26D8"/>
    <w:rsid w:val="FBFEA056"/>
    <w:rsid w:val="00016F8A"/>
    <w:rsid w:val="00070DE2"/>
    <w:rsid w:val="000D7A16"/>
    <w:rsid w:val="000E355C"/>
    <w:rsid w:val="001231BF"/>
    <w:rsid w:val="00137525"/>
    <w:rsid w:val="00150AC7"/>
    <w:rsid w:val="001705B4"/>
    <w:rsid w:val="00175816"/>
    <w:rsid w:val="001923C0"/>
    <w:rsid w:val="001A7FAB"/>
    <w:rsid w:val="001D4FEB"/>
    <w:rsid w:val="0026253D"/>
    <w:rsid w:val="002A7F61"/>
    <w:rsid w:val="003273B2"/>
    <w:rsid w:val="003B5927"/>
    <w:rsid w:val="003C1CC5"/>
    <w:rsid w:val="003E35BB"/>
    <w:rsid w:val="003E485E"/>
    <w:rsid w:val="003F522E"/>
    <w:rsid w:val="00400A23"/>
    <w:rsid w:val="00406692"/>
    <w:rsid w:val="004430B9"/>
    <w:rsid w:val="004900E3"/>
    <w:rsid w:val="004A5552"/>
    <w:rsid w:val="004D2515"/>
    <w:rsid w:val="004E3EEB"/>
    <w:rsid w:val="004F4141"/>
    <w:rsid w:val="00543E2E"/>
    <w:rsid w:val="00572EEA"/>
    <w:rsid w:val="0058467D"/>
    <w:rsid w:val="005C33C0"/>
    <w:rsid w:val="006102D8"/>
    <w:rsid w:val="006109A5"/>
    <w:rsid w:val="006252AD"/>
    <w:rsid w:val="006656D8"/>
    <w:rsid w:val="006663D6"/>
    <w:rsid w:val="006F2C03"/>
    <w:rsid w:val="006F647F"/>
    <w:rsid w:val="0070406F"/>
    <w:rsid w:val="007161B5"/>
    <w:rsid w:val="00717927"/>
    <w:rsid w:val="007409B3"/>
    <w:rsid w:val="00750740"/>
    <w:rsid w:val="0077750C"/>
    <w:rsid w:val="00837DBC"/>
    <w:rsid w:val="0089271B"/>
    <w:rsid w:val="008D4668"/>
    <w:rsid w:val="00907B38"/>
    <w:rsid w:val="009355C2"/>
    <w:rsid w:val="00935976"/>
    <w:rsid w:val="00940D62"/>
    <w:rsid w:val="00953584"/>
    <w:rsid w:val="009672B1"/>
    <w:rsid w:val="009738B4"/>
    <w:rsid w:val="009B7BAE"/>
    <w:rsid w:val="009C1FCC"/>
    <w:rsid w:val="00A0703B"/>
    <w:rsid w:val="00A22E60"/>
    <w:rsid w:val="00A326F9"/>
    <w:rsid w:val="00A67D76"/>
    <w:rsid w:val="00AB06D3"/>
    <w:rsid w:val="00AC549C"/>
    <w:rsid w:val="00AF3C65"/>
    <w:rsid w:val="00B03847"/>
    <w:rsid w:val="00B26BE8"/>
    <w:rsid w:val="00BE3306"/>
    <w:rsid w:val="00C12C1D"/>
    <w:rsid w:val="00C561D2"/>
    <w:rsid w:val="00C61827"/>
    <w:rsid w:val="00C66D53"/>
    <w:rsid w:val="00C92642"/>
    <w:rsid w:val="00CC74BF"/>
    <w:rsid w:val="00D0318A"/>
    <w:rsid w:val="00D26EFF"/>
    <w:rsid w:val="00D547E8"/>
    <w:rsid w:val="00DA28EC"/>
    <w:rsid w:val="00DC1360"/>
    <w:rsid w:val="00DC7B8C"/>
    <w:rsid w:val="00E12B2A"/>
    <w:rsid w:val="00E37E45"/>
    <w:rsid w:val="00E855C7"/>
    <w:rsid w:val="00E946B9"/>
    <w:rsid w:val="00EC05CD"/>
    <w:rsid w:val="00EE3D26"/>
    <w:rsid w:val="00F30297"/>
    <w:rsid w:val="00F755EB"/>
    <w:rsid w:val="00FB6AA2"/>
    <w:rsid w:val="00FD63EE"/>
    <w:rsid w:val="00FE4F55"/>
    <w:rsid w:val="5D8BC791"/>
    <w:rsid w:val="733EA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A16"/>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unhideWhenUsed/>
    <w:qFormat/>
    <w:rsid w:val="000D7A1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D7A1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D7A16"/>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0D7A16"/>
    <w:rPr>
      <w:rFonts w:ascii="Times New Roman" w:eastAsia="宋体" w:hAnsi="Times New Roman" w:cs="Times New Roman"/>
      <w:b/>
      <w:bCs/>
      <w:sz w:val="32"/>
      <w:szCs w:val="32"/>
    </w:rPr>
  </w:style>
  <w:style w:type="character" w:customStyle="1" w:styleId="Char0">
    <w:name w:val="页眉 Char"/>
    <w:basedOn w:val="a0"/>
    <w:link w:val="a4"/>
    <w:uiPriority w:val="99"/>
    <w:qFormat/>
    <w:rsid w:val="000D7A16"/>
    <w:rPr>
      <w:rFonts w:ascii="Times New Roman" w:eastAsia="宋体" w:hAnsi="Times New Roman"/>
      <w:kern w:val="2"/>
      <w:sz w:val="18"/>
      <w:szCs w:val="18"/>
    </w:rPr>
  </w:style>
  <w:style w:type="character" w:customStyle="1" w:styleId="Char">
    <w:name w:val="页脚 Char"/>
    <w:basedOn w:val="a0"/>
    <w:link w:val="a3"/>
    <w:uiPriority w:val="99"/>
    <w:qFormat/>
    <w:rsid w:val="000D7A16"/>
    <w:rPr>
      <w:rFonts w:ascii="Times New Roman" w:eastAsia="宋体" w:hAnsi="Times New Roman"/>
      <w:kern w:val="2"/>
      <w:sz w:val="18"/>
      <w:szCs w:val="18"/>
    </w:rPr>
  </w:style>
  <w:style w:type="character" w:styleId="a5">
    <w:name w:val="Placeholder Text"/>
    <w:basedOn w:val="a0"/>
    <w:uiPriority w:val="99"/>
    <w:semiHidden/>
    <w:qFormat/>
    <w:rsid w:val="000D7A16"/>
    <w:rPr>
      <w:color w:val="808080"/>
    </w:rPr>
  </w:style>
  <w:style w:type="paragraph" w:styleId="a6">
    <w:name w:val="Balloon Text"/>
    <w:basedOn w:val="a"/>
    <w:link w:val="Char1"/>
    <w:uiPriority w:val="99"/>
    <w:semiHidden/>
    <w:unhideWhenUsed/>
    <w:rsid w:val="009B7BAE"/>
    <w:rPr>
      <w:sz w:val="18"/>
      <w:szCs w:val="18"/>
    </w:rPr>
  </w:style>
  <w:style w:type="character" w:customStyle="1" w:styleId="Char1">
    <w:name w:val="批注框文本 Char"/>
    <w:basedOn w:val="a0"/>
    <w:link w:val="a6"/>
    <w:uiPriority w:val="99"/>
    <w:semiHidden/>
    <w:rsid w:val="009B7B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303637" w:rsidRDefault="00303637">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52B02"/>
    <w:rsid w:val="00160C22"/>
    <w:rsid w:val="001D056A"/>
    <w:rsid w:val="00221B50"/>
    <w:rsid w:val="00303637"/>
    <w:rsid w:val="00586340"/>
    <w:rsid w:val="006A500D"/>
    <w:rsid w:val="00764F09"/>
    <w:rsid w:val="0094266F"/>
    <w:rsid w:val="00A20312"/>
    <w:rsid w:val="00A73FB1"/>
    <w:rsid w:val="00B85C1D"/>
    <w:rsid w:val="00BF1EE8"/>
    <w:rsid w:val="00C472D7"/>
    <w:rsid w:val="00D226B2"/>
    <w:rsid w:val="00D93423"/>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6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03637"/>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1505</Characters>
  <Application>Microsoft Office Word</Application>
  <DocSecurity>4</DocSecurity>
  <Lines>12</Lines>
  <Paragraphs>3</Paragraphs>
  <ScaleCrop>false</ScaleCrop>
  <Company>CNSTOCK</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F825DA6C772DA5586FCD64697F5D7980_43</vt:lpwstr>
  </property>
</Properties>
</file>