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广发景和中短债债券型证券投资基金分红公告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公告送出日期：2026年1月13日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广发景和中短债债券型证券投资基金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006870</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2019年3月14日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《中华人民共和国证券投资基金法》及其配套法规、《广发景和中短债债券型证券投资基金基金合同》《广发景和中短债债券型证券投资基金招募说明书》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2025年12月31日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本次分红为2025年度的第4次分红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广发景和中短债D</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006870</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006871</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020580</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1.0542</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1.0529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1.0541</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46,267,724.02</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35,956,986.35</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30,200,229.44</w:t>
            </w:r>
          </w:p>
        </w:tc>
      </w:tr>
      <w:tr w:rsidR="000A5525">
        <w:trPr>
          <w:jc w:val="center"/>
        </w:trPr>
        <w:tc>
          <w:tcPr>
            <w:tcW w:w="1927" w:type="dxa"/>
            <w:vMerge/>
          </w:tcPr>
          <w:p w:rsidR="000A5525" w:rsidRDefault="000A5525"/>
        </w:tc>
        <w:tc>
          <w:tcPr>
            <w:tcW w:w="1928" w:type="dxa"/>
            <w:vAlign w:val="center"/>
          </w:tcPr>
          <w:p w:rsidR="000A5525" w:rsidRDefault="00097852">
            <w:pPr>
              <w:jc w:val="left"/>
            </w:pPr>
            <w:r>
              <w:rPr>
                <w:rFonts w:asciiTheme="minorEastAsia" w:eastAsiaTheme="minorEastAsia" w:hAnsiTheme="minorEastAsia"/>
                <w:sz w:val="24"/>
                <w:szCs w:val="24"/>
              </w:rPr>
              <w:t>截止基准日按照基金合同约定的</w:t>
            </w:r>
            <w:r>
              <w:rPr>
                <w:rFonts w:asciiTheme="minorEastAsia" w:eastAsiaTheme="minorEastAsia" w:hAnsiTheme="minorEastAsia"/>
                <w:sz w:val="24"/>
                <w:szCs w:val="24"/>
              </w:rPr>
              <w:lastRenderedPageBreak/>
              <w:t>分红比例计算的应分配金额（单位：元）</w:t>
            </w:r>
          </w:p>
        </w:tc>
        <w:tc>
          <w:tcPr>
            <w:tcW w:w="1928" w:type="dxa"/>
            <w:vAlign w:val="center"/>
          </w:tcPr>
          <w:p w:rsidR="000A5525" w:rsidRDefault="00097852">
            <w:pPr>
              <w:jc w:val="left"/>
            </w:pPr>
            <w:r>
              <w:rPr>
                <w:rFonts w:asciiTheme="minorEastAsia" w:eastAsiaTheme="minorEastAsia" w:hAnsiTheme="minorEastAsia"/>
                <w:sz w:val="24"/>
                <w:szCs w:val="24"/>
              </w:rPr>
              <w:lastRenderedPageBreak/>
              <w:t>4,626,772.41</w:t>
            </w:r>
          </w:p>
        </w:tc>
        <w:tc>
          <w:tcPr>
            <w:tcW w:w="1928" w:type="dxa"/>
            <w:vAlign w:val="center"/>
          </w:tcPr>
          <w:p w:rsidR="000A5525" w:rsidRDefault="00097852">
            <w:pPr>
              <w:jc w:val="left"/>
            </w:pPr>
            <w:r>
              <w:rPr>
                <w:rFonts w:asciiTheme="minorEastAsia" w:eastAsiaTheme="minorEastAsia" w:hAnsiTheme="minorEastAsia"/>
                <w:sz w:val="24"/>
                <w:szCs w:val="24"/>
              </w:rPr>
              <w:t>3,595,698.64</w:t>
            </w:r>
          </w:p>
        </w:tc>
        <w:tc>
          <w:tcPr>
            <w:tcW w:w="1928" w:type="dxa"/>
            <w:vAlign w:val="center"/>
          </w:tcPr>
          <w:p w:rsidR="000A5525" w:rsidRDefault="00097852">
            <w:pPr>
              <w:jc w:val="left"/>
            </w:pPr>
            <w:r>
              <w:rPr>
                <w:rFonts w:asciiTheme="minorEastAsia" w:eastAsiaTheme="minorEastAsia" w:hAnsiTheme="minorEastAsia"/>
                <w:sz w:val="24"/>
                <w:szCs w:val="24"/>
              </w:rPr>
              <w:t>3,020,022.95</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0.061</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0.036</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0.026</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注：根据本基金合同约定，在符合有关基金分红条件的前提下，本基金每季度至少进行一次收益分配，本基金每年收益分配次数最多为12次，每次收益分配比例不得低于收益分配基准日可供分配利润的10%。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2026年1月14日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2026年1月14日（场外）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2026年1月14日（场外）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2026年1月15日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权益登记日登记在册的本基金份额持有人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选择红利再投资方式的投资者由红利转得的基金份额将以2026年1月14日的基金份额净值为计算基准确定。2026年1月16日起投资者可以查询。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0A5525" w:rsidRDefault="000978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0A5525" w:rsidRDefault="000978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0A5525" w:rsidRDefault="000978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1</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lastRenderedPageBreak/>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0A5525" w:rsidRDefault="000978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0A5525" w:rsidRDefault="000978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0A5525" w:rsidRDefault="000978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2026年1月13日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97852"/>
    <w:rsid w:val="000A19B2"/>
    <w:rsid w:val="000A27C1"/>
    <w:rsid w:val="000A5525"/>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1727</Characters>
  <Application>Microsoft Office Word</Application>
  <DocSecurity>4</DocSecurity>
  <Lines>14</Lines>
  <Paragraphs>4</Paragraphs>
  <ScaleCrop>false</ScaleCrop>
  <Company>微软中国</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2026-01-12T16:02:00Z</dcterms:created>
  <dcterms:modified xsi:type="dcterms:W3CDTF">2026-01-12T16:02:00Z</dcterms:modified>
</cp:coreProperties>
</file>