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26" w:rsidRDefault="009D0BE8" w:rsidP="0086662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A830A6">
        <w:rPr>
          <w:rFonts w:asciiTheme="minorEastAsia" w:eastAsiaTheme="minorEastAsia" w:hAnsiTheme="minorEastAsia" w:cs="宋体" w:hint="eastAsia"/>
          <w:b/>
          <w:bCs/>
          <w:sz w:val="30"/>
          <w:szCs w:val="30"/>
        </w:rPr>
        <w:t>易方达恒信定期开放债券型发起式证券投资基金</w:t>
      </w:r>
      <w:r>
        <w:rPr>
          <w:b/>
          <w:sz w:val="30"/>
        </w:rPr>
        <w:t>第</w:t>
      </w:r>
      <w:r>
        <w:rPr>
          <w:rFonts w:ascii="宋体" w:hAnsi="宋体" w:cs="宋体"/>
          <w:b/>
          <w:sz w:val="30"/>
        </w:rPr>
        <w:t>三十二</w:t>
      </w:r>
      <w:r>
        <w:rPr>
          <w:b/>
          <w:sz w:val="30"/>
        </w:rPr>
        <w:t>个</w:t>
      </w:r>
      <w:r w:rsidR="0056583B">
        <w:rPr>
          <w:rFonts w:asciiTheme="minorEastAsia" w:eastAsiaTheme="minorEastAsia" w:hAnsiTheme="minorEastAsia" w:hint="eastAsia"/>
          <w:b/>
          <w:bCs/>
          <w:color w:val="000000"/>
          <w:sz w:val="30"/>
          <w:szCs w:val="30"/>
        </w:rPr>
        <w:t>运作期</w:t>
      </w:r>
      <w:r w:rsidR="0056583B">
        <w:rPr>
          <w:rFonts w:asciiTheme="minorEastAsia" w:eastAsiaTheme="minorEastAsia" w:hAnsiTheme="minorEastAsia" w:hint="eastAsia"/>
          <w:b/>
          <w:bCs/>
          <w:sz w:val="30"/>
          <w:szCs w:val="30"/>
        </w:rPr>
        <w:t>开放申购、赎回和转换业务</w:t>
      </w:r>
      <w:r w:rsidR="004132EA" w:rsidRPr="00460A5E">
        <w:rPr>
          <w:rFonts w:asciiTheme="minorEastAsia" w:eastAsiaTheme="minorEastAsia" w:hAnsiTheme="minorEastAsia"/>
          <w:b/>
          <w:bCs/>
          <w:sz w:val="30"/>
          <w:szCs w:val="30"/>
        </w:rPr>
        <w:t>的公告</w:t>
      </w:r>
    </w:p>
    <w:p w:rsidR="00866626" w:rsidRDefault="009D0BE8" w:rsidP="0086662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A830A6" w:rsidRPr="00A830A6">
        <w:rPr>
          <w:rFonts w:asciiTheme="minorEastAsia" w:eastAsiaTheme="minorEastAsia" w:hAnsiTheme="minorEastAsia" w:cs="宋体"/>
          <w:b/>
          <w:sz w:val="24"/>
        </w:rPr>
        <w:t>2026年1月13日</w:t>
      </w:r>
    </w:p>
    <w:bookmarkEnd w:id="1"/>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5386"/>
      </w:tblGrid>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易方达恒信定期开放债券型发起式证券投资基金</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基金简称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易方达恒信定开债券</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基金主代码</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005740</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基金运作方式</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契约型开放式</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基金合同生效日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2018</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3</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27</w:t>
            </w:r>
            <w:r w:rsidRPr="00A830A6">
              <w:rPr>
                <w:rFonts w:asciiTheme="minorEastAsia" w:eastAsiaTheme="minorEastAsia" w:hAnsiTheme="minorEastAsia" w:cs="宋体"/>
                <w:sz w:val="24"/>
              </w:rPr>
              <w:t>日</w:t>
            </w:r>
          </w:p>
        </w:tc>
      </w:tr>
      <w:tr w:rsidR="00E524A0" w:rsidTr="0043562D">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基金管理人名称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基金托管人名称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中信银行股份有限公司</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基金注册登记机构名称</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易方达基金管理有限公司</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公告依据</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w:t>
            </w:r>
            <w:r>
              <w:rPr>
                <w:rFonts w:ascii="宋体" w:hAnsi="宋体" w:cs="宋体"/>
                <w:sz w:val="24"/>
              </w:rPr>
              <w:t>易方达恒信定期开放债券型发起式证券投资基金</w:t>
            </w:r>
            <w:r>
              <w:rPr>
                <w:sz w:val="24"/>
              </w:rPr>
              <w:t>基金合同》（以下简称</w:t>
            </w:r>
            <w:r>
              <w:rPr>
                <w:sz w:val="24"/>
              </w:rPr>
              <w:t>“</w:t>
            </w:r>
            <w:r>
              <w:rPr>
                <w:sz w:val="24"/>
              </w:rPr>
              <w:t>《基金合同》</w:t>
            </w:r>
            <w:r>
              <w:rPr>
                <w:sz w:val="24"/>
              </w:rPr>
              <w:t>”</w:t>
            </w:r>
            <w:r>
              <w:rPr>
                <w:sz w:val="24"/>
              </w:rPr>
              <w:t>）</w:t>
            </w:r>
            <w:r w:rsidR="003B5F27" w:rsidRPr="00A830A6">
              <w:rPr>
                <w:rFonts w:asciiTheme="minorEastAsia" w:eastAsiaTheme="minorEastAsia" w:hAnsiTheme="minorEastAsia" w:hint="eastAsia"/>
                <w:sz w:val="24"/>
              </w:rPr>
              <w:t>《</w:t>
            </w:r>
            <w:r>
              <w:rPr>
                <w:rFonts w:ascii="宋体" w:hAnsi="宋体" w:cs="宋体"/>
                <w:sz w:val="24"/>
              </w:rPr>
              <w:t>易方达恒信定期开放债券型发起式证券投资基金</w:t>
            </w:r>
            <w:r>
              <w:rPr>
                <w:sz w:val="24"/>
              </w:rPr>
              <w:t>更新的招募说明书》（以下简称</w:t>
            </w:r>
            <w:r>
              <w:rPr>
                <w:sz w:val="24"/>
              </w:rPr>
              <w:t>“</w:t>
            </w:r>
            <w:r>
              <w:rPr>
                <w:sz w:val="24"/>
              </w:rPr>
              <w:t>《更新的招募说明书》</w:t>
            </w:r>
            <w:r>
              <w:rPr>
                <w:sz w:val="24"/>
              </w:rPr>
              <w:t>”</w:t>
            </w:r>
            <w:r>
              <w:rPr>
                <w:sz w:val="24"/>
              </w:rPr>
              <w:t>）</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申购起始日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2026</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赎回起始日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2026</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转换转入起始日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2026</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r w:rsidR="00E524A0" w:rsidTr="0043562D">
        <w:trPr>
          <w:jc w:val="center"/>
        </w:trPr>
        <w:tc>
          <w:tcPr>
            <w:tcW w:w="2689"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hint="eastAsia"/>
                <w:sz w:val="24"/>
              </w:rPr>
              <w:t>转换转出起始日</w:t>
            </w:r>
          </w:p>
        </w:tc>
        <w:tc>
          <w:tcPr>
            <w:tcW w:w="5386" w:type="dxa"/>
            <w:tcBorders>
              <w:top w:val="single" w:sz="4" w:space="0" w:color="auto"/>
              <w:left w:val="single" w:sz="4" w:space="0" w:color="auto"/>
              <w:bottom w:val="single" w:sz="4" w:space="0" w:color="auto"/>
              <w:right w:val="single" w:sz="4" w:space="0" w:color="auto"/>
            </w:tcBorders>
            <w:hideMark/>
          </w:tcPr>
          <w:p w:rsidR="00A830A6" w:rsidRPr="00A830A6" w:rsidRDefault="009D0BE8" w:rsidP="00A830A6">
            <w:pPr>
              <w:spacing w:line="360" w:lineRule="auto"/>
              <w:rPr>
                <w:rFonts w:asciiTheme="minorEastAsia" w:eastAsiaTheme="minorEastAsia" w:hAnsiTheme="minorEastAsia"/>
                <w:sz w:val="24"/>
              </w:rPr>
            </w:pPr>
            <w:r w:rsidRPr="00A830A6">
              <w:rPr>
                <w:rFonts w:asciiTheme="minorEastAsia" w:eastAsiaTheme="minorEastAsia" w:hAnsiTheme="minorEastAsia" w:cs="宋体"/>
                <w:sz w:val="24"/>
              </w:rPr>
              <w:t>2026</w:t>
            </w:r>
            <w:r w:rsidRPr="00A830A6">
              <w:rPr>
                <w:rFonts w:asciiTheme="minorEastAsia" w:eastAsiaTheme="minorEastAsia" w:hAnsiTheme="minorEastAsia" w:cs="宋体"/>
                <w:sz w:val="24"/>
              </w:rPr>
              <w:t>年</w:t>
            </w:r>
            <w:r w:rsidRPr="00A830A6">
              <w:rPr>
                <w:rFonts w:asciiTheme="minorEastAsia" w:eastAsiaTheme="minorEastAsia" w:hAnsiTheme="minorEastAsia" w:cs="宋体"/>
                <w:sz w:val="24"/>
              </w:rPr>
              <w:t>1</w:t>
            </w:r>
            <w:r w:rsidRPr="00A830A6">
              <w:rPr>
                <w:rFonts w:asciiTheme="minorEastAsia" w:eastAsiaTheme="minorEastAsia" w:hAnsiTheme="minorEastAsia" w:cs="宋体"/>
                <w:sz w:val="24"/>
              </w:rPr>
              <w:t>月</w:t>
            </w:r>
            <w:r w:rsidRPr="00A830A6">
              <w:rPr>
                <w:rFonts w:asciiTheme="minorEastAsia" w:eastAsiaTheme="minorEastAsia" w:hAnsiTheme="minorEastAsia" w:cs="宋体"/>
                <w:sz w:val="24"/>
              </w:rPr>
              <w:t>16</w:t>
            </w:r>
            <w:r w:rsidRPr="00A830A6">
              <w:rPr>
                <w:rFonts w:asciiTheme="minorEastAsia" w:eastAsiaTheme="minorEastAsia" w:hAnsiTheme="minorEastAsia" w:cs="宋体"/>
                <w:sz w:val="24"/>
              </w:rPr>
              <w:t>日</w:t>
            </w:r>
          </w:p>
        </w:tc>
      </w:tr>
    </w:tbl>
    <w:p w:rsidR="004132EA" w:rsidRDefault="009D0BE8">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A830A6" w:rsidRPr="00A830A6">
        <w:rPr>
          <w:rFonts w:asciiTheme="minorEastAsia" w:eastAsiaTheme="minorEastAsia" w:hAnsiTheme="minorEastAsia" w:cs="宋体"/>
          <w:sz w:val="24"/>
        </w:rPr>
        <w:t>易方达恒信定期开放债券型发起式证券投资基金</w:t>
      </w:r>
      <w:r>
        <w:rPr>
          <w:rFonts w:asciiTheme="minorEastAsia" w:eastAsiaTheme="minorEastAsia" w:hAnsiTheme="minorEastAsia" w:hint="eastAsia"/>
          <w:sz w:val="24"/>
        </w:rPr>
        <w:t>（以下简称“本基金”）</w:t>
      </w:r>
      <w:r>
        <w:rPr>
          <w:rFonts w:asciiTheme="minorEastAsia" w:eastAsiaTheme="minorEastAsia" w:hAnsiTheme="minorEastAsia" w:hint="eastAsia"/>
          <w:bCs/>
          <w:sz w:val="24"/>
        </w:rPr>
        <w:t>为定期开放基金，</w:t>
      </w:r>
      <w:r w:rsidR="00A830A6" w:rsidRPr="00A830A6">
        <w:rPr>
          <w:rFonts w:asciiTheme="minorEastAsia" w:eastAsiaTheme="minorEastAsia" w:hAnsiTheme="minorEastAsia" w:hint="eastAsia"/>
          <w:bCs/>
          <w:sz w:val="24"/>
        </w:rPr>
        <w:t>第</w:t>
      </w:r>
      <w:r>
        <w:rPr>
          <w:rFonts w:ascii="宋体" w:hAnsi="宋体" w:cs="宋体"/>
          <w:sz w:val="24"/>
        </w:rPr>
        <w:t>三十二</w:t>
      </w:r>
      <w:r>
        <w:rPr>
          <w:sz w:val="24"/>
        </w:rPr>
        <w:t>个运作期为</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Pr>
          <w:rFonts w:asciiTheme="minorEastAsia" w:eastAsiaTheme="minorEastAsia" w:hAnsiTheme="minorEastAsia" w:hint="eastAsia"/>
          <w:bCs/>
          <w:sz w:val="24"/>
        </w:rPr>
        <w:t>其中</w:t>
      </w:r>
      <w:r w:rsidR="00A830A6" w:rsidRPr="00A830A6">
        <w:rPr>
          <w:rFonts w:asciiTheme="minorEastAsia" w:eastAsiaTheme="minorEastAsia" w:hAnsiTheme="minorEastAsia" w:cs="宋体" w:hint="eastAsia"/>
          <w:b/>
          <w:bCs/>
          <w:sz w:val="24"/>
        </w:rPr>
        <w:t>2026年1月16日</w:t>
      </w:r>
      <w:r>
        <w:rPr>
          <w:b/>
          <w:sz w:val="24"/>
        </w:rPr>
        <w:t>至</w:t>
      </w:r>
      <w:r>
        <w:rPr>
          <w:rFonts w:ascii="宋体" w:hAnsi="宋体" w:cs="宋体"/>
          <w:b/>
          <w:sz w:val="24"/>
        </w:rPr>
        <w:t>2026</w:t>
      </w:r>
      <w:r>
        <w:rPr>
          <w:rFonts w:ascii="宋体" w:hAnsi="宋体" w:cs="宋体"/>
          <w:b/>
          <w:sz w:val="24"/>
        </w:rPr>
        <w:t>年</w:t>
      </w:r>
      <w:r>
        <w:rPr>
          <w:rFonts w:ascii="宋体" w:hAnsi="宋体" w:cs="宋体"/>
          <w:b/>
          <w:sz w:val="24"/>
        </w:rPr>
        <w:t>1</w:t>
      </w:r>
      <w:r>
        <w:rPr>
          <w:rFonts w:ascii="宋体" w:hAnsi="宋体" w:cs="宋体"/>
          <w:b/>
          <w:sz w:val="24"/>
        </w:rPr>
        <w:t>月</w:t>
      </w:r>
      <w:r>
        <w:rPr>
          <w:rFonts w:ascii="宋体" w:hAnsi="宋体" w:cs="宋体"/>
          <w:b/>
          <w:sz w:val="24"/>
        </w:rPr>
        <w:t>29</w:t>
      </w:r>
      <w:r>
        <w:rPr>
          <w:rFonts w:ascii="宋体" w:hAnsi="宋体" w:cs="宋体"/>
          <w:b/>
          <w:sz w:val="24"/>
        </w:rPr>
        <w:t>日</w:t>
      </w:r>
      <w:r>
        <w:rPr>
          <w:b/>
          <w:sz w:val="24"/>
        </w:rPr>
        <w:t>为开放运作期</w:t>
      </w:r>
      <w:r>
        <w:rPr>
          <w:rFonts w:asciiTheme="minorEastAsia" w:eastAsiaTheme="minorEastAsia" w:hAnsiTheme="minorEastAsia" w:hint="eastAsia"/>
          <w:b/>
          <w:bCs/>
          <w:sz w:val="24"/>
        </w:rPr>
        <w:t>，本基金开放申购、赎回与转换业务，但具体办理时间为上海证券交易所、深圳证券交易所的正常交易日的交易时间</w:t>
      </w:r>
      <w:r>
        <w:rPr>
          <w:rFonts w:asciiTheme="minorEastAsia" w:eastAsiaTheme="minorEastAsia" w:hAnsiTheme="minorEastAsia" w:hint="eastAsia"/>
          <w:bCs/>
          <w:sz w:val="24"/>
        </w:rPr>
        <w:t>；</w:t>
      </w:r>
      <w:r w:rsidR="00A830A6" w:rsidRPr="00A830A6">
        <w:rPr>
          <w:rFonts w:asciiTheme="minorEastAsia" w:eastAsiaTheme="minorEastAsia" w:hAnsiTheme="minorEastAsia" w:cs="宋体" w:hint="eastAsia"/>
          <w:bCs/>
          <w:sz w:val="24"/>
        </w:rPr>
        <w:t>2026年1月30日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（含该日）为封闭运作期</w:t>
      </w:r>
      <w:r>
        <w:rPr>
          <w:rFonts w:asciiTheme="minorEastAsia" w:eastAsiaTheme="minorEastAsia" w:hAnsiTheme="minorEastAsia" w:hint="eastAsia"/>
          <w:bCs/>
          <w:sz w:val="24"/>
        </w:rPr>
        <w:t>，本基金不开放申购、赎回与转换业务</w:t>
      </w:r>
      <w:r>
        <w:rPr>
          <w:rFonts w:asciiTheme="minorEastAsia" w:eastAsiaTheme="minorEastAsia" w:hAnsiTheme="minorEastAsia" w:hint="eastAsia"/>
          <w:sz w:val="24"/>
        </w:rPr>
        <w:t>。</w:t>
      </w:r>
      <w:r w:rsidR="00FE79B8">
        <w:rPr>
          <w:rFonts w:asciiTheme="minorEastAsia" w:eastAsiaTheme="minorEastAsia" w:hAnsiTheme="minorEastAsia" w:hint="eastAsia"/>
          <w:sz w:val="24"/>
        </w:rPr>
        <w:t>本基金暂不开通定期定额投资</w:t>
      </w:r>
      <w:r w:rsidR="00D0217C">
        <w:rPr>
          <w:rFonts w:asciiTheme="minorEastAsia" w:eastAsiaTheme="minorEastAsia" w:hAnsiTheme="minorEastAsia" w:hint="eastAsia"/>
          <w:sz w:val="24"/>
        </w:rPr>
        <w:t>业务。</w:t>
      </w:r>
    </w:p>
    <w:p w:rsidR="00866626" w:rsidRDefault="009D0BE8" w:rsidP="00151402">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的其他投资者，本基金单一投资者或者构成一致行动人的多个投资者持有的基金份额的比例可达到或者超过</w:t>
      </w:r>
      <w:r>
        <w:rPr>
          <w:rFonts w:asciiTheme="minorEastAsia" w:eastAsiaTheme="minorEastAsia" w:hAnsiTheme="minorEastAsia" w:hint="eastAsia"/>
          <w:b/>
          <w:bCs/>
          <w:sz w:val="24"/>
        </w:rPr>
        <w:t>50%</w:t>
      </w:r>
      <w:r>
        <w:rPr>
          <w:rFonts w:asciiTheme="minorEastAsia" w:eastAsiaTheme="minorEastAsia" w:hAnsiTheme="minorEastAsia" w:hint="eastAsia"/>
          <w:b/>
          <w:bCs/>
          <w:sz w:val="24"/>
        </w:rPr>
        <w:t>，本基金不向个人投资者销售。</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2.</w:t>
      </w:r>
      <w:r>
        <w:rPr>
          <w:rFonts w:asciiTheme="minorEastAsia" w:eastAsiaTheme="minorEastAsia" w:hAnsiTheme="minorEastAsia" w:hint="eastAsia"/>
          <w:bCs w:val="0"/>
          <w:sz w:val="24"/>
          <w:szCs w:val="24"/>
        </w:rPr>
        <w:t>日常申购、赎回和转换业务的办理时间</w:t>
      </w:r>
    </w:p>
    <w:p w:rsidR="00866626" w:rsidRDefault="009D0BE8" w:rsidP="0086662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bCs/>
          <w:sz w:val="24"/>
        </w:rPr>
        <w:t>根据</w:t>
      </w:r>
      <w:r>
        <w:rPr>
          <w:rFonts w:asciiTheme="minorEastAsia" w:eastAsiaTheme="minorEastAsia" w:hAnsiTheme="minorEastAsia" w:hint="eastAsia"/>
          <w:sz w:val="24"/>
        </w:rPr>
        <w:t>《基金合同》</w:t>
      </w:r>
      <w:r>
        <w:rPr>
          <w:rFonts w:asciiTheme="minorEastAsia" w:eastAsiaTheme="minorEastAsia" w:hAnsiTheme="minorEastAsia" w:hint="eastAsia"/>
          <w:bCs/>
          <w:sz w:val="24"/>
        </w:rPr>
        <w:t>和</w:t>
      </w:r>
      <w:r>
        <w:rPr>
          <w:rFonts w:asciiTheme="minorEastAsia" w:eastAsiaTheme="minorEastAsia" w:hAnsiTheme="minorEastAsia" w:hint="eastAsia"/>
          <w:sz w:val="24"/>
        </w:rPr>
        <w:t>《更新的招募说明书》</w:t>
      </w:r>
      <w:r>
        <w:rPr>
          <w:rFonts w:asciiTheme="minorEastAsia" w:eastAsiaTheme="minorEastAsia" w:hAnsiTheme="minorEastAsia" w:hint="eastAsia"/>
          <w:bCs/>
          <w:sz w:val="24"/>
        </w:rPr>
        <w:t>的规定，</w:t>
      </w:r>
      <w:r>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Pr>
          <w:rFonts w:asciiTheme="minorEastAsia" w:eastAsiaTheme="minorEastAsia" w:hAnsiTheme="minorEastAsia" w:hint="eastAsia"/>
          <w:sz w:val="24"/>
        </w:rPr>
        <w:t>3</w:t>
      </w:r>
      <w:r>
        <w:rPr>
          <w:rFonts w:asciiTheme="minorEastAsia" w:eastAsiaTheme="minorEastAsia" w:hAnsiTheme="minorEastAsia" w:hint="eastAsia"/>
          <w:sz w:val="24"/>
        </w:rPr>
        <w:t>个月，其中开放运作期不少于</w:t>
      </w:r>
      <w:r>
        <w:rPr>
          <w:rFonts w:asciiTheme="minorEastAsia" w:eastAsiaTheme="minorEastAsia" w:hAnsiTheme="minorEastAsia" w:hint="eastAsia"/>
          <w:sz w:val="24"/>
        </w:rPr>
        <w:t>5</w:t>
      </w:r>
      <w:r>
        <w:rPr>
          <w:rFonts w:asciiTheme="minorEastAsia" w:eastAsiaTheme="minorEastAsia" w:hAnsiTheme="minorEastAsia" w:hint="eastAsia"/>
          <w:sz w:val="24"/>
        </w:rPr>
        <w:t>个工作日并且最长不超过</w:t>
      </w:r>
      <w:r>
        <w:rPr>
          <w:rFonts w:asciiTheme="minorEastAsia" w:eastAsiaTheme="minorEastAsia" w:hAnsiTheme="minorEastAsia" w:hint="eastAsia"/>
          <w:sz w:val="24"/>
        </w:rPr>
        <w:t>10</w:t>
      </w:r>
      <w:r>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w:t>
      </w:r>
      <w:r>
        <w:rPr>
          <w:rFonts w:asciiTheme="minorEastAsia" w:eastAsiaTheme="minorEastAsia" w:hAnsiTheme="minorEastAsia" w:hint="eastAsia"/>
          <w:sz w:val="24"/>
        </w:rPr>
        <w:t>内开放申购、赎回与转换业务。</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本基金的</w:t>
      </w:r>
      <w:r w:rsidR="00A830A6" w:rsidRPr="00A830A6">
        <w:rPr>
          <w:rFonts w:asciiTheme="minorEastAsia" w:eastAsiaTheme="minorEastAsia" w:hAnsiTheme="minorEastAsia" w:hint="eastAsia"/>
          <w:sz w:val="24"/>
        </w:rPr>
        <w:t>第</w:t>
      </w:r>
      <w:r>
        <w:rPr>
          <w:rFonts w:ascii="宋体" w:hAnsi="宋体" w:cs="宋体"/>
          <w:sz w:val="24"/>
        </w:rPr>
        <w:t>三十二</w:t>
      </w:r>
      <w:r>
        <w:rPr>
          <w:sz w:val="24"/>
        </w:rPr>
        <w:t>个运作期为</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（含该日）。其中</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29</w:t>
      </w:r>
      <w:r>
        <w:rPr>
          <w:rFonts w:ascii="宋体" w:hAnsi="宋体" w:cs="宋体"/>
          <w:sz w:val="24"/>
        </w:rPr>
        <w:t>日</w:t>
      </w:r>
      <w:r>
        <w:rPr>
          <w:sz w:val="24"/>
        </w:rPr>
        <w:t>为开放运作期</w:t>
      </w:r>
      <w:r w:rsidR="0063527D">
        <w:rPr>
          <w:rFonts w:asciiTheme="minorEastAsia" w:eastAsiaTheme="minorEastAsia" w:hAnsiTheme="minorEastAsia" w:hint="eastAsia"/>
          <w:sz w:val="24"/>
        </w:rPr>
        <w:t>，本基金开放申购、赎回与转换业务</w:t>
      </w:r>
      <w:r w:rsidR="0063527D" w:rsidRPr="00AE7A21">
        <w:rPr>
          <w:rFonts w:asciiTheme="minorEastAsia" w:eastAsiaTheme="minorEastAsia" w:hAnsiTheme="minorEastAsia" w:hint="eastAsia"/>
          <w:sz w:val="24"/>
        </w:rPr>
        <w:t>，但具体办理时间为上海证券交易所、深圳证券交易所的正常交易日的交易时间</w:t>
      </w:r>
      <w:r w:rsidR="0063527D">
        <w:rPr>
          <w:rFonts w:asciiTheme="minorEastAsia" w:eastAsiaTheme="minorEastAsia" w:hAnsiTheme="minorEastAsia" w:hint="eastAsia"/>
          <w:sz w:val="24"/>
        </w:rPr>
        <w:t>；</w:t>
      </w:r>
      <w:r w:rsidR="00A830A6" w:rsidRPr="00A830A6">
        <w:rPr>
          <w:rFonts w:asciiTheme="minorEastAsia" w:eastAsiaTheme="minorEastAsia" w:hAnsiTheme="minorEastAsia" w:cs="宋体" w:hint="eastAsia"/>
          <w:sz w:val="24"/>
        </w:rPr>
        <w:t>2026年1月30日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（含该日）为封闭运作期</w:t>
      </w:r>
      <w:r w:rsidR="0063527D">
        <w:rPr>
          <w:rFonts w:asciiTheme="minorEastAsia" w:eastAsiaTheme="minorEastAsia" w:hAnsiTheme="minorEastAsia" w:hint="eastAsia"/>
          <w:sz w:val="24"/>
        </w:rPr>
        <w:t>，本基金不开放申购、赎回与转换业务。</w:t>
      </w:r>
    </w:p>
    <w:p w:rsidR="00866626" w:rsidRDefault="009D0BE8" w:rsidP="00866626">
      <w:pPr>
        <w:spacing w:line="360" w:lineRule="auto"/>
        <w:ind w:firstLineChars="202" w:firstLine="485"/>
        <w:rPr>
          <w:rFonts w:asciiTheme="minorEastAsia" w:eastAsiaTheme="minorEastAsia" w:hAnsiTheme="minorEastAsia"/>
          <w:bCs/>
          <w:sz w:val="24"/>
          <w:szCs w:val="32"/>
        </w:rPr>
      </w:pPr>
      <w:r>
        <w:rPr>
          <w:rFonts w:asciiTheme="minorEastAsia" w:eastAsiaTheme="minorEastAsia" w:hAnsiTheme="minorEastAsia" w:hint="eastAsia"/>
          <w:bCs/>
          <w:sz w:val="24"/>
          <w:szCs w:val="32"/>
        </w:rPr>
        <w:t>本基金在开放运作期内开放申购、赎回与转换，具体办理时间为上海证券交易所、深圳证券交易所的正常交易日的交易时间，但基金管理人根据法律法规、中国证监会的要求或《基金合同》的规定公告暂停申购、赎回与转换时除外。</w:t>
      </w:r>
    </w:p>
    <w:p w:rsidR="00866626" w:rsidRDefault="009D0BE8" w:rsidP="0086662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规定媒介上公告。</w:t>
      </w:r>
    </w:p>
    <w:p w:rsidR="00866626" w:rsidRDefault="009D0BE8"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间办理基金份额的申购或者赎回或者转换。投资者在《基金合同》约定之外的日期和时间提出申购、赎回或转换申请且登记机构确认接受的，其基金份额申购、赎回或转换价格为下一开放日基金份额申购、赎回或转换的价格。</w:t>
      </w:r>
    </w:p>
    <w:p w:rsidR="00866626" w:rsidRDefault="009D0BE8" w:rsidP="0086662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但若投资者在开放运作期最后一个开放日业务办理时间结束之后至下一开放运作期首个开放日业务办理时间开始之前提出申购、赎回或者转换申请的，视为无效申请。</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lastRenderedPageBreak/>
        <w:t>3.1</w:t>
      </w:r>
      <w:r>
        <w:rPr>
          <w:rFonts w:asciiTheme="minorEastAsia" w:eastAsiaTheme="minorEastAsia" w:hAnsiTheme="minorEastAsia" w:hint="eastAsia"/>
          <w:bCs w:val="0"/>
          <w:sz w:val="24"/>
          <w:szCs w:val="24"/>
        </w:rPr>
        <w:t>申购金额限制</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466FD8" w:rsidRPr="00466FD8">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w:t>
      </w:r>
      <w:r>
        <w:rPr>
          <w:rFonts w:asciiTheme="minorEastAsia" w:eastAsiaTheme="minorEastAsia" w:hAnsiTheme="minorEastAsia" w:hint="eastAsia"/>
          <w:sz w:val="24"/>
        </w:rPr>
        <w:t>上直销系统首次申购的单笔最低限额为人民币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132EA">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元。在符合法律法规规定的前提下，各销售机构对申购限额及交易级差有其他规定的，需同时遵循该销售机构的相关规定。（以上金额均含申购费）。</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w:t>
      </w:r>
      <w:r>
        <w:rPr>
          <w:rFonts w:asciiTheme="minorEastAsia" w:eastAsiaTheme="minorEastAsia" w:hAnsiTheme="minorEastAsia" w:hint="eastAsia"/>
          <w:sz w:val="24"/>
        </w:rPr>
        <w:t>基金管理人应当采取设定单一投资者申购金额上限或基金单日净申购比例上限、拒绝大额申购、暂停基金申购等措施，切实保护存量基金份额持有人的合法权益。</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法律法规、中国证监会另有规定的除外。</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基金管理人可以根据市场情况，在不违反法律法规的情况下，调整上述规定申购金额的数量限制，或者新增基金规模控制措施。基金管理人必须在调整前依照《信息披露办法》的有关规定在规定媒介上公告。</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866626" w:rsidRDefault="009D0BE8" w:rsidP="0086662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特定投资群体指全国社会保障基金、依法设立的</w:t>
      </w:r>
      <w:r>
        <w:rPr>
          <w:rFonts w:asciiTheme="minorEastAsia" w:eastAsiaTheme="minorEastAsia" w:hAnsiTheme="minorEastAsia" w:hint="eastAsia"/>
          <w:sz w:val="24"/>
        </w:rPr>
        <w:t>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特定投资群体可通过本公司直销中心申购本基金。基金管理人可根据情况变更或增减特定投资群体申购本基金的销售机构，并在基金管理人网站公示。</w:t>
      </w:r>
    </w:p>
    <w:p w:rsidR="00866626" w:rsidRDefault="009D0BE8" w:rsidP="0086662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866626" w:rsidRDefault="009D0BE8" w:rsidP="0086662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）通过基金管理人的直销中心申购本基金的特定</w:t>
      </w:r>
      <w:r>
        <w:rPr>
          <w:rFonts w:asciiTheme="minorEastAsia" w:eastAsiaTheme="minorEastAsia" w:hAnsiTheme="minorEastAsia" w:hint="eastAsia"/>
          <w:sz w:val="24"/>
        </w:rPr>
        <w:t>投资群体申购费率见下表：</w:t>
      </w:r>
    </w:p>
    <w:tbl>
      <w:tblPr>
        <w:tblW w:w="5000" w:type="pct"/>
        <w:jc w:val="center"/>
        <w:tblLook w:val="04A0"/>
      </w:tblPr>
      <w:tblGrid>
        <w:gridCol w:w="4273"/>
        <w:gridCol w:w="4255"/>
      </w:tblGrid>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申购金额</w:t>
            </w:r>
            <w:r w:rsidRPr="0050332B">
              <w:rPr>
                <w:rFonts w:asciiTheme="minorEastAsia" w:eastAsiaTheme="minorEastAsia" w:hAnsiTheme="minorEastAsia" w:hint="eastAsia"/>
                <w:bCs/>
                <w:sz w:val="24"/>
                <w:szCs w:val="21"/>
              </w:rPr>
              <w:t>M</w:t>
            </w:r>
            <w:r w:rsidRPr="0050332B">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bCs/>
                <w:sz w:val="24"/>
                <w:szCs w:val="21"/>
              </w:rPr>
              <w:t>申购费率</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0.06%</w:t>
            </w:r>
          </w:p>
        </w:tc>
      </w:tr>
      <w:tr w:rsidR="00E524A0"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100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0.04%</w:t>
            </w:r>
          </w:p>
        </w:tc>
      </w:tr>
      <w:tr w:rsidR="00E524A0" w:rsidTr="00763DEA">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200</w:t>
            </w:r>
            <w:r w:rsidRPr="0050332B">
              <w:rPr>
                <w:rFonts w:asciiTheme="minorEastAsia" w:eastAsiaTheme="minorEastAsia" w:hAnsiTheme="minorEastAsia" w:hint="eastAsia"/>
                <w:kern w:val="0"/>
                <w:sz w:val="24"/>
                <w:szCs w:val="21"/>
              </w:rPr>
              <w:t>万≤</w:t>
            </w: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0.02%</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kern w:val="0"/>
                <w:sz w:val="24"/>
                <w:szCs w:val="21"/>
              </w:rPr>
              <w:t>M</w:t>
            </w:r>
            <w:r w:rsidRPr="0050332B">
              <w:rPr>
                <w:rFonts w:asciiTheme="minorEastAsia" w:eastAsiaTheme="minorEastAsia" w:hAnsiTheme="minorEastAsia" w:hint="eastAsia"/>
                <w:kern w:val="0"/>
                <w:sz w:val="24"/>
                <w:szCs w:val="21"/>
              </w:rPr>
              <w:t>≥</w:t>
            </w:r>
            <w:r w:rsidRPr="0050332B">
              <w:rPr>
                <w:rFonts w:asciiTheme="minorEastAsia" w:eastAsiaTheme="minorEastAsia" w:hAnsiTheme="minorEastAsia" w:hint="eastAsia"/>
                <w:kern w:val="0"/>
                <w:sz w:val="24"/>
                <w:szCs w:val="21"/>
              </w:rPr>
              <w:t>500</w:t>
            </w:r>
            <w:r w:rsidRPr="0050332B">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50332B">
            <w:pPr>
              <w:spacing w:line="360" w:lineRule="auto"/>
              <w:jc w:val="center"/>
              <w:outlineLvl w:val="2"/>
              <w:rPr>
                <w:rFonts w:asciiTheme="minorEastAsia" w:eastAsiaTheme="minorEastAsia" w:hAnsiTheme="minorEastAsia"/>
                <w:kern w:val="0"/>
                <w:sz w:val="24"/>
                <w:szCs w:val="21"/>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9D0BE8"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申购金额</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申购费率</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0.6%</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100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bCs/>
                <w:kern w:val="0"/>
                <w:sz w:val="24"/>
              </w:rPr>
            </w:pPr>
            <w:r w:rsidRPr="0050332B">
              <w:rPr>
                <w:rFonts w:asciiTheme="minorEastAsia" w:eastAsiaTheme="minorEastAsia" w:hAnsiTheme="minorEastAsia" w:hint="eastAsia"/>
                <w:sz w:val="24"/>
              </w:rPr>
              <w:t>0.4%</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200</w:t>
            </w:r>
            <w:r w:rsidRPr="0050332B">
              <w:rPr>
                <w:rFonts w:asciiTheme="minorEastAsia" w:eastAsiaTheme="minorEastAsia" w:hAnsiTheme="minorEastAsia" w:hint="eastAsia"/>
                <w:kern w:val="0"/>
                <w:sz w:val="24"/>
              </w:rPr>
              <w:t>万≤</w:t>
            </w: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0.2%</w:t>
            </w:r>
          </w:p>
        </w:tc>
      </w:tr>
      <w:tr w:rsidR="00E524A0" w:rsidTr="00763DEA">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M</w:t>
            </w:r>
            <w:r w:rsidRPr="0050332B">
              <w:rPr>
                <w:rFonts w:asciiTheme="minorEastAsia" w:eastAsiaTheme="minorEastAsia" w:hAnsiTheme="minorEastAsia" w:hint="eastAsia"/>
                <w:kern w:val="0"/>
                <w:sz w:val="24"/>
              </w:rPr>
              <w:t>≥</w:t>
            </w:r>
            <w:r w:rsidRPr="0050332B">
              <w:rPr>
                <w:rFonts w:asciiTheme="minorEastAsia" w:eastAsiaTheme="minorEastAsia" w:hAnsiTheme="minorEastAsia" w:hint="eastAsia"/>
                <w:kern w:val="0"/>
                <w:sz w:val="24"/>
              </w:rPr>
              <w:t>500</w:t>
            </w:r>
            <w:r w:rsidRPr="0050332B">
              <w:rPr>
                <w:rFonts w:asciiTheme="minorEastAsia" w:eastAsiaTheme="minorEastAsia" w:hAnsiTheme="minorEastAsia" w:hint="eastAsia"/>
                <w:kern w:val="0"/>
                <w:sz w:val="24"/>
              </w:rPr>
              <w:t>万</w:t>
            </w:r>
          </w:p>
        </w:tc>
        <w:tc>
          <w:tcPr>
            <w:tcW w:w="2495" w:type="pct"/>
            <w:tcBorders>
              <w:top w:val="single" w:sz="4" w:space="0" w:color="auto"/>
              <w:left w:val="nil"/>
              <w:bottom w:val="single" w:sz="8" w:space="0" w:color="auto"/>
              <w:right w:val="single" w:sz="8" w:space="0" w:color="auto"/>
            </w:tcBorders>
            <w:hideMark/>
          </w:tcPr>
          <w:p w:rsidR="00866626" w:rsidRPr="0050332B" w:rsidRDefault="009D0BE8" w:rsidP="00763DEA">
            <w:pPr>
              <w:widowControl/>
              <w:spacing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1,000</w:t>
            </w:r>
            <w:r w:rsidRPr="0050332B">
              <w:rPr>
                <w:rFonts w:asciiTheme="minorEastAsia" w:eastAsiaTheme="minorEastAsia" w:hAnsiTheme="minorEastAsia" w:hint="eastAsia"/>
                <w:sz w:val="24"/>
              </w:rPr>
              <w:t>元</w:t>
            </w:r>
            <w:r w:rsidRPr="0050332B">
              <w:rPr>
                <w:rFonts w:asciiTheme="minorEastAsia" w:eastAsiaTheme="minorEastAsia" w:hAnsiTheme="minorEastAsia" w:hint="eastAsia"/>
                <w:sz w:val="24"/>
              </w:rPr>
              <w:t>/</w:t>
            </w:r>
            <w:r w:rsidRPr="0050332B">
              <w:rPr>
                <w:rFonts w:asciiTheme="minorEastAsia" w:eastAsiaTheme="minorEastAsia" w:hAnsiTheme="minorEastAsia" w:hint="eastAsia"/>
                <w:sz w:val="24"/>
              </w:rPr>
              <w:t>笔</w:t>
            </w:r>
          </w:p>
        </w:tc>
      </w:tr>
    </w:tbl>
    <w:p w:rsidR="00866626" w:rsidRDefault="009D0BE8" w:rsidP="0086662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规定媒介上公告。</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w:t>
      </w:r>
      <w:r>
        <w:rPr>
          <w:rFonts w:asciiTheme="minorEastAsia" w:eastAsiaTheme="minorEastAsia" w:hAnsiTheme="minorEastAsia" w:hint="eastAsia"/>
          <w:sz w:val="24"/>
        </w:rPr>
        <w:t>动期间，基金管理人履行适当程序后可以适当调低基金销售费率，或针对特定渠道、特定投资群体开展有差别的费率优惠活动。</w:t>
      </w:r>
    </w:p>
    <w:p w:rsidR="001C0031" w:rsidRPr="00B20CCD" w:rsidRDefault="009D0BE8" w:rsidP="001C0031">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C0031" w:rsidRPr="0076670F" w:rsidRDefault="009D0BE8" w:rsidP="001C0031">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C0031" w:rsidRDefault="009D0BE8" w:rsidP="001C0031">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866626" w:rsidRDefault="009D0BE8"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w:t>
      </w:r>
      <w:r>
        <w:rPr>
          <w:rFonts w:asciiTheme="minorEastAsia" w:eastAsiaTheme="minorEastAsia" w:hAnsiTheme="minorEastAsia" w:hint="eastAsia"/>
          <w:kern w:val="0"/>
          <w:sz w:val="24"/>
        </w:rPr>
        <w:t>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866626" w:rsidRDefault="009D0BE8"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基金管理人可以根据市场情况，在不违反法律法规的情况下，调整上述规定赎回份额的数量限制。基金管理人必须在调整前依照《信息披露办法》的有关规定在规定媒介上公告。</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E524A0"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持有时间（天）</w:t>
            </w:r>
            <w:r w:rsidRPr="0050332B">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赎回费率</w:t>
            </w:r>
            <w:r w:rsidRPr="0050332B">
              <w:rPr>
                <w:rFonts w:asciiTheme="minorEastAsia" w:eastAsiaTheme="minorEastAsia" w:hAnsiTheme="minorEastAsia" w:hint="eastAsia"/>
                <w:kern w:val="0"/>
                <w:sz w:val="24"/>
              </w:rPr>
              <w:t xml:space="preserve"> </w:t>
            </w:r>
          </w:p>
        </w:tc>
      </w:tr>
      <w:tr w:rsidR="00E524A0"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1.5%</w:t>
            </w:r>
          </w:p>
        </w:tc>
      </w:tr>
      <w:tr w:rsidR="00E524A0"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0.75%</w:t>
            </w:r>
          </w:p>
        </w:tc>
      </w:tr>
      <w:tr w:rsidR="00E524A0" w:rsidTr="00763DEA">
        <w:trPr>
          <w:jc w:val="center"/>
        </w:trPr>
        <w:tc>
          <w:tcPr>
            <w:tcW w:w="3870"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30</w:t>
            </w:r>
            <w:r w:rsidRPr="0050332B">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866626" w:rsidRPr="0050332B" w:rsidRDefault="009D0BE8" w:rsidP="00763DEA">
            <w:pPr>
              <w:widowControl/>
              <w:spacing w:before="100" w:beforeAutospacing="1" w:after="100" w:afterAutospacing="1" w:line="360" w:lineRule="auto"/>
              <w:jc w:val="center"/>
              <w:rPr>
                <w:rFonts w:asciiTheme="minorEastAsia" w:eastAsiaTheme="minorEastAsia" w:hAnsiTheme="minorEastAsia"/>
                <w:kern w:val="0"/>
                <w:sz w:val="24"/>
              </w:rPr>
            </w:pPr>
            <w:r w:rsidRPr="0050332B">
              <w:rPr>
                <w:rFonts w:asciiTheme="minorEastAsia" w:eastAsiaTheme="minorEastAsia" w:hAnsiTheme="minorEastAsia" w:hint="eastAsia"/>
                <w:sz w:val="24"/>
              </w:rPr>
              <w:t>0</w:t>
            </w:r>
          </w:p>
        </w:tc>
      </w:tr>
    </w:tbl>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675CD" w:rsidRDefault="009D0BE8" w:rsidP="0086662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866626" w:rsidRDefault="009D0BE8" w:rsidP="0086662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规定媒介上公告。</w:t>
      </w:r>
    </w:p>
    <w:p w:rsidR="00866626" w:rsidRDefault="009D0BE8" w:rsidP="008666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w:t>
      </w:r>
      <w:r>
        <w:rPr>
          <w:rFonts w:asciiTheme="minorEastAsia" w:eastAsiaTheme="minorEastAsia" w:hAnsiTheme="minorEastAsia" w:hint="eastAsia"/>
          <w:kern w:val="0"/>
          <w:sz w:val="24"/>
        </w:rPr>
        <w:t>率优惠活动</w:t>
      </w:r>
      <w:r>
        <w:rPr>
          <w:rFonts w:asciiTheme="minorEastAsia" w:eastAsiaTheme="minorEastAsia" w:hAnsiTheme="minorEastAsia" w:hint="eastAsia"/>
          <w:sz w:val="24"/>
        </w:rPr>
        <w:t>。</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为申购补差费。</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）转入基金时，从申购费用低的基金向申购费用高的基金转换时，每次收取申购补差费用；从申购费用高的基金向申购</w:t>
      </w:r>
      <w:r>
        <w:rPr>
          <w:rFonts w:asciiTheme="minorEastAsia" w:eastAsiaTheme="minorEastAsia" w:hAnsiTheme="minorEastAsia" w:hint="eastAsia"/>
          <w:sz w:val="24"/>
        </w:rPr>
        <w:t>费用低的基金转换时，不收取申购补差费用（</w:t>
      </w:r>
      <w:r w:rsidR="00AC0C54"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）转出基金时，如涉及的转出基金有赎回费用，收取该基金的</w:t>
      </w:r>
      <w:r>
        <w:rPr>
          <w:rFonts w:asciiTheme="minorEastAsia" w:eastAsiaTheme="minorEastAsia" w:hAnsiTheme="minorEastAsia" w:hint="eastAsia"/>
          <w:sz w:val="24"/>
        </w:rPr>
        <w:t>赎回费用。收取的赎回费按照各基金的《基金合同》、《招募说明书》（含更新）及最新的相关公告约定的比例归入基金财产，其余部分用于支付注册登记费等相关手续费。</w:t>
      </w:r>
    </w:p>
    <w:p w:rsidR="00AC7C92" w:rsidRDefault="009D0BE8" w:rsidP="0086662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FF6865" w:rsidRDefault="009D0BE8" w:rsidP="00FF6865">
      <w:pPr>
        <w:pStyle w:val="aa"/>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w:t>
      </w:r>
      <w:r>
        <w:rPr>
          <w:rFonts w:asciiTheme="minorEastAsia" w:hAnsiTheme="minorEastAsia" w:hint="eastAsia"/>
          <w:sz w:val="24"/>
        </w:rPr>
        <w:t>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FF6865" w:rsidRDefault="009D0BE8" w:rsidP="00FF6865">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866626" w:rsidRDefault="009D0BE8" w:rsidP="00FF6865">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C0031" w:rsidRDefault="009D0BE8" w:rsidP="0086662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C0031">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BB20B0">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w:t>
      </w:r>
      <w:r>
        <w:rPr>
          <w:rFonts w:asciiTheme="minorEastAsia" w:hAnsiTheme="minorEastAsia" w:hint="eastAsia"/>
          <w:sz w:val="24"/>
        </w:rPr>
        <w:t>换转入到本基金；假设转出基金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(1+0.60%)=</w:t>
      </w:r>
      <w:r>
        <w:rPr>
          <w:rFonts w:asciiTheme="minorEastAsia" w:hAnsiTheme="minorEastAsia" w:hint="eastAsia"/>
          <w:sz w:val="24"/>
        </w:rPr>
        <w:t>89.46</w:t>
      </w:r>
      <w:r>
        <w:rPr>
          <w:rFonts w:asciiTheme="minorEastAsia" w:hAnsiTheme="minorEastAsia" w:hint="eastAsia"/>
          <w:sz w:val="24"/>
        </w:rPr>
        <w:t>元</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FF6865" w:rsidRDefault="009D0BE8" w:rsidP="00FF6865">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866626" w:rsidRDefault="009D0BE8" w:rsidP="00FF6865">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866626" w:rsidRDefault="009D0BE8" w:rsidP="0086662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866626" w:rsidRDefault="009D0BE8" w:rsidP="00866626">
      <w:pPr>
        <w:spacing w:line="360" w:lineRule="auto"/>
        <w:ind w:firstLineChars="200" w:firstLine="480"/>
        <w:rPr>
          <w:rFonts w:asciiTheme="minorEastAsia" w:eastAsiaTheme="minorEastAsia" w:hAnsiTheme="minorEastAsia"/>
          <w:sz w:val="24"/>
        </w:rPr>
      </w:pPr>
      <w:r w:rsidRPr="008E4575">
        <w:rPr>
          <w:rFonts w:asciiTheme="minorEastAsia" w:eastAsiaTheme="minorEastAsia" w:hAnsiTheme="minorEastAsia" w:hint="eastAsia"/>
          <w:sz w:val="24"/>
        </w:rPr>
        <w:t>本基金开通与易方达旗下其它开放式基金（</w:t>
      </w:r>
      <w:r w:rsidR="007F485C" w:rsidRPr="00E65F48">
        <w:rPr>
          <w:rFonts w:asciiTheme="minorEastAsia" w:eastAsiaTheme="minorEastAsia" w:hAnsiTheme="minorEastAsia" w:hint="eastAsia"/>
          <w:sz w:val="24"/>
        </w:rPr>
        <w:t>由同一注册登记机构办理注册登记的、</w:t>
      </w:r>
      <w:r w:rsidR="00E708AF" w:rsidRPr="00DD69CC">
        <w:rPr>
          <w:rFonts w:asciiTheme="minorEastAsia" w:eastAsiaTheme="minorEastAsia" w:hAnsiTheme="minorEastAsia" w:hint="eastAsia"/>
          <w:color w:val="000000"/>
          <w:sz w:val="24"/>
        </w:rPr>
        <w:t>申购赎回T+1</w:t>
      </w:r>
      <w:r w:rsidR="00E708AF">
        <w:rPr>
          <w:rFonts w:asciiTheme="minorEastAsia" w:eastAsiaTheme="minorEastAsia" w:hAnsiTheme="minorEastAsia" w:hint="eastAsia"/>
          <w:color w:val="000000"/>
          <w:sz w:val="24"/>
        </w:rPr>
        <w:t>工作</w:t>
      </w:r>
      <w:r w:rsidR="00E708AF" w:rsidRPr="00DD69CC">
        <w:rPr>
          <w:rFonts w:asciiTheme="minorEastAsia" w:eastAsiaTheme="minorEastAsia" w:hAnsiTheme="minorEastAsia" w:hint="eastAsia"/>
          <w:color w:val="000000"/>
          <w:sz w:val="24"/>
        </w:rPr>
        <w:t>日确认</w:t>
      </w:r>
      <w:r w:rsidR="00E708AF">
        <w:rPr>
          <w:rFonts w:asciiTheme="minorEastAsia" w:eastAsiaTheme="minorEastAsia" w:hAnsiTheme="minorEastAsia" w:hint="eastAsia"/>
          <w:color w:val="000000"/>
          <w:sz w:val="24"/>
        </w:rPr>
        <w:t>、</w:t>
      </w:r>
      <w:r w:rsidR="007F485C" w:rsidRPr="00E65F48">
        <w:rPr>
          <w:rFonts w:asciiTheme="minorEastAsia" w:eastAsiaTheme="minorEastAsia" w:hAnsiTheme="minorEastAsia" w:hint="eastAsia"/>
          <w:sz w:val="24"/>
        </w:rPr>
        <w:t>已公告开通基金转换业务、且通过非个人养老金资金账户投资</w:t>
      </w:r>
      <w:r w:rsidRPr="008E4575">
        <w:rPr>
          <w:rFonts w:asciiTheme="minorEastAsia" w:eastAsiaTheme="minorEastAsia" w:hAnsiTheme="minorEastAsia" w:hint="eastAsia"/>
          <w:sz w:val="24"/>
        </w:rPr>
        <w:t>）之间的转换业务，各基金转换业务的开放状态及交易限制详见各基金相关公告。</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866626" w:rsidRDefault="009D0BE8" w:rsidP="0086662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6E06FE" w:rsidRPr="006E06FE">
        <w:rPr>
          <w:rFonts w:asciiTheme="minorEastAsia" w:hAnsiTheme="minorEastAsia" w:hint="eastAsia"/>
          <w:sz w:val="24"/>
        </w:rPr>
        <w:t>其他销售机构开通本基金的转换业务情况敬请投资者关注各销售机构开通转换业务的公告或垂询相关销售机构。</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191EF5">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191EF5">
        <w:rPr>
          <w:rFonts w:asciiTheme="minorEastAsia" w:eastAsiaTheme="minorEastAsia" w:hAnsiTheme="minorEastAsia" w:hint="eastAsia"/>
          <w:sz w:val="24"/>
        </w:rPr>
        <w:t>）基金转换后，转入的基金份额的持有期将自转入的基金份额被确认之日起重新开始计算。</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191EF5">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191EF5">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2675E7"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191EF5">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AC7C92" w:rsidRDefault="009D0BE8" w:rsidP="00866626">
      <w:pPr>
        <w:spacing w:line="360" w:lineRule="auto"/>
        <w:ind w:firstLineChars="200" w:firstLine="480"/>
        <w:rPr>
          <w:rFonts w:asciiTheme="minorEastAsia" w:eastAsia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工作日为投资者办理减少转出基金份额、增加转入基金份额的权益登记手续，一般情况下，投资者自</w:t>
      </w:r>
      <w:r>
        <w:rPr>
          <w:rFonts w:asciiTheme="minorEastAsia" w:eastAsiaTheme="minorEastAsia" w:hAnsiTheme="minorEastAsia" w:hint="eastAsia"/>
          <w:sz w:val="24"/>
        </w:rPr>
        <w:t>T+2</w:t>
      </w:r>
      <w:r>
        <w:rPr>
          <w:rFonts w:asciiTheme="minorEastAsia" w:eastAsiaTheme="minorEastAsia" w:hAnsiTheme="minorEastAsia" w:hint="eastAsia"/>
          <w:sz w:val="24"/>
        </w:rPr>
        <w:t>工作日起有权赎回转入部分的基金份额</w:t>
      </w:r>
      <w:r w:rsidRPr="00982311">
        <w:rPr>
          <w:rFonts w:asciiTheme="minorEastAsia" w:hAnsiTheme="minorEastAsia"/>
          <w:bCs/>
          <w:sz w:val="24"/>
        </w:rPr>
        <w:t>（</w:t>
      </w:r>
      <w:r w:rsidRPr="00982311">
        <w:rPr>
          <w:rFonts w:asciiTheme="minorEastAsia" w:hAnsiTheme="minorEastAsia" w:hint="eastAsia"/>
          <w:bCs/>
          <w:sz w:val="24"/>
        </w:rPr>
        <w:t>本基金封闭运作期内不开放</w:t>
      </w:r>
      <w:r w:rsidRPr="00982311">
        <w:rPr>
          <w:rFonts w:asciiTheme="minorEastAsia" w:hAnsiTheme="minorEastAsia"/>
          <w:bCs/>
          <w:sz w:val="24"/>
        </w:rPr>
        <w:t>申购、赎回、转换业务）</w:t>
      </w:r>
      <w:r>
        <w:rPr>
          <w:rFonts w:asciiTheme="minorEastAsia" w:eastAsiaTheme="minorEastAsia" w:hAnsiTheme="minorEastAsia" w:hint="eastAsia"/>
          <w:sz w:val="24"/>
        </w:rPr>
        <w:t>。</w:t>
      </w:r>
    </w:p>
    <w:p w:rsidR="00AC7C92" w:rsidRDefault="009D0BE8" w:rsidP="0086662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AC7C92">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w:t>
      </w:r>
      <w:r>
        <w:rPr>
          <w:rFonts w:asciiTheme="minorEastAsia" w:eastAsiaTheme="minorEastAsia" w:hAnsiTheme="minorEastAsia" w:hint="eastAsia"/>
          <w:sz w:val="24"/>
        </w:rPr>
        <w:t>在调整生效前</w:t>
      </w:r>
      <w:r>
        <w:rPr>
          <w:rFonts w:asciiTheme="minorEastAsia" w:eastAsiaTheme="minorEastAsia" w:hAnsiTheme="minorEastAsia" w:hint="eastAsia"/>
          <w:kern w:val="0"/>
          <w:sz w:val="24"/>
        </w:rPr>
        <w:t>依照《信息披露办法》的有关规定在规定媒介上公告。</w:t>
      </w:r>
    </w:p>
    <w:p w:rsidR="00866626" w:rsidRDefault="009D0BE8"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866626" w:rsidRDefault="009D0BE8" w:rsidP="0086662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w:t>
      </w:r>
      <w:r w:rsidR="002028E0" w:rsidRPr="00233932">
        <w:rPr>
          <w:rFonts w:asciiTheme="minorEastAsia" w:eastAsiaTheme="minorEastAsia" w:hAnsiTheme="minorEastAsia"/>
          <w:sz w:val="24"/>
        </w:rPr>
        <w:t>广东省广州市天河区珠江西路21号52层；广东省广州市天河区珠江东路30号42层</w:t>
      </w:r>
      <w:r w:rsidR="002028E0">
        <w:rPr>
          <w:rFonts w:asciiTheme="minorEastAsia" w:eastAsiaTheme="minorEastAsia" w:hAnsiTheme="minorEastAsia" w:hint="eastAsia"/>
          <w:sz w:val="24"/>
        </w:rPr>
        <w:t>；广东省珠海市横琴新区荣粤道188号6层</w:t>
      </w:r>
      <w:bookmarkStart w:id="2" w:name="_GoBack"/>
      <w:bookmarkEnd w:id="2"/>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F32644">
        <w:rPr>
          <w:rFonts w:asciiTheme="minorEastAsia" w:eastAsiaTheme="minorEastAsia" w:hAnsiTheme="minorEastAsia" w:hint="eastAsia"/>
          <w:sz w:val="24"/>
        </w:rPr>
        <w:t>吴欣荣</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539B8" w:rsidRDefault="009D0BE8" w:rsidP="00E53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866626" w:rsidRDefault="009D0BE8" w:rsidP="0086662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866626" w:rsidRDefault="009D0BE8" w:rsidP="00B7160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866626" w:rsidRDefault="009D0BE8" w:rsidP="0086662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信息披露办法》《基金合同》和《更新的招募说明书》的有关规定，基金管理人应当在不晚于每个开放日的次日，通过规定网站、基金销售机构网站或者营业网点，披露开放日的基金份额净值和基金份额累计净值。</w:t>
      </w:r>
    </w:p>
    <w:p w:rsidR="001675CD" w:rsidRDefault="009D0BE8" w:rsidP="00866626">
      <w:pPr>
        <w:spacing w:line="360" w:lineRule="auto"/>
        <w:ind w:firstLineChars="200" w:firstLine="480"/>
        <w:rPr>
          <w:rFonts w:asciiTheme="minorEastAsia" w:eastAsiaTheme="minorEastAsia" w:hAnsiTheme="minorEastAsia"/>
          <w:sz w:val="24"/>
        </w:rPr>
      </w:pPr>
      <w:r w:rsidRPr="001675CD">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1675CD">
        <w:rPr>
          <w:rFonts w:asciiTheme="minorEastAsia" w:eastAsiaTheme="minorEastAsia" w:hAnsiTheme="minorEastAsia" w:hint="eastAsia"/>
          <w:sz w:val="24"/>
        </w:rPr>
        <w:t>网站披露半年度和年度最后一日的基金份额净值和基金份额累计净值。</w:t>
      </w:r>
    </w:p>
    <w:p w:rsidR="00866626" w:rsidRDefault="009D0BE8" w:rsidP="0086662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A4236A" w:rsidRPr="00A4236A">
        <w:rPr>
          <w:rFonts w:asciiTheme="minorEastAsia" w:eastAsiaTheme="minorEastAsia" w:hAnsiTheme="minorEastAsia" w:hint="eastAsia"/>
          <w:sz w:val="24"/>
        </w:rPr>
        <w:t>第</w:t>
      </w:r>
      <w:r>
        <w:rPr>
          <w:rFonts w:ascii="宋体" w:hAnsi="宋体" w:cs="宋体"/>
          <w:sz w:val="24"/>
        </w:rPr>
        <w:t>三十二</w:t>
      </w:r>
      <w:r>
        <w:rPr>
          <w:sz w:val="24"/>
        </w:rPr>
        <w:t>个</w:t>
      </w:r>
      <w:r>
        <w:rPr>
          <w:rFonts w:asciiTheme="minorEastAsia" w:eastAsiaTheme="minorEastAsia" w:hAnsiTheme="minorEastAsia" w:hint="eastAsia"/>
          <w:sz w:val="24"/>
        </w:rPr>
        <w:t>运作期开放申购、赎回、转换业务有关的事项予以说明。投资者欲了解本基金的详细情况，请仔细阅读《基金合同》《更新的招募说明书》</w:t>
      </w:r>
      <w:r w:rsidRPr="008E4575">
        <w:rPr>
          <w:rFonts w:asciiTheme="minorEastAsia" w:eastAsiaTheme="minorEastAsia" w:hAnsiTheme="minorEastAsia" w:hint="eastAsia"/>
          <w:sz w:val="24"/>
        </w:rPr>
        <w:t>及基金产品资料概要等基金法律文件。</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w:t>
      </w:r>
      <w:r>
        <w:rPr>
          <w:rFonts w:asciiTheme="minorEastAsia" w:eastAsiaTheme="minorEastAsia" w:hAnsiTheme="minorEastAsia" w:hint="eastAsia"/>
          <w:sz w:val="24"/>
        </w:rPr>
        <w:t>的受理并不代表该申请一定成功，而仅代表销售机构确实接收到申购、赎回和转换申请。申购、赎回和转换的确认以注册登记机构的确认结果为准。对于申购申请及申购份额的确认情况，投资者应及时查询并妥善行使合法权利。</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866626" w:rsidRDefault="009D0BE8"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866626" w:rsidRDefault="009D0BE8"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866626" w:rsidRDefault="009D0BE8" w:rsidP="0086662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Pr="008E4575">
        <w:rPr>
          <w:rFonts w:asciiTheme="minorEastAsia" w:eastAsiaTheme="minorEastAsia" w:hAnsiTheme="minorEastAsia" w:hint="eastAsia"/>
          <w:sz w:val="24"/>
        </w:rPr>
        <w:t>风险提示：基金管理人承诺以诚实信用、勤勉尽责的原则管理和运用基金资产，但不保证基金一定盈利，也不保证最低收益。销售机构根据法规要求对投资者类别、风险承受</w:t>
      </w:r>
      <w:r w:rsidRPr="008E4575">
        <w:rPr>
          <w:rFonts w:asciiTheme="minorEastAsia" w:eastAsiaTheme="minorEastAsia" w:hAnsiTheme="minorEastAsia" w:hint="eastAsia"/>
          <w:sz w:val="24"/>
        </w:rPr>
        <w:t>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66626" w:rsidRDefault="009D0BE8" w:rsidP="0086662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866626" w:rsidRDefault="009D0BE8" w:rsidP="0086662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866626" w:rsidRDefault="009D0BE8" w:rsidP="00866626">
      <w:pPr>
        <w:spacing w:line="420" w:lineRule="exact"/>
        <w:ind w:firstLineChars="200" w:firstLine="480"/>
        <w:jc w:val="right"/>
        <w:rPr>
          <w:rFonts w:asciiTheme="minorEastAsia" w:eastAsiaTheme="minorEastAsia" w:hAnsiTheme="minorEastAsia"/>
          <w:sz w:val="24"/>
        </w:rPr>
      </w:pPr>
      <w:r w:rsidRPr="00A4236A">
        <w:rPr>
          <w:rFonts w:asciiTheme="minorEastAsia" w:eastAsiaTheme="minorEastAsia" w:hAnsiTheme="minorEastAsia" w:cs="宋体"/>
          <w:sz w:val="24"/>
        </w:rPr>
        <w:t>2026</w:t>
      </w:r>
      <w:r w:rsidRPr="00A4236A">
        <w:rPr>
          <w:rFonts w:asciiTheme="minorEastAsia" w:eastAsiaTheme="minorEastAsia" w:hAnsiTheme="minorEastAsia" w:cs="宋体"/>
          <w:sz w:val="24"/>
        </w:rPr>
        <w:t>年</w:t>
      </w:r>
      <w:r w:rsidRPr="00A4236A">
        <w:rPr>
          <w:rFonts w:asciiTheme="minorEastAsia" w:eastAsiaTheme="minorEastAsia" w:hAnsiTheme="minorEastAsia" w:cs="宋体"/>
          <w:sz w:val="24"/>
        </w:rPr>
        <w:t>1</w:t>
      </w:r>
      <w:r w:rsidRPr="00A4236A">
        <w:rPr>
          <w:rFonts w:asciiTheme="minorEastAsia" w:eastAsiaTheme="minorEastAsia" w:hAnsiTheme="minorEastAsia" w:cs="宋体"/>
          <w:sz w:val="24"/>
        </w:rPr>
        <w:t>月</w:t>
      </w:r>
      <w:r w:rsidRPr="00A4236A">
        <w:rPr>
          <w:rFonts w:asciiTheme="minorEastAsia" w:eastAsiaTheme="minorEastAsia" w:hAnsiTheme="minorEastAsia" w:cs="宋体"/>
          <w:sz w:val="24"/>
        </w:rPr>
        <w:t>13</w:t>
      </w:r>
      <w:r w:rsidRPr="00A4236A">
        <w:rPr>
          <w:rFonts w:asciiTheme="minorEastAsia" w:eastAsiaTheme="minorEastAsia" w:hAnsiTheme="minorEastAsia" w:cs="宋体"/>
          <w:sz w:val="24"/>
        </w:rPr>
        <w:t>日</w:t>
      </w:r>
      <w:hyperlink w:history="1"/>
    </w:p>
    <w:p w:rsidR="00866626" w:rsidRPr="00A4236A" w:rsidRDefault="00866626" w:rsidP="00866626">
      <w:pPr>
        <w:rPr>
          <w:rFonts w:asciiTheme="minorEastAsia" w:eastAsiaTheme="minorEastAsia" w:hAnsiTheme="minorEastAsia"/>
        </w:rPr>
      </w:pPr>
    </w:p>
    <w:p w:rsidR="00043F41" w:rsidRPr="00A4236A" w:rsidRDefault="00043F41">
      <w:pPr>
        <w:rPr>
          <w:rFonts w:asciiTheme="minorEastAsia" w:eastAsiaTheme="minorEastAsia" w:hAnsiTheme="minorEastAsia"/>
        </w:rPr>
      </w:pPr>
    </w:p>
    <w:sectPr w:rsidR="00043F41" w:rsidRPr="00A4236A"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A0" w:rsidRDefault="00E524A0" w:rsidP="00E524A0">
      <w:r>
        <w:separator/>
      </w:r>
    </w:p>
  </w:endnote>
  <w:endnote w:type="continuationSeparator" w:id="0">
    <w:p w:rsidR="00E524A0" w:rsidRDefault="00E524A0" w:rsidP="00E52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E524A0" w:rsidP="00E57126">
    <w:pPr>
      <w:pStyle w:val="a4"/>
      <w:jc w:val="center"/>
    </w:pPr>
    <w:r>
      <w:rPr>
        <w:rStyle w:val="a5"/>
      </w:rPr>
      <w:fldChar w:fldCharType="begin"/>
    </w:r>
    <w:r w:rsidR="009D0BE8">
      <w:rPr>
        <w:rStyle w:val="a5"/>
      </w:rPr>
      <w:instrText xml:space="preserve"> PAGE </w:instrText>
    </w:r>
    <w:r>
      <w:rPr>
        <w:rStyle w:val="a5"/>
      </w:rPr>
      <w:fldChar w:fldCharType="separate"/>
    </w:r>
    <w:r w:rsidR="009D0BE8">
      <w:rPr>
        <w:rStyle w:val="a5"/>
        <w:noProof/>
      </w:rPr>
      <w:t>2</w:t>
    </w:r>
    <w:r>
      <w:rPr>
        <w:rStyle w:val="a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9D0BE8"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A0" w:rsidRDefault="00E524A0" w:rsidP="00E524A0">
      <w:r>
        <w:separator/>
      </w:r>
    </w:p>
  </w:footnote>
  <w:footnote w:type="continuationSeparator" w:id="0">
    <w:p w:rsidR="00E524A0" w:rsidRDefault="00E524A0" w:rsidP="00E52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9D0BE8" w:rsidP="004649DF">
    <w:pPr>
      <w:pStyle w:val="a3"/>
      <w:rPr>
        <w:rStyle w:val="a5"/>
      </w:rPr>
    </w:pPr>
    <w:r>
      <w:rPr>
        <w:rStyle w:val="a5"/>
        <w:rFonts w:hint="eastAsia"/>
      </w:rPr>
      <w:t xml:space="preserve">                                             </w:t>
    </w:r>
  </w:p>
  <w:p w:rsidR="00460A5E" w:rsidRPr="004649DF" w:rsidRDefault="009D0BE8"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7D6"/>
    <w:rsid w:val="0002073F"/>
    <w:rsid w:val="00043F41"/>
    <w:rsid w:val="000558E0"/>
    <w:rsid w:val="00070B95"/>
    <w:rsid w:val="000764F8"/>
    <w:rsid w:val="000A15E3"/>
    <w:rsid w:val="000A19F2"/>
    <w:rsid w:val="000C3945"/>
    <w:rsid w:val="000D2618"/>
    <w:rsid w:val="00123C4C"/>
    <w:rsid w:val="00137756"/>
    <w:rsid w:val="00151402"/>
    <w:rsid w:val="001675CD"/>
    <w:rsid w:val="00175BEB"/>
    <w:rsid w:val="0018535A"/>
    <w:rsid w:val="001904CB"/>
    <w:rsid w:val="00191EF5"/>
    <w:rsid w:val="001C0031"/>
    <w:rsid w:val="001C07FC"/>
    <w:rsid w:val="001C775A"/>
    <w:rsid w:val="001E509B"/>
    <w:rsid w:val="002028E0"/>
    <w:rsid w:val="00205FF2"/>
    <w:rsid w:val="00223676"/>
    <w:rsid w:val="00233932"/>
    <w:rsid w:val="00250B5F"/>
    <w:rsid w:val="00261B16"/>
    <w:rsid w:val="002675E7"/>
    <w:rsid w:val="002915AC"/>
    <w:rsid w:val="002D4EB7"/>
    <w:rsid w:val="002D7036"/>
    <w:rsid w:val="00306BF1"/>
    <w:rsid w:val="00317F38"/>
    <w:rsid w:val="0032624A"/>
    <w:rsid w:val="003314EE"/>
    <w:rsid w:val="003361E8"/>
    <w:rsid w:val="00340A35"/>
    <w:rsid w:val="00353781"/>
    <w:rsid w:val="00357EBF"/>
    <w:rsid w:val="003724C0"/>
    <w:rsid w:val="00396E2F"/>
    <w:rsid w:val="003A1917"/>
    <w:rsid w:val="003B388F"/>
    <w:rsid w:val="003B5F27"/>
    <w:rsid w:val="003C5339"/>
    <w:rsid w:val="003C7C90"/>
    <w:rsid w:val="003E1E2E"/>
    <w:rsid w:val="003E406F"/>
    <w:rsid w:val="004033F8"/>
    <w:rsid w:val="004048EF"/>
    <w:rsid w:val="0040744F"/>
    <w:rsid w:val="004132EA"/>
    <w:rsid w:val="0041748A"/>
    <w:rsid w:val="00425E56"/>
    <w:rsid w:val="0043562D"/>
    <w:rsid w:val="00446520"/>
    <w:rsid w:val="00447BF3"/>
    <w:rsid w:val="00450ED4"/>
    <w:rsid w:val="00452B2A"/>
    <w:rsid w:val="00460A5E"/>
    <w:rsid w:val="00462511"/>
    <w:rsid w:val="004649DF"/>
    <w:rsid w:val="00466FD8"/>
    <w:rsid w:val="0047687F"/>
    <w:rsid w:val="004807D6"/>
    <w:rsid w:val="00483516"/>
    <w:rsid w:val="0048549E"/>
    <w:rsid w:val="00492985"/>
    <w:rsid w:val="004959F7"/>
    <w:rsid w:val="004A0E35"/>
    <w:rsid w:val="004B4D0A"/>
    <w:rsid w:val="004C0DB1"/>
    <w:rsid w:val="004C370A"/>
    <w:rsid w:val="004C5974"/>
    <w:rsid w:val="004D6EDC"/>
    <w:rsid w:val="004F715A"/>
    <w:rsid w:val="00501F3C"/>
    <w:rsid w:val="0050332B"/>
    <w:rsid w:val="005162AD"/>
    <w:rsid w:val="005228F5"/>
    <w:rsid w:val="00560B76"/>
    <w:rsid w:val="0056583B"/>
    <w:rsid w:val="00582043"/>
    <w:rsid w:val="00594C0C"/>
    <w:rsid w:val="005B2F2E"/>
    <w:rsid w:val="005B73FE"/>
    <w:rsid w:val="005E753F"/>
    <w:rsid w:val="00604320"/>
    <w:rsid w:val="00605C5C"/>
    <w:rsid w:val="00610F81"/>
    <w:rsid w:val="0063527D"/>
    <w:rsid w:val="0067446F"/>
    <w:rsid w:val="00696736"/>
    <w:rsid w:val="006E06FE"/>
    <w:rsid w:val="006E755F"/>
    <w:rsid w:val="006F11FA"/>
    <w:rsid w:val="006F2828"/>
    <w:rsid w:val="007102E1"/>
    <w:rsid w:val="007105CC"/>
    <w:rsid w:val="00712D24"/>
    <w:rsid w:val="00714FAF"/>
    <w:rsid w:val="007325EB"/>
    <w:rsid w:val="00735878"/>
    <w:rsid w:val="00754C40"/>
    <w:rsid w:val="00763DEA"/>
    <w:rsid w:val="0076670F"/>
    <w:rsid w:val="00770DD0"/>
    <w:rsid w:val="007725A1"/>
    <w:rsid w:val="00773AFD"/>
    <w:rsid w:val="007C3814"/>
    <w:rsid w:val="007C7D0B"/>
    <w:rsid w:val="007D343F"/>
    <w:rsid w:val="007F485C"/>
    <w:rsid w:val="007F6BA3"/>
    <w:rsid w:val="007F7E76"/>
    <w:rsid w:val="008063CA"/>
    <w:rsid w:val="00811B37"/>
    <w:rsid w:val="00816D6D"/>
    <w:rsid w:val="00824EA6"/>
    <w:rsid w:val="00830C74"/>
    <w:rsid w:val="008451D2"/>
    <w:rsid w:val="00866626"/>
    <w:rsid w:val="0088233D"/>
    <w:rsid w:val="008A4689"/>
    <w:rsid w:val="008B57D9"/>
    <w:rsid w:val="008C5605"/>
    <w:rsid w:val="008C5F5D"/>
    <w:rsid w:val="008E3465"/>
    <w:rsid w:val="008E4575"/>
    <w:rsid w:val="008F7B3C"/>
    <w:rsid w:val="00905EBF"/>
    <w:rsid w:val="00921ED0"/>
    <w:rsid w:val="009604F4"/>
    <w:rsid w:val="00982311"/>
    <w:rsid w:val="00982DDB"/>
    <w:rsid w:val="009848E9"/>
    <w:rsid w:val="00985F06"/>
    <w:rsid w:val="009861E6"/>
    <w:rsid w:val="009908D0"/>
    <w:rsid w:val="009B04FB"/>
    <w:rsid w:val="009D0BE8"/>
    <w:rsid w:val="009D0FC5"/>
    <w:rsid w:val="009E7987"/>
    <w:rsid w:val="009F1592"/>
    <w:rsid w:val="009F456A"/>
    <w:rsid w:val="00A15E2C"/>
    <w:rsid w:val="00A22271"/>
    <w:rsid w:val="00A4005F"/>
    <w:rsid w:val="00A4236A"/>
    <w:rsid w:val="00A547F1"/>
    <w:rsid w:val="00A55756"/>
    <w:rsid w:val="00A830A6"/>
    <w:rsid w:val="00A92C12"/>
    <w:rsid w:val="00AC0C54"/>
    <w:rsid w:val="00AC7C92"/>
    <w:rsid w:val="00AE71F5"/>
    <w:rsid w:val="00AE7A21"/>
    <w:rsid w:val="00AF23B5"/>
    <w:rsid w:val="00AF5A7A"/>
    <w:rsid w:val="00B20CCD"/>
    <w:rsid w:val="00B21B24"/>
    <w:rsid w:val="00B33E75"/>
    <w:rsid w:val="00B5597B"/>
    <w:rsid w:val="00B7160F"/>
    <w:rsid w:val="00B73C91"/>
    <w:rsid w:val="00B83E05"/>
    <w:rsid w:val="00B93EC6"/>
    <w:rsid w:val="00B94D5D"/>
    <w:rsid w:val="00BA3B75"/>
    <w:rsid w:val="00BB15DF"/>
    <w:rsid w:val="00BB20B0"/>
    <w:rsid w:val="00BC777B"/>
    <w:rsid w:val="00BC7D80"/>
    <w:rsid w:val="00BD21A9"/>
    <w:rsid w:val="00BF1832"/>
    <w:rsid w:val="00C21A2A"/>
    <w:rsid w:val="00C305CF"/>
    <w:rsid w:val="00C319B2"/>
    <w:rsid w:val="00C7115D"/>
    <w:rsid w:val="00C92F02"/>
    <w:rsid w:val="00C93806"/>
    <w:rsid w:val="00C94118"/>
    <w:rsid w:val="00C97FC9"/>
    <w:rsid w:val="00CA350C"/>
    <w:rsid w:val="00CA3DAF"/>
    <w:rsid w:val="00CA55AA"/>
    <w:rsid w:val="00CA78F9"/>
    <w:rsid w:val="00CB4C5D"/>
    <w:rsid w:val="00CE0E27"/>
    <w:rsid w:val="00D0217C"/>
    <w:rsid w:val="00D05CDF"/>
    <w:rsid w:val="00D10675"/>
    <w:rsid w:val="00D15090"/>
    <w:rsid w:val="00D248C8"/>
    <w:rsid w:val="00D310BA"/>
    <w:rsid w:val="00D5233D"/>
    <w:rsid w:val="00D539F7"/>
    <w:rsid w:val="00D579E2"/>
    <w:rsid w:val="00D72940"/>
    <w:rsid w:val="00D76050"/>
    <w:rsid w:val="00D87C02"/>
    <w:rsid w:val="00DB14F2"/>
    <w:rsid w:val="00DC2316"/>
    <w:rsid w:val="00DD145B"/>
    <w:rsid w:val="00DD69CC"/>
    <w:rsid w:val="00DE05C6"/>
    <w:rsid w:val="00E02046"/>
    <w:rsid w:val="00E07091"/>
    <w:rsid w:val="00E10C4B"/>
    <w:rsid w:val="00E1323A"/>
    <w:rsid w:val="00E409FD"/>
    <w:rsid w:val="00E524A0"/>
    <w:rsid w:val="00E539B8"/>
    <w:rsid w:val="00E57126"/>
    <w:rsid w:val="00E65F48"/>
    <w:rsid w:val="00E708AF"/>
    <w:rsid w:val="00E8554C"/>
    <w:rsid w:val="00E92910"/>
    <w:rsid w:val="00EF221E"/>
    <w:rsid w:val="00EF3946"/>
    <w:rsid w:val="00F05A2F"/>
    <w:rsid w:val="00F06810"/>
    <w:rsid w:val="00F13455"/>
    <w:rsid w:val="00F211E0"/>
    <w:rsid w:val="00F32644"/>
    <w:rsid w:val="00F43400"/>
    <w:rsid w:val="00F561F7"/>
    <w:rsid w:val="00F635F9"/>
    <w:rsid w:val="00F67137"/>
    <w:rsid w:val="00F73E9C"/>
    <w:rsid w:val="00F81B7A"/>
    <w:rsid w:val="00F87AC2"/>
    <w:rsid w:val="00F9292A"/>
    <w:rsid w:val="00F9758A"/>
    <w:rsid w:val="00FB3535"/>
    <w:rsid w:val="00FD3555"/>
    <w:rsid w:val="00FE79B8"/>
    <w:rsid w:val="00FF62CA"/>
    <w:rsid w:val="00FF686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26"/>
    <w:pPr>
      <w:widowControl w:val="0"/>
      <w:jc w:val="both"/>
    </w:pPr>
    <w:rPr>
      <w:rFonts w:ascii="Times New Roman" w:eastAsia="宋体" w:hAnsi="Times New Roman" w:cs="Times New Roman"/>
      <w:szCs w:val="24"/>
    </w:rPr>
  </w:style>
  <w:style w:type="paragraph" w:styleId="3">
    <w:name w:val="heading 3"/>
    <w:basedOn w:val="a"/>
    <w:next w:val="a"/>
    <w:link w:val="3Char"/>
    <w:qFormat/>
    <w:rsid w:val="008666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626"/>
    <w:rPr>
      <w:sz w:val="18"/>
      <w:szCs w:val="18"/>
    </w:rPr>
  </w:style>
  <w:style w:type="paragraph" w:styleId="a4">
    <w:name w:val="footer"/>
    <w:basedOn w:val="a"/>
    <w:link w:val="Char0"/>
    <w:uiPriority w:val="99"/>
    <w:unhideWhenUsed/>
    <w:rsid w:val="008666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626"/>
    <w:rPr>
      <w:sz w:val="18"/>
      <w:szCs w:val="18"/>
    </w:rPr>
  </w:style>
  <w:style w:type="character" w:customStyle="1" w:styleId="3Char">
    <w:name w:val="标题 3 Char"/>
    <w:basedOn w:val="a0"/>
    <w:link w:val="3"/>
    <w:rsid w:val="00866626"/>
    <w:rPr>
      <w:rFonts w:ascii="Times New Roman" w:eastAsia="宋体" w:hAnsi="Times New Roman" w:cs="Times New Roman"/>
      <w:b/>
      <w:bCs/>
      <w:sz w:val="32"/>
      <w:szCs w:val="32"/>
    </w:rPr>
  </w:style>
  <w:style w:type="character" w:styleId="a5">
    <w:name w:val="page number"/>
    <w:basedOn w:val="a0"/>
    <w:rsid w:val="00866626"/>
  </w:style>
  <w:style w:type="paragraph" w:styleId="a6">
    <w:name w:val="Balloon Text"/>
    <w:basedOn w:val="a"/>
    <w:link w:val="Char1"/>
    <w:uiPriority w:val="99"/>
    <w:semiHidden/>
    <w:unhideWhenUsed/>
    <w:rsid w:val="00501F3C"/>
    <w:rPr>
      <w:sz w:val="18"/>
      <w:szCs w:val="18"/>
    </w:rPr>
  </w:style>
  <w:style w:type="character" w:customStyle="1" w:styleId="Char1">
    <w:name w:val="批注框文本 Char"/>
    <w:basedOn w:val="a0"/>
    <w:link w:val="a6"/>
    <w:uiPriority w:val="99"/>
    <w:semiHidden/>
    <w:rsid w:val="00501F3C"/>
    <w:rPr>
      <w:rFonts w:ascii="Times New Roman" w:eastAsia="宋体" w:hAnsi="Times New Roman" w:cs="Times New Roman"/>
      <w:sz w:val="18"/>
      <w:szCs w:val="18"/>
    </w:rPr>
  </w:style>
  <w:style w:type="character" w:styleId="a7">
    <w:name w:val="annotation reference"/>
    <w:basedOn w:val="a0"/>
    <w:uiPriority w:val="99"/>
    <w:semiHidden/>
    <w:unhideWhenUsed/>
    <w:rsid w:val="005B2F2E"/>
    <w:rPr>
      <w:sz w:val="21"/>
      <w:szCs w:val="21"/>
    </w:rPr>
  </w:style>
  <w:style w:type="paragraph" w:styleId="a8">
    <w:name w:val="annotation text"/>
    <w:basedOn w:val="a"/>
    <w:link w:val="Char2"/>
    <w:uiPriority w:val="99"/>
    <w:semiHidden/>
    <w:unhideWhenUsed/>
    <w:rsid w:val="005B2F2E"/>
    <w:pPr>
      <w:jc w:val="left"/>
    </w:pPr>
  </w:style>
  <w:style w:type="character" w:customStyle="1" w:styleId="Char2">
    <w:name w:val="批注文字 Char"/>
    <w:basedOn w:val="a0"/>
    <w:link w:val="a8"/>
    <w:uiPriority w:val="99"/>
    <w:semiHidden/>
    <w:rsid w:val="005B2F2E"/>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B2F2E"/>
    <w:rPr>
      <w:b/>
      <w:bCs/>
    </w:rPr>
  </w:style>
  <w:style w:type="character" w:customStyle="1" w:styleId="Char3">
    <w:name w:val="批注主题 Char"/>
    <w:basedOn w:val="Char2"/>
    <w:link w:val="a9"/>
    <w:uiPriority w:val="99"/>
    <w:semiHidden/>
    <w:rsid w:val="005B2F2E"/>
    <w:rPr>
      <w:rFonts w:ascii="Times New Roman" w:eastAsia="宋体" w:hAnsi="Times New Roman" w:cs="Times New Roman"/>
      <w:b/>
      <w:bCs/>
      <w:szCs w:val="24"/>
    </w:rPr>
  </w:style>
  <w:style w:type="paragraph" w:styleId="aa">
    <w:name w:val="List Paragraph"/>
    <w:basedOn w:val="a"/>
    <w:uiPriority w:val="34"/>
    <w:qFormat/>
    <w:rsid w:val="00FF686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02EE-917F-4385-A9AF-61E0FCAF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6840</Characters>
  <Application>Microsoft Office Word</Application>
  <DocSecurity>4</DocSecurity>
  <Lines>57</Lines>
  <Paragraphs>16</Paragraphs>
  <ScaleCrop>false</ScaleCrop>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2026-01-12T16:02:00Z</dcterms:created>
  <dcterms:modified xsi:type="dcterms:W3CDTF">2026-01-12T16:02:00Z</dcterms:modified>
</cp:coreProperties>
</file>