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DA4EA6">
      <w:pPr>
        <w:widowControl/>
        <w:jc w:val="center"/>
        <w:rPr>
          <w:rFonts w:eastAsiaTheme="minorEastAsia"/>
          <w:b/>
          <w:kern w:val="0"/>
          <w:sz w:val="30"/>
          <w:szCs w:val="30"/>
        </w:rPr>
      </w:pPr>
      <w:r>
        <w:rPr>
          <w:rFonts w:eastAsiaTheme="minorEastAsia"/>
          <w:b/>
          <w:kern w:val="0"/>
          <w:sz w:val="30"/>
          <w:szCs w:val="30"/>
        </w:rPr>
        <w:t>易方达年年恒实纯债一年定期开放债券型发起式证券投资基金分红公告</w:t>
      </w:r>
    </w:p>
    <w:p w:rsidR="003F0B40" w:rsidRDefault="00DA4EA6">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2026</w:t>
      </w:r>
      <w:r>
        <w:rPr>
          <w:rFonts w:eastAsiaTheme="minorEastAsia"/>
          <w:b/>
          <w:color w:val="000000"/>
          <w:sz w:val="24"/>
          <w:szCs w:val="24"/>
        </w:rPr>
        <w:t>年</w:t>
      </w:r>
      <w:r>
        <w:rPr>
          <w:rFonts w:eastAsiaTheme="minorEastAsia"/>
          <w:b/>
          <w:color w:val="000000"/>
          <w:sz w:val="24"/>
          <w:szCs w:val="24"/>
        </w:rPr>
        <w:t>1</w:t>
      </w:r>
      <w:r>
        <w:rPr>
          <w:rFonts w:eastAsiaTheme="minorEastAsia"/>
          <w:b/>
          <w:color w:val="000000"/>
          <w:sz w:val="24"/>
          <w:szCs w:val="24"/>
        </w:rPr>
        <w:t>月</w:t>
      </w:r>
      <w:r>
        <w:rPr>
          <w:rFonts w:eastAsiaTheme="minorEastAsia"/>
          <w:b/>
          <w:color w:val="000000"/>
          <w:sz w:val="24"/>
          <w:szCs w:val="24"/>
        </w:rPr>
        <w:t>13</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DA4EA6">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易方达年年恒实纯债一年定期开放债券型发起式证券投资基金</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易方达年年恒实纯债一年定开债券</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010471</w:t>
            </w:r>
          </w:p>
        </w:tc>
      </w:tr>
      <w:tr w:rsidR="009B61A7">
        <w:trPr>
          <w:jc w:val="center"/>
        </w:trPr>
        <w:tc>
          <w:tcPr>
            <w:tcW w:w="4194" w:type="dxa"/>
            <w:gridSpan w:val="2"/>
            <w:vAlign w:val="center"/>
          </w:tcPr>
          <w:p w:rsidR="003F0B40" w:rsidRDefault="00DA4EA6">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2021</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6</w:t>
            </w:r>
            <w:r>
              <w:rPr>
                <w:rFonts w:eastAsiaTheme="minorEastAsia"/>
                <w:sz w:val="24"/>
                <w:szCs w:val="24"/>
              </w:rPr>
              <w:t>日</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易方达基金管理有限公司</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招商银行股份有限公司</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《公开募集证券投资基金信息披露管理办法》《易方达年年恒实纯债一年定期开放债券型发起式证券投资基金基金合同》《易方达年年恒实纯债一年定期开放债券型发起式证券投资基金更新的招募说明书》</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收益分配基准日</w:t>
            </w:r>
          </w:p>
        </w:tc>
        <w:tc>
          <w:tcPr>
            <w:tcW w:w="5412" w:type="dxa"/>
            <w:gridSpan w:val="2"/>
          </w:tcPr>
          <w:p w:rsidR="003F0B40" w:rsidRDefault="00DA4EA6">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9B61A7">
        <w:trPr>
          <w:jc w:val="center"/>
        </w:trPr>
        <w:tc>
          <w:tcPr>
            <w:tcW w:w="4194" w:type="dxa"/>
            <w:gridSpan w:val="2"/>
            <w:vAlign w:val="center"/>
          </w:tcPr>
          <w:p w:rsidR="003F0B40" w:rsidRDefault="00DA4EA6">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DA4EA6">
            <w:pPr>
              <w:rPr>
                <w:rFonts w:eastAsiaTheme="minorEastAsia"/>
                <w:sz w:val="24"/>
                <w:szCs w:val="24"/>
              </w:rPr>
            </w:pPr>
            <w:r>
              <w:rPr>
                <w:rFonts w:eastAsiaTheme="minorEastAsia"/>
                <w:sz w:val="24"/>
                <w:szCs w:val="24"/>
              </w:rPr>
              <w:t>本次分红为</w:t>
            </w:r>
            <w:r>
              <w:rPr>
                <w:rFonts w:eastAsiaTheme="minorEastAsia"/>
                <w:sz w:val="24"/>
                <w:szCs w:val="24"/>
              </w:rPr>
              <w:t>2025</w:t>
            </w:r>
            <w:r>
              <w:rPr>
                <w:rFonts w:eastAsiaTheme="minorEastAsia"/>
                <w:sz w:val="24"/>
                <w:szCs w:val="24"/>
              </w:rPr>
              <w:t>年度的第</w:t>
            </w:r>
            <w:r>
              <w:rPr>
                <w:rFonts w:eastAsiaTheme="minorEastAsia"/>
                <w:sz w:val="24"/>
                <w:szCs w:val="24"/>
              </w:rPr>
              <w:t>4</w:t>
            </w:r>
            <w:r>
              <w:rPr>
                <w:rFonts w:eastAsiaTheme="minorEastAsia"/>
                <w:sz w:val="24"/>
                <w:szCs w:val="24"/>
              </w:rPr>
              <w:t>次分红</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下属分级基金的基金简称</w:t>
            </w:r>
          </w:p>
        </w:tc>
        <w:tc>
          <w:tcPr>
            <w:tcW w:w="2706" w:type="dxa"/>
          </w:tcPr>
          <w:p w:rsidR="003F0B40" w:rsidRDefault="00DA4EA6">
            <w:pPr>
              <w:rPr>
                <w:rFonts w:eastAsiaTheme="minorEastAsia"/>
                <w:sz w:val="24"/>
                <w:szCs w:val="24"/>
              </w:rPr>
            </w:pPr>
            <w:r>
              <w:rPr>
                <w:rFonts w:eastAsiaTheme="minorEastAsia"/>
                <w:sz w:val="24"/>
                <w:szCs w:val="24"/>
              </w:rPr>
              <w:t>易方达年年恒实纯债一年定开债券</w:t>
            </w:r>
            <w:r>
              <w:rPr>
                <w:rFonts w:eastAsiaTheme="minorEastAsia"/>
                <w:sz w:val="24"/>
                <w:szCs w:val="24"/>
              </w:rPr>
              <w:t>A</w:t>
            </w:r>
          </w:p>
        </w:tc>
        <w:tc>
          <w:tcPr>
            <w:tcW w:w="2706" w:type="dxa"/>
          </w:tcPr>
          <w:p w:rsidR="003F0B40" w:rsidRDefault="00DA4EA6">
            <w:pPr>
              <w:rPr>
                <w:rFonts w:eastAsiaTheme="minorEastAsia"/>
                <w:sz w:val="24"/>
                <w:szCs w:val="24"/>
              </w:rPr>
            </w:pPr>
            <w:r>
              <w:rPr>
                <w:rFonts w:eastAsiaTheme="minorEastAsia"/>
                <w:sz w:val="24"/>
                <w:szCs w:val="24"/>
              </w:rPr>
              <w:t>易方达年年恒实纯债一年定开债券</w:t>
            </w:r>
            <w:r>
              <w:rPr>
                <w:rFonts w:eastAsiaTheme="minorEastAsia"/>
                <w:sz w:val="24"/>
                <w:szCs w:val="24"/>
              </w:rPr>
              <w:t>C</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下属分级基金的交易代码</w:t>
            </w:r>
          </w:p>
        </w:tc>
        <w:tc>
          <w:tcPr>
            <w:tcW w:w="2706" w:type="dxa"/>
          </w:tcPr>
          <w:p w:rsidR="003F0B40" w:rsidRDefault="00DA4EA6">
            <w:pPr>
              <w:rPr>
                <w:rFonts w:eastAsiaTheme="minorEastAsia"/>
                <w:sz w:val="24"/>
                <w:szCs w:val="24"/>
              </w:rPr>
            </w:pPr>
            <w:r>
              <w:rPr>
                <w:rFonts w:eastAsiaTheme="minorEastAsia"/>
                <w:sz w:val="24"/>
                <w:szCs w:val="24"/>
              </w:rPr>
              <w:t>010471</w:t>
            </w:r>
          </w:p>
        </w:tc>
        <w:tc>
          <w:tcPr>
            <w:tcW w:w="2706" w:type="dxa"/>
          </w:tcPr>
          <w:p w:rsidR="003F0B40" w:rsidRDefault="00DA4EA6">
            <w:pPr>
              <w:rPr>
                <w:rFonts w:eastAsiaTheme="minorEastAsia"/>
                <w:sz w:val="24"/>
                <w:szCs w:val="24"/>
              </w:rPr>
            </w:pPr>
            <w:r>
              <w:rPr>
                <w:rFonts w:eastAsiaTheme="minorEastAsia"/>
                <w:sz w:val="24"/>
                <w:szCs w:val="24"/>
              </w:rPr>
              <w:t>010472</w:t>
            </w:r>
          </w:p>
        </w:tc>
      </w:tr>
      <w:tr w:rsidR="009B61A7">
        <w:trPr>
          <w:jc w:val="center"/>
        </w:trPr>
        <w:tc>
          <w:tcPr>
            <w:tcW w:w="1980" w:type="dxa"/>
            <w:vMerge w:val="restart"/>
            <w:vAlign w:val="center"/>
          </w:tcPr>
          <w:p w:rsidR="003F0B40" w:rsidRDefault="00DA4EA6">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DA4EA6">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DA4EA6">
            <w:pPr>
              <w:rPr>
                <w:rFonts w:eastAsiaTheme="minorEastAsia"/>
                <w:sz w:val="24"/>
                <w:szCs w:val="24"/>
              </w:rPr>
            </w:pPr>
            <w:r>
              <w:rPr>
                <w:rFonts w:eastAsiaTheme="minorEastAsia"/>
                <w:sz w:val="24"/>
                <w:szCs w:val="24"/>
              </w:rPr>
              <w:t>1.0181</w:t>
            </w:r>
          </w:p>
        </w:tc>
        <w:tc>
          <w:tcPr>
            <w:tcW w:w="2706" w:type="dxa"/>
          </w:tcPr>
          <w:p w:rsidR="003F0B40" w:rsidRDefault="00DA4EA6">
            <w:pPr>
              <w:rPr>
                <w:rFonts w:eastAsiaTheme="minorEastAsia"/>
                <w:sz w:val="24"/>
                <w:szCs w:val="24"/>
              </w:rPr>
            </w:pPr>
            <w:r>
              <w:rPr>
                <w:rFonts w:eastAsiaTheme="minorEastAsia"/>
                <w:sz w:val="24"/>
                <w:szCs w:val="24"/>
              </w:rPr>
              <w:t>1.0173</w:t>
            </w:r>
          </w:p>
        </w:tc>
      </w:tr>
      <w:tr w:rsidR="009B61A7">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DA4EA6">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DA4EA6">
            <w:pPr>
              <w:rPr>
                <w:rFonts w:eastAsiaTheme="minorEastAsia"/>
                <w:sz w:val="24"/>
                <w:szCs w:val="24"/>
              </w:rPr>
            </w:pPr>
            <w:r>
              <w:rPr>
                <w:rFonts w:eastAsiaTheme="minorEastAsia"/>
                <w:sz w:val="24"/>
                <w:szCs w:val="24"/>
              </w:rPr>
              <w:t>9,655,125.99</w:t>
            </w:r>
          </w:p>
        </w:tc>
        <w:tc>
          <w:tcPr>
            <w:tcW w:w="2706" w:type="dxa"/>
          </w:tcPr>
          <w:p w:rsidR="003F0B40" w:rsidRDefault="00DA4EA6">
            <w:pPr>
              <w:rPr>
                <w:rFonts w:eastAsiaTheme="minorEastAsia"/>
                <w:sz w:val="24"/>
                <w:szCs w:val="24"/>
              </w:rPr>
            </w:pPr>
            <w:r>
              <w:rPr>
                <w:rFonts w:eastAsiaTheme="minorEastAsia"/>
                <w:sz w:val="24"/>
                <w:szCs w:val="24"/>
              </w:rPr>
              <w:t>48,224.78</w:t>
            </w:r>
          </w:p>
        </w:tc>
      </w:tr>
      <w:tr w:rsidR="009B61A7">
        <w:trPr>
          <w:jc w:val="center"/>
        </w:trPr>
        <w:tc>
          <w:tcPr>
            <w:tcW w:w="1980" w:type="dxa"/>
            <w:vMerge/>
          </w:tcPr>
          <w:p w:rsidR="009B61A7" w:rsidRDefault="009B61A7"/>
        </w:tc>
        <w:tc>
          <w:tcPr>
            <w:tcW w:w="2214" w:type="dxa"/>
            <w:vAlign w:val="center"/>
          </w:tcPr>
          <w:p w:rsidR="009B61A7" w:rsidRDefault="00DA4EA6">
            <w:pPr>
              <w:jc w:val="left"/>
            </w:pPr>
            <w:r>
              <w:rPr>
                <w:rFonts w:eastAsiaTheme="minorEastAsia"/>
                <w:sz w:val="24"/>
                <w:szCs w:val="24"/>
              </w:rPr>
              <w:t>截止基准日按照基金合同约定的分红比例计算的应分配金额（单位：人民币元）</w:t>
            </w:r>
          </w:p>
        </w:tc>
        <w:tc>
          <w:tcPr>
            <w:tcW w:w="2706" w:type="dxa"/>
            <w:vAlign w:val="center"/>
          </w:tcPr>
          <w:p w:rsidR="009B61A7" w:rsidRDefault="00DA4EA6">
            <w:pPr>
              <w:jc w:val="left"/>
            </w:pPr>
            <w:r>
              <w:rPr>
                <w:rFonts w:eastAsiaTheme="minorEastAsia"/>
                <w:sz w:val="24"/>
                <w:szCs w:val="24"/>
              </w:rPr>
              <w:t>-</w:t>
            </w:r>
          </w:p>
        </w:tc>
        <w:tc>
          <w:tcPr>
            <w:tcW w:w="2706" w:type="dxa"/>
            <w:vAlign w:val="center"/>
          </w:tcPr>
          <w:p w:rsidR="009B61A7" w:rsidRDefault="00DA4EA6">
            <w:pPr>
              <w:jc w:val="left"/>
            </w:pPr>
            <w:r>
              <w:rPr>
                <w:rFonts w:eastAsiaTheme="minorEastAsia"/>
                <w:sz w:val="24"/>
                <w:szCs w:val="24"/>
              </w:rPr>
              <w:t>43,402.31</w:t>
            </w:r>
          </w:p>
        </w:tc>
      </w:tr>
      <w:tr w:rsidR="009B61A7">
        <w:trPr>
          <w:jc w:val="center"/>
        </w:trPr>
        <w:tc>
          <w:tcPr>
            <w:tcW w:w="4194" w:type="dxa"/>
            <w:gridSpan w:val="2"/>
          </w:tcPr>
          <w:p w:rsidR="003F0B40" w:rsidRDefault="00DA4EA6">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DA4EA6">
            <w:pPr>
              <w:rPr>
                <w:rFonts w:eastAsiaTheme="minorEastAsia"/>
                <w:sz w:val="24"/>
                <w:szCs w:val="24"/>
              </w:rPr>
            </w:pPr>
            <w:r>
              <w:rPr>
                <w:rFonts w:eastAsiaTheme="minorEastAsia"/>
                <w:sz w:val="24"/>
                <w:szCs w:val="24"/>
              </w:rPr>
              <w:t>0.059</w:t>
            </w:r>
          </w:p>
        </w:tc>
        <w:tc>
          <w:tcPr>
            <w:tcW w:w="2706" w:type="dxa"/>
          </w:tcPr>
          <w:p w:rsidR="003F0B40" w:rsidRDefault="00DA4EA6">
            <w:pPr>
              <w:rPr>
                <w:rFonts w:eastAsiaTheme="minorEastAsia"/>
                <w:sz w:val="24"/>
                <w:szCs w:val="24"/>
              </w:rPr>
            </w:pPr>
            <w:r>
              <w:rPr>
                <w:rFonts w:eastAsiaTheme="minorEastAsia"/>
                <w:sz w:val="24"/>
                <w:szCs w:val="24"/>
              </w:rPr>
              <w:t>0.056</w:t>
            </w:r>
          </w:p>
        </w:tc>
      </w:tr>
    </w:tbl>
    <w:p w:rsidR="003F0B40"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注：根据《易方达年年恒实纯债一年定期开放债券型发起式证券投资基金基金合同》规定，在符合有关基金分红条件的前提下，基金合同生效满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个月后，若基金在每季度最后一个交易日收盘后每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lastRenderedPageBreak/>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。法律法规或监管机关另有规定的，从其规定。根据监管规定，本基金</w:t>
      </w:r>
      <w:r>
        <w:rPr>
          <w:rFonts w:eastAsiaTheme="minorEastAsia"/>
          <w:color w:val="000000"/>
          <w:sz w:val="24"/>
          <w:szCs w:val="24"/>
        </w:rPr>
        <w:t>A</w:t>
      </w:r>
      <w:r>
        <w:rPr>
          <w:rFonts w:eastAsiaTheme="minorEastAsia"/>
          <w:color w:val="000000"/>
          <w:sz w:val="24"/>
          <w:szCs w:val="24"/>
        </w:rPr>
        <w:t>类份额本次分红方案为</w:t>
      </w:r>
      <w:r>
        <w:rPr>
          <w:rFonts w:eastAsiaTheme="minorEastAsia"/>
          <w:color w:val="000000"/>
          <w:sz w:val="24"/>
          <w:szCs w:val="24"/>
        </w:rPr>
        <w:t>0.059</w:t>
      </w:r>
      <w:r>
        <w:rPr>
          <w:rFonts w:eastAsiaTheme="minorEastAsia"/>
          <w:color w:val="000000"/>
          <w:sz w:val="24"/>
          <w:szCs w:val="24"/>
        </w:rPr>
        <w:t>元</w:t>
      </w:r>
      <w:r>
        <w:rPr>
          <w:rFonts w:eastAsiaTheme="minorEastAsia"/>
          <w:color w:val="000000"/>
          <w:sz w:val="24"/>
          <w:szCs w:val="24"/>
        </w:rPr>
        <w:t>/10</w:t>
      </w:r>
      <w:r>
        <w:rPr>
          <w:rFonts w:eastAsiaTheme="minorEastAsia"/>
          <w:color w:val="000000"/>
          <w:sz w:val="24"/>
          <w:szCs w:val="24"/>
        </w:rPr>
        <w:t>份基金份额。</w:t>
      </w:r>
    </w:p>
    <w:p w:rsidR="003F0B40" w:rsidRDefault="003F0B40">
      <w:pPr>
        <w:spacing w:line="360" w:lineRule="auto"/>
        <w:rPr>
          <w:rFonts w:eastAsiaTheme="minorEastAsia"/>
          <w:sz w:val="24"/>
          <w:szCs w:val="24"/>
        </w:rPr>
      </w:pPr>
    </w:p>
    <w:p w:rsidR="003F0B40" w:rsidRDefault="00DA4EA6">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9B61A7">
        <w:trPr>
          <w:jc w:val="center"/>
        </w:trPr>
        <w:tc>
          <w:tcPr>
            <w:tcW w:w="3342" w:type="dxa"/>
          </w:tcPr>
          <w:p w:rsidR="003F0B40" w:rsidRDefault="00DA4EA6">
            <w:pPr>
              <w:rPr>
                <w:rFonts w:eastAsiaTheme="minorEastAsia"/>
                <w:sz w:val="24"/>
                <w:szCs w:val="24"/>
              </w:rPr>
            </w:pPr>
            <w:r>
              <w:rPr>
                <w:rFonts w:eastAsiaTheme="minorEastAsia"/>
                <w:sz w:val="24"/>
                <w:szCs w:val="24"/>
              </w:rPr>
              <w:t>权益登记日</w:t>
            </w:r>
          </w:p>
        </w:tc>
        <w:tc>
          <w:tcPr>
            <w:tcW w:w="5978" w:type="dxa"/>
          </w:tcPr>
          <w:p w:rsidR="003F0B40" w:rsidRDefault="00DA4EA6">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w:t>
            </w:r>
          </w:p>
        </w:tc>
      </w:tr>
      <w:tr w:rsidR="009B61A7">
        <w:trPr>
          <w:jc w:val="center"/>
        </w:trPr>
        <w:tc>
          <w:tcPr>
            <w:tcW w:w="3342" w:type="dxa"/>
          </w:tcPr>
          <w:p w:rsidR="003F0B40" w:rsidRDefault="00DA4EA6">
            <w:pPr>
              <w:rPr>
                <w:rFonts w:eastAsiaTheme="minorEastAsia"/>
                <w:sz w:val="24"/>
                <w:szCs w:val="24"/>
              </w:rPr>
            </w:pPr>
            <w:r>
              <w:rPr>
                <w:rFonts w:eastAsiaTheme="minorEastAsia"/>
                <w:sz w:val="24"/>
                <w:szCs w:val="24"/>
              </w:rPr>
              <w:t>除息日</w:t>
            </w:r>
          </w:p>
        </w:tc>
        <w:tc>
          <w:tcPr>
            <w:tcW w:w="2989" w:type="dxa"/>
          </w:tcPr>
          <w:p w:rsidR="003F0B40" w:rsidRDefault="00DA4EA6">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w:t>
            </w:r>
          </w:p>
        </w:tc>
      </w:tr>
      <w:tr w:rsidR="009B61A7">
        <w:trPr>
          <w:jc w:val="center"/>
        </w:trPr>
        <w:tc>
          <w:tcPr>
            <w:tcW w:w="3342" w:type="dxa"/>
          </w:tcPr>
          <w:p w:rsidR="003F0B40" w:rsidRDefault="00DA4EA6">
            <w:pPr>
              <w:rPr>
                <w:rFonts w:eastAsiaTheme="minorEastAsia"/>
                <w:sz w:val="24"/>
                <w:szCs w:val="24"/>
              </w:rPr>
            </w:pPr>
            <w:r>
              <w:rPr>
                <w:rFonts w:eastAsiaTheme="minorEastAsia"/>
                <w:sz w:val="24"/>
                <w:szCs w:val="24"/>
              </w:rPr>
              <w:t>现金红利发放日</w:t>
            </w:r>
          </w:p>
        </w:tc>
        <w:tc>
          <w:tcPr>
            <w:tcW w:w="5978" w:type="dxa"/>
          </w:tcPr>
          <w:p w:rsidR="003F0B40" w:rsidRDefault="00DA4EA6">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15</w:t>
            </w:r>
            <w:r>
              <w:rPr>
                <w:rFonts w:eastAsiaTheme="minorEastAsia"/>
                <w:sz w:val="24"/>
                <w:szCs w:val="24"/>
              </w:rPr>
              <w:t>日</w:t>
            </w:r>
          </w:p>
        </w:tc>
      </w:tr>
      <w:tr w:rsidR="009B61A7">
        <w:trPr>
          <w:jc w:val="center"/>
        </w:trPr>
        <w:tc>
          <w:tcPr>
            <w:tcW w:w="3342" w:type="dxa"/>
          </w:tcPr>
          <w:p w:rsidR="003F0B40" w:rsidRDefault="00DA4EA6">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DA4EA6">
            <w:pPr>
              <w:rPr>
                <w:rFonts w:eastAsiaTheme="minorEastAsia"/>
                <w:sz w:val="24"/>
                <w:szCs w:val="24"/>
              </w:rPr>
            </w:pPr>
            <w:r>
              <w:rPr>
                <w:rFonts w:eastAsiaTheme="minorEastAsia"/>
                <w:sz w:val="24"/>
                <w:szCs w:val="24"/>
              </w:rPr>
              <w:t>权益登记日在易方达基金管理有限公司登记在册的本基金全体持有人。</w:t>
            </w:r>
          </w:p>
        </w:tc>
      </w:tr>
      <w:tr w:rsidR="009B61A7">
        <w:trPr>
          <w:jc w:val="center"/>
        </w:trPr>
        <w:tc>
          <w:tcPr>
            <w:tcW w:w="3342" w:type="dxa"/>
            <w:shd w:val="clear" w:color="auto" w:fill="auto"/>
            <w:vAlign w:val="center"/>
          </w:tcPr>
          <w:p w:rsidR="003F0B40" w:rsidRDefault="00DA4EA6">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DA4EA6">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16</w:t>
            </w:r>
            <w:r>
              <w:rPr>
                <w:rFonts w:eastAsiaTheme="minorEastAsia"/>
                <w:sz w:val="24"/>
                <w:szCs w:val="24"/>
              </w:rPr>
              <w:t>日起投资者可以查询，并可以在基金规定的开放运作期内赎回。权益登记日之前（不含权益登记日）办理了转托管转出尚未办理转托管转入的基金份额，其分红方式按照红利再投资处理。</w:t>
            </w:r>
          </w:p>
        </w:tc>
      </w:tr>
      <w:tr w:rsidR="009B61A7">
        <w:trPr>
          <w:jc w:val="center"/>
        </w:trPr>
        <w:tc>
          <w:tcPr>
            <w:tcW w:w="3342" w:type="dxa"/>
          </w:tcPr>
          <w:p w:rsidR="003F0B40" w:rsidRDefault="00DA4EA6">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DA4EA6">
            <w:pPr>
              <w:rPr>
                <w:rFonts w:eastAsiaTheme="minorEastAsia"/>
                <w:sz w:val="24"/>
                <w:szCs w:val="24"/>
              </w:rPr>
            </w:pPr>
            <w:r>
              <w:rPr>
                <w:rFonts w:eastAsiaTheme="minorEastAsia"/>
                <w:sz w:val="24"/>
                <w:szCs w:val="24"/>
              </w:rPr>
              <w:t>根据相关法律法规规定，基金向投资者分配的基金收益，暂不征收所得税。</w:t>
            </w:r>
          </w:p>
        </w:tc>
      </w:tr>
      <w:tr w:rsidR="009B61A7">
        <w:trPr>
          <w:jc w:val="center"/>
        </w:trPr>
        <w:tc>
          <w:tcPr>
            <w:tcW w:w="3342" w:type="dxa"/>
          </w:tcPr>
          <w:p w:rsidR="003F0B40" w:rsidRDefault="00DA4EA6">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DA4EA6">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9B61A7"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15</w:t>
      </w:r>
      <w:r>
        <w:rPr>
          <w:rFonts w:eastAsiaTheme="minorEastAsia"/>
          <w:color w:val="000000"/>
          <w:sz w:val="24"/>
          <w:szCs w:val="24"/>
        </w:rPr>
        <w:t>日自基金托管账户划出。</w:t>
      </w:r>
    </w:p>
    <w:p w:rsidR="003F0B40"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DA4EA6">
      <w:pPr>
        <w:pStyle w:val="3"/>
        <w:keepNext w:val="0"/>
        <w:keepLines w:val="0"/>
        <w:spacing w:before="0" w:after="0" w:line="360" w:lineRule="auto"/>
        <w:rPr>
          <w:rFonts w:eastAsiaTheme="minorEastAsia"/>
          <w:bCs w:val="0"/>
          <w:sz w:val="24"/>
          <w:szCs w:val="24"/>
        </w:rPr>
      </w:pPr>
      <w:bookmarkStart w:id="2" w:name="_Toc275961420"/>
      <w:r>
        <w:rPr>
          <w:rFonts w:eastAsiaTheme="minorEastAsia"/>
          <w:bCs w:val="0"/>
          <w:sz w:val="24"/>
          <w:szCs w:val="24"/>
        </w:rPr>
        <w:t>3.</w:t>
      </w:r>
      <w:r>
        <w:rPr>
          <w:rFonts w:eastAsiaTheme="minorEastAsia"/>
          <w:bCs w:val="0"/>
          <w:sz w:val="24"/>
          <w:szCs w:val="24"/>
        </w:rPr>
        <w:t>其他需要提示的事项</w:t>
      </w:r>
      <w:bookmarkEnd w:id="2"/>
    </w:p>
    <w:p w:rsidR="009B61A7"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9B61A7"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lastRenderedPageBreak/>
        <w:t>（</w:t>
      </w:r>
      <w:r>
        <w:rPr>
          <w:rFonts w:eastAsiaTheme="minorEastAsia"/>
          <w:color w:val="000000"/>
          <w:sz w:val="24"/>
          <w:szCs w:val="24"/>
        </w:rPr>
        <w:t>2</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了解相关情况。投资者也可以前往本基金有关销售机构进行咨询。本基金的销售机构详见基金管理人网站公示。</w:t>
      </w:r>
    </w:p>
    <w:p w:rsidR="003F0B40" w:rsidRDefault="00DA4EA6">
      <w:pPr>
        <w:spacing w:line="360" w:lineRule="auto"/>
        <w:ind w:firstLineChars="200" w:firstLine="480"/>
        <w:rPr>
          <w:rFonts w:eastAsiaTheme="minorEastAsia"/>
          <w:color w:val="000000"/>
          <w:sz w:val="24"/>
          <w:szCs w:val="24"/>
        </w:rPr>
      </w:pPr>
      <w:r>
        <w:rPr>
          <w:rFonts w:eastAsiaTheme="minorEastAsia"/>
          <w:color w:val="000000"/>
          <w:sz w:val="24"/>
          <w:szCs w:val="24"/>
        </w:rPr>
        <w:t>特</w:t>
      </w:r>
      <w:r>
        <w:rPr>
          <w:rFonts w:eastAsiaTheme="minorEastAsia"/>
          <w:color w:val="000000"/>
          <w:sz w:val="24"/>
          <w:szCs w:val="24"/>
        </w:rPr>
        <w:t>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DA4EA6">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DA4EA6">
      <w:pPr>
        <w:spacing w:line="360" w:lineRule="auto"/>
        <w:ind w:firstLineChars="200" w:firstLine="480"/>
        <w:jc w:val="right"/>
        <w:rPr>
          <w:rFonts w:eastAsiaTheme="minorEastAsia"/>
          <w:color w:val="000000"/>
          <w:sz w:val="24"/>
          <w:szCs w:val="24"/>
        </w:rPr>
      </w:pP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w:t>
      </w:r>
    </w:p>
    <w:sectPr w:rsidR="003F0B40" w:rsidSect="009B61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0BF8"/>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B61A7"/>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4EA6"/>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A7"/>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9B61A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B61A7"/>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9B61A7"/>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B61A7"/>
    <w:rPr>
      <w:rFonts w:ascii="宋体" w:eastAsia="宋体"/>
      <w:sz w:val="18"/>
      <w:szCs w:val="18"/>
    </w:rPr>
  </w:style>
  <w:style w:type="paragraph" w:styleId="a4">
    <w:name w:val="Balloon Text"/>
    <w:basedOn w:val="a"/>
    <w:link w:val="Char0"/>
    <w:uiPriority w:val="99"/>
    <w:semiHidden/>
    <w:unhideWhenUsed/>
    <w:qFormat/>
    <w:rsid w:val="009B61A7"/>
    <w:rPr>
      <w:sz w:val="18"/>
      <w:szCs w:val="18"/>
    </w:rPr>
  </w:style>
  <w:style w:type="paragraph" w:styleId="a5">
    <w:name w:val="footer"/>
    <w:basedOn w:val="a"/>
    <w:link w:val="Char1"/>
    <w:uiPriority w:val="99"/>
    <w:unhideWhenUsed/>
    <w:rsid w:val="009B61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B61A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9B61A7"/>
    <w:pPr>
      <w:snapToGrid w:val="0"/>
      <w:jc w:val="left"/>
    </w:pPr>
    <w:rPr>
      <w:rFonts w:eastAsia="宋体"/>
      <w:sz w:val="18"/>
    </w:rPr>
  </w:style>
  <w:style w:type="character" w:styleId="a8">
    <w:name w:val="footnote reference"/>
    <w:basedOn w:val="a0"/>
    <w:qFormat/>
    <w:rsid w:val="009B61A7"/>
    <w:rPr>
      <w:vertAlign w:val="superscript"/>
    </w:rPr>
  </w:style>
  <w:style w:type="character" w:customStyle="1" w:styleId="1Char">
    <w:name w:val="标题 1 Char"/>
    <w:basedOn w:val="a0"/>
    <w:link w:val="1"/>
    <w:qFormat/>
    <w:rsid w:val="009B61A7"/>
    <w:rPr>
      <w:rFonts w:ascii="Times New Roman" w:eastAsia="宋体" w:hAnsi="Times New Roman" w:cs="Times New Roman"/>
      <w:b/>
      <w:bCs/>
      <w:kern w:val="44"/>
      <w:sz w:val="44"/>
      <w:szCs w:val="44"/>
    </w:rPr>
  </w:style>
  <w:style w:type="character" w:customStyle="1" w:styleId="2Char">
    <w:name w:val="标题 2 Char"/>
    <w:basedOn w:val="a0"/>
    <w:link w:val="2"/>
    <w:qFormat/>
    <w:rsid w:val="009B61A7"/>
    <w:rPr>
      <w:rFonts w:ascii="Arial" w:eastAsia="黑体" w:hAnsi="Arial" w:cs="Times New Roman"/>
      <w:b/>
      <w:bCs/>
      <w:sz w:val="32"/>
      <w:szCs w:val="32"/>
    </w:rPr>
  </w:style>
  <w:style w:type="character" w:customStyle="1" w:styleId="Char3">
    <w:name w:val="脚注文本 Char"/>
    <w:basedOn w:val="a0"/>
    <w:link w:val="a7"/>
    <w:rsid w:val="009B61A7"/>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9B61A7"/>
    <w:rPr>
      <w:rFonts w:ascii="宋体" w:eastAsia="宋体" w:hAnsi="Times New Roman" w:cs="Times New Roman"/>
      <w:sz w:val="18"/>
      <w:szCs w:val="18"/>
    </w:rPr>
  </w:style>
  <w:style w:type="character" w:customStyle="1" w:styleId="Char2">
    <w:name w:val="页眉 Char"/>
    <w:basedOn w:val="a0"/>
    <w:link w:val="a6"/>
    <w:uiPriority w:val="99"/>
    <w:qFormat/>
    <w:rsid w:val="009B61A7"/>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9B61A7"/>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9B61A7"/>
    <w:rPr>
      <w:rFonts w:ascii="Times New Roman" w:eastAsia="方正仿宋简体" w:hAnsi="Times New Roman" w:cs="Times New Roman"/>
      <w:sz w:val="18"/>
      <w:szCs w:val="18"/>
    </w:rPr>
  </w:style>
  <w:style w:type="character" w:customStyle="1" w:styleId="3Char">
    <w:name w:val="标题 3 Char"/>
    <w:basedOn w:val="a0"/>
    <w:link w:val="3"/>
    <w:qFormat/>
    <w:rsid w:val="009B61A7"/>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1403</Characters>
  <Application>Microsoft Office Word</Application>
  <DocSecurity>4</DocSecurity>
  <Lines>11</Lines>
  <Paragraphs>3</Paragraphs>
  <ScaleCrop>false</ScaleCrop>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2026-01-12T16:02:00Z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