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BB5" w:rsidRDefault="000A2BB5">
      <w:pPr>
        <w:spacing w:line="360" w:lineRule="auto"/>
        <w:jc w:val="center"/>
        <w:rPr>
          <w:rFonts w:asciiTheme="minorEastAsia" w:hAnsiTheme="minorEastAsia"/>
          <w:b/>
          <w:sz w:val="30"/>
          <w:szCs w:val="30"/>
        </w:rPr>
      </w:pPr>
    </w:p>
    <w:p w:rsidR="000A2BB5" w:rsidRDefault="009D45D2">
      <w:pPr>
        <w:spacing w:line="360" w:lineRule="auto"/>
        <w:jc w:val="center"/>
        <w:rPr>
          <w:rFonts w:asciiTheme="minorEastAsia" w:hAnsiTheme="minorEastAsia"/>
          <w:b/>
          <w:sz w:val="32"/>
          <w:szCs w:val="32"/>
        </w:rPr>
      </w:pPr>
      <w:r>
        <w:rPr>
          <w:rFonts w:asciiTheme="minorEastAsia" w:hAnsiTheme="minorEastAsia" w:hint="eastAsia"/>
          <w:b/>
          <w:color w:val="000000" w:themeColor="text1"/>
          <w:kern w:val="0"/>
          <w:sz w:val="32"/>
          <w:szCs w:val="32"/>
        </w:rPr>
        <w:t>易方达中证港股通高股息投资交易型开放式指数证券投资基金</w:t>
      </w:r>
      <w:r>
        <w:rPr>
          <w:rFonts w:asciiTheme="minorEastAsia" w:hAnsiTheme="minorEastAsia" w:hint="eastAsia"/>
          <w:b/>
          <w:sz w:val="32"/>
          <w:szCs w:val="32"/>
        </w:rPr>
        <w:t>上市交易提示性公告</w:t>
      </w:r>
    </w:p>
    <w:p w:rsidR="000A2BB5" w:rsidRDefault="000A2BB5">
      <w:pPr>
        <w:spacing w:line="360" w:lineRule="auto"/>
        <w:jc w:val="center"/>
        <w:rPr>
          <w:rFonts w:asciiTheme="minorEastAsia" w:hAnsiTheme="minorEastAsia"/>
          <w:sz w:val="24"/>
          <w:szCs w:val="24"/>
        </w:rPr>
      </w:pPr>
    </w:p>
    <w:p w:rsidR="000A2BB5" w:rsidRDefault="009D45D2">
      <w:pPr>
        <w:spacing w:line="360" w:lineRule="auto"/>
        <w:ind w:firstLineChars="200" w:firstLine="480"/>
        <w:rPr>
          <w:rFonts w:asciiTheme="minorEastAsia" w:hAnsiTheme="minorEastAsia"/>
          <w:kern w:val="0"/>
          <w:sz w:val="24"/>
          <w:szCs w:val="24"/>
        </w:rPr>
      </w:pPr>
      <w:r>
        <w:rPr>
          <w:rFonts w:asciiTheme="minorEastAsia" w:hAnsiTheme="minorEastAsia" w:hint="eastAsia"/>
          <w:color w:val="000000" w:themeColor="text1"/>
          <w:kern w:val="0"/>
          <w:sz w:val="24"/>
          <w:szCs w:val="24"/>
        </w:rPr>
        <w:t>易方达中证港股通高股息投资交易型开放式指数证券投资基金</w:t>
      </w:r>
      <w:r>
        <w:rPr>
          <w:rFonts w:asciiTheme="minorEastAsia" w:hAnsiTheme="minorEastAsia" w:hint="eastAsia"/>
          <w:sz w:val="24"/>
          <w:szCs w:val="24"/>
        </w:rPr>
        <w:t>（</w:t>
      </w:r>
      <w:r>
        <w:rPr>
          <w:rFonts w:asciiTheme="minorEastAsia" w:hAnsiTheme="minorEastAsia" w:cs="Arial Unicode MS" w:hint="eastAsia"/>
          <w:kern w:val="0"/>
          <w:sz w:val="24"/>
          <w:szCs w:val="24"/>
        </w:rPr>
        <w:t>以下简称“本基金”</w:t>
      </w:r>
      <w:r>
        <w:rPr>
          <w:rFonts w:asciiTheme="minorEastAsia" w:hAnsiTheme="minorEastAsia" w:hint="eastAsia"/>
          <w:sz w:val="24"/>
          <w:szCs w:val="24"/>
        </w:rPr>
        <w:t>）于</w:t>
      </w:r>
      <w:r>
        <w:rPr>
          <w:rFonts w:asciiTheme="minorEastAsia" w:hAnsiTheme="minorEastAsia" w:hint="eastAsia"/>
          <w:color w:val="000000" w:themeColor="text1"/>
          <w:kern w:val="0"/>
          <w:sz w:val="24"/>
          <w:szCs w:val="24"/>
        </w:rPr>
        <w:t>2026</w:t>
      </w:r>
      <w:r>
        <w:rPr>
          <w:rFonts w:asciiTheme="minorEastAsia" w:hAnsiTheme="minorEastAsia" w:hint="eastAsia"/>
          <w:color w:val="000000" w:themeColor="text1"/>
          <w:kern w:val="0"/>
          <w:sz w:val="24"/>
          <w:szCs w:val="24"/>
        </w:rPr>
        <w:t>年</w:t>
      </w:r>
      <w:r>
        <w:rPr>
          <w:rFonts w:asciiTheme="minorEastAsia" w:hAnsiTheme="minorEastAsia" w:hint="eastAsia"/>
          <w:color w:val="000000" w:themeColor="text1"/>
          <w:kern w:val="0"/>
          <w:sz w:val="24"/>
          <w:szCs w:val="24"/>
        </w:rPr>
        <w:t>1</w:t>
      </w:r>
      <w:r>
        <w:rPr>
          <w:rFonts w:asciiTheme="minorEastAsia" w:hAnsiTheme="minorEastAsia" w:hint="eastAsia"/>
          <w:color w:val="000000" w:themeColor="text1"/>
          <w:kern w:val="0"/>
          <w:sz w:val="24"/>
          <w:szCs w:val="24"/>
        </w:rPr>
        <w:t>月</w:t>
      </w:r>
      <w:r>
        <w:rPr>
          <w:rFonts w:asciiTheme="minorEastAsia" w:hAnsiTheme="minorEastAsia" w:hint="eastAsia"/>
          <w:color w:val="000000" w:themeColor="text1"/>
          <w:kern w:val="0"/>
          <w:sz w:val="24"/>
          <w:szCs w:val="24"/>
        </w:rPr>
        <w:t>1</w:t>
      </w:r>
      <w:r>
        <w:rPr>
          <w:rFonts w:asciiTheme="minorEastAsia" w:hAnsiTheme="minorEastAsia"/>
          <w:color w:val="000000" w:themeColor="text1"/>
          <w:kern w:val="0"/>
          <w:sz w:val="24"/>
          <w:szCs w:val="24"/>
        </w:rPr>
        <w:t>2</w:t>
      </w:r>
      <w:r>
        <w:rPr>
          <w:rFonts w:asciiTheme="minorEastAsia" w:hAnsiTheme="minorEastAsia" w:hint="eastAsia"/>
          <w:color w:val="000000" w:themeColor="text1"/>
          <w:kern w:val="0"/>
          <w:sz w:val="24"/>
          <w:szCs w:val="24"/>
        </w:rPr>
        <w:t>日</w:t>
      </w:r>
      <w:r>
        <w:rPr>
          <w:rFonts w:asciiTheme="minorEastAsia" w:hAnsiTheme="minorEastAsia" w:hint="eastAsia"/>
          <w:sz w:val="24"/>
          <w:szCs w:val="24"/>
        </w:rPr>
        <w:t>开始在上海证券交易所上市交易。本基金场内简称：</w:t>
      </w:r>
      <w:r>
        <w:rPr>
          <w:rFonts w:ascii="宋体" w:hAnsi="宋体" w:hint="eastAsia"/>
          <w:bCs/>
          <w:sz w:val="24"/>
        </w:rPr>
        <w:t>港高股息</w:t>
      </w:r>
      <w:r>
        <w:rPr>
          <w:rFonts w:asciiTheme="minorEastAsia" w:hAnsiTheme="minorEastAsia" w:hint="eastAsia"/>
          <w:sz w:val="24"/>
          <w:szCs w:val="24"/>
        </w:rPr>
        <w:t>，扩位证券简称：</w:t>
      </w:r>
      <w:r>
        <w:rPr>
          <w:rFonts w:ascii="宋体" w:hAnsi="宋体" w:hint="eastAsia"/>
          <w:bCs/>
          <w:sz w:val="24"/>
        </w:rPr>
        <w:t>港股通红利</w:t>
      </w:r>
      <w:r>
        <w:rPr>
          <w:rFonts w:ascii="宋体" w:hAnsi="宋体" w:hint="eastAsia"/>
          <w:bCs/>
          <w:sz w:val="24"/>
        </w:rPr>
        <w:t>ETF</w:t>
      </w:r>
      <w:r>
        <w:rPr>
          <w:rFonts w:ascii="宋体" w:hAnsi="宋体" w:hint="eastAsia"/>
          <w:bCs/>
          <w:sz w:val="24"/>
        </w:rPr>
        <w:t>易方达</w:t>
      </w:r>
      <w:r>
        <w:rPr>
          <w:rFonts w:asciiTheme="minorEastAsia" w:hAnsiTheme="minorEastAsia" w:hint="eastAsia"/>
          <w:sz w:val="24"/>
          <w:szCs w:val="24"/>
        </w:rPr>
        <w:t>，</w:t>
      </w:r>
      <w:r>
        <w:rPr>
          <w:rFonts w:asciiTheme="minorEastAsia" w:hAnsiTheme="minorEastAsia" w:cs="Arial" w:hint="eastAsia"/>
          <w:kern w:val="0"/>
          <w:sz w:val="24"/>
          <w:szCs w:val="24"/>
        </w:rPr>
        <w:t>基金代码：</w:t>
      </w:r>
      <w:r>
        <w:rPr>
          <w:rFonts w:asciiTheme="minorEastAsia" w:hAnsiTheme="minorEastAsia" w:cs="Arial" w:hint="eastAsia"/>
          <w:kern w:val="0"/>
          <w:sz w:val="24"/>
          <w:szCs w:val="24"/>
        </w:rPr>
        <w:t>520810</w:t>
      </w:r>
      <w:r>
        <w:rPr>
          <w:rFonts w:asciiTheme="minorEastAsia" w:hAnsiTheme="minorEastAsia" w:cs="Arial" w:hint="eastAsia"/>
          <w:kern w:val="0"/>
          <w:sz w:val="24"/>
          <w:szCs w:val="24"/>
        </w:rPr>
        <w:t>。</w:t>
      </w:r>
      <w:r>
        <w:rPr>
          <w:rFonts w:asciiTheme="minorEastAsia" w:hAnsiTheme="minorEastAsia" w:hint="eastAsia"/>
          <w:kern w:val="0"/>
          <w:sz w:val="24"/>
          <w:szCs w:val="24"/>
        </w:rPr>
        <w:t>本基金设置涨跌幅限制，幅度为</w:t>
      </w:r>
      <w:r>
        <w:rPr>
          <w:rFonts w:asciiTheme="minorEastAsia" w:hAnsiTheme="minorEastAsia"/>
          <w:kern w:val="0"/>
          <w:sz w:val="24"/>
          <w:szCs w:val="24"/>
        </w:rPr>
        <w:t>10</w:t>
      </w:r>
      <w:r>
        <w:rPr>
          <w:rFonts w:asciiTheme="minorEastAsia" w:hAnsiTheme="minorEastAsia" w:hint="eastAsia"/>
          <w:kern w:val="0"/>
          <w:sz w:val="24"/>
          <w:szCs w:val="24"/>
        </w:rPr>
        <w:t>%</w:t>
      </w:r>
      <w:r>
        <w:rPr>
          <w:rFonts w:asciiTheme="minorEastAsia" w:hAnsiTheme="minorEastAsia" w:hint="eastAsia"/>
          <w:kern w:val="0"/>
          <w:sz w:val="24"/>
          <w:szCs w:val="24"/>
        </w:rPr>
        <w:t>。</w:t>
      </w:r>
    </w:p>
    <w:p w:rsidR="000A2BB5" w:rsidRDefault="009D45D2">
      <w:pPr>
        <w:spacing w:line="360" w:lineRule="auto"/>
        <w:ind w:firstLineChars="200" w:firstLine="480"/>
        <w:rPr>
          <w:rFonts w:asciiTheme="minorEastAsia" w:hAnsiTheme="minorEastAsia"/>
          <w:kern w:val="0"/>
          <w:sz w:val="24"/>
          <w:szCs w:val="24"/>
        </w:rPr>
      </w:pPr>
      <w:r>
        <w:rPr>
          <w:rFonts w:asciiTheme="minorEastAsia" w:hAnsiTheme="minorEastAsia" w:hint="eastAsia"/>
          <w:sz w:val="24"/>
          <w:szCs w:val="24"/>
        </w:rPr>
        <w:t>截至</w:t>
      </w:r>
      <w:r>
        <w:rPr>
          <w:rFonts w:asciiTheme="minorEastAsia" w:hAnsiTheme="minorEastAsia"/>
          <w:sz w:val="24"/>
          <w:szCs w:val="24"/>
        </w:rPr>
        <w:t>2026</w:t>
      </w:r>
      <w:r>
        <w:rPr>
          <w:rFonts w:asciiTheme="minorEastAsia" w:hAnsiTheme="minorEastAsia"/>
          <w:sz w:val="24"/>
          <w:szCs w:val="24"/>
        </w:rPr>
        <w:t>年</w:t>
      </w:r>
      <w:r>
        <w:rPr>
          <w:rFonts w:asciiTheme="minorEastAsia" w:hAnsiTheme="minorEastAsia"/>
          <w:sz w:val="24"/>
          <w:szCs w:val="24"/>
        </w:rPr>
        <w:t>1</w:t>
      </w:r>
      <w:r>
        <w:rPr>
          <w:rFonts w:asciiTheme="minorEastAsia" w:hAnsiTheme="minorEastAsia"/>
          <w:sz w:val="24"/>
          <w:szCs w:val="24"/>
        </w:rPr>
        <w:t>月</w:t>
      </w:r>
      <w:r>
        <w:rPr>
          <w:rFonts w:asciiTheme="minorEastAsia" w:hAnsiTheme="minorEastAsia"/>
          <w:sz w:val="24"/>
          <w:szCs w:val="24"/>
        </w:rPr>
        <w:t>9</w:t>
      </w:r>
      <w:r>
        <w:rPr>
          <w:rFonts w:asciiTheme="minorEastAsia" w:hAnsiTheme="minorEastAsia"/>
          <w:sz w:val="24"/>
          <w:szCs w:val="24"/>
        </w:rPr>
        <w:t>日</w:t>
      </w:r>
      <w:r>
        <w:rPr>
          <w:rFonts w:asciiTheme="minorEastAsia" w:hAnsiTheme="minorEastAsia" w:hint="eastAsia"/>
          <w:sz w:val="24"/>
          <w:szCs w:val="24"/>
        </w:rPr>
        <w:t>，本基金投资于标的指数成份股和备选成份股的资产比例为基金资产净值的</w:t>
      </w:r>
      <w:r>
        <w:rPr>
          <w:rFonts w:asciiTheme="minorEastAsia" w:hAnsiTheme="minorEastAsia" w:hint="eastAsia"/>
          <w:sz w:val="24"/>
          <w:szCs w:val="24"/>
        </w:rPr>
        <w:t>93.39</w:t>
      </w:r>
      <w:bookmarkStart w:id="0" w:name="_GoBack"/>
      <w:bookmarkEnd w:id="0"/>
      <w:r>
        <w:rPr>
          <w:rFonts w:asciiTheme="minorEastAsia" w:hAnsiTheme="minorEastAsia"/>
          <w:sz w:val="24"/>
          <w:szCs w:val="24"/>
        </w:rPr>
        <w:t>%</w:t>
      </w:r>
      <w:r>
        <w:rPr>
          <w:rFonts w:asciiTheme="minorEastAsia" w:hAnsiTheme="minorEastAsia"/>
          <w:sz w:val="24"/>
          <w:szCs w:val="24"/>
        </w:rPr>
        <w:t>，</w:t>
      </w:r>
      <w:r>
        <w:rPr>
          <w:rFonts w:asciiTheme="minorEastAsia" w:hAnsiTheme="minorEastAsia" w:hint="eastAsia"/>
          <w:sz w:val="24"/>
          <w:szCs w:val="24"/>
        </w:rPr>
        <w:t>投资组合比例符合有关法律法规、部门规章、规范性文件的规定和基金合同的有关约定。</w:t>
      </w:r>
    </w:p>
    <w:p w:rsidR="000A2BB5" w:rsidRDefault="009D45D2">
      <w:pPr>
        <w:widowControl/>
        <w:spacing w:line="360" w:lineRule="auto"/>
        <w:ind w:firstLineChars="200" w:firstLine="480"/>
        <w:rPr>
          <w:rFonts w:asciiTheme="minorEastAsia" w:hAnsiTheme="minorEastAsia" w:cs="宋体"/>
          <w:kern w:val="0"/>
          <w:sz w:val="24"/>
          <w:szCs w:val="24"/>
        </w:rPr>
      </w:pPr>
      <w:r>
        <w:rPr>
          <w:rFonts w:asciiTheme="minorEastAsia" w:hAnsiTheme="minorEastAsia" w:cs="Arial Unicode MS" w:hint="eastAsia"/>
          <w:kern w:val="0"/>
          <w:sz w:val="24"/>
          <w:szCs w:val="24"/>
        </w:rPr>
        <w:t>投资者可通过易方达基金管理有限公司提供的以下途径咨询有关情况：</w:t>
      </w:r>
    </w:p>
    <w:p w:rsidR="000A2BB5" w:rsidRDefault="009D45D2">
      <w:pPr>
        <w:widowControl/>
        <w:spacing w:line="360" w:lineRule="auto"/>
        <w:ind w:firstLineChars="200" w:firstLine="480"/>
        <w:rPr>
          <w:rFonts w:asciiTheme="minorEastAsia" w:hAnsiTheme="minorEastAsia" w:cs="宋体"/>
          <w:kern w:val="0"/>
          <w:sz w:val="24"/>
          <w:szCs w:val="24"/>
        </w:rPr>
      </w:pPr>
      <w:r>
        <w:rPr>
          <w:rFonts w:asciiTheme="minorEastAsia" w:hAnsiTheme="minorEastAsia" w:cs="Arial Unicode MS" w:hint="eastAsia"/>
          <w:kern w:val="0"/>
          <w:sz w:val="24"/>
          <w:szCs w:val="24"/>
        </w:rPr>
        <w:t>客户服务电话：</w:t>
      </w:r>
      <w:r>
        <w:rPr>
          <w:rFonts w:asciiTheme="minorEastAsia" w:hAnsiTheme="minorEastAsia" w:cs="Arial Unicode MS" w:hint="eastAsia"/>
          <w:kern w:val="0"/>
          <w:sz w:val="24"/>
          <w:szCs w:val="24"/>
        </w:rPr>
        <w:t>400-881-8088</w:t>
      </w:r>
      <w:r>
        <w:rPr>
          <w:rFonts w:asciiTheme="minorEastAsia" w:hAnsiTheme="minorEastAsia" w:cs="Arial Unicode MS" w:hint="eastAsia"/>
          <w:kern w:val="0"/>
          <w:sz w:val="24"/>
          <w:szCs w:val="24"/>
        </w:rPr>
        <w:t>，网址：</w:t>
      </w:r>
      <w:hyperlink r:id="rId4" w:history="1">
        <w:r>
          <w:rPr>
            <w:rStyle w:val="a8"/>
            <w:rFonts w:asciiTheme="minorEastAsia" w:hAnsiTheme="minorEastAsia" w:cs="Arial Unicode MS" w:hint="eastAsia"/>
            <w:kern w:val="0"/>
            <w:sz w:val="24"/>
            <w:szCs w:val="24"/>
          </w:rPr>
          <w:t>www.efunds.com.cn</w:t>
        </w:r>
      </w:hyperlink>
    </w:p>
    <w:p w:rsidR="000A2BB5" w:rsidRDefault="009D45D2">
      <w:pPr>
        <w:spacing w:line="360" w:lineRule="auto"/>
        <w:ind w:firstLineChars="200" w:firstLine="480"/>
        <w:rPr>
          <w:rFonts w:asciiTheme="minorEastAsia" w:hAnsiTheme="minorEastAsia"/>
          <w:sz w:val="24"/>
          <w:szCs w:val="24"/>
        </w:rPr>
      </w:pPr>
      <w:r>
        <w:rPr>
          <w:rFonts w:asciiTheme="minorEastAsia" w:hAnsiTheme="minorEastAsia" w:cs="Arial Unicode MS" w:hint="eastAsia"/>
          <w:kern w:val="0"/>
          <w:sz w:val="24"/>
          <w:szCs w:val="24"/>
        </w:rP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w:t>
      </w:r>
      <w:r>
        <w:rPr>
          <w:rFonts w:asciiTheme="minorEastAsia" w:hAnsiTheme="minorEastAsia" w:cs="Arial Unicode MS" w:hint="eastAsia"/>
          <w:kern w:val="0"/>
          <w:sz w:val="24"/>
          <w:szCs w:val="24"/>
        </w:rPr>
        <w:t>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0A2BB5" w:rsidRDefault="009D45D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特此公告。</w:t>
      </w:r>
    </w:p>
    <w:p w:rsidR="000A2BB5" w:rsidRDefault="000A2BB5">
      <w:pPr>
        <w:spacing w:line="360" w:lineRule="auto"/>
        <w:ind w:firstLineChars="200" w:firstLine="480"/>
        <w:jc w:val="left"/>
        <w:rPr>
          <w:rFonts w:asciiTheme="minorEastAsia" w:hAnsiTheme="minorEastAsia"/>
          <w:sz w:val="24"/>
          <w:szCs w:val="24"/>
        </w:rPr>
      </w:pPr>
    </w:p>
    <w:p w:rsidR="000A2BB5" w:rsidRDefault="009D45D2">
      <w:pPr>
        <w:spacing w:line="360" w:lineRule="auto"/>
        <w:jc w:val="right"/>
        <w:rPr>
          <w:rFonts w:asciiTheme="minorEastAsia" w:hAnsiTheme="minorEastAsia"/>
          <w:sz w:val="24"/>
          <w:szCs w:val="24"/>
        </w:rPr>
      </w:pPr>
      <w:r>
        <w:rPr>
          <w:rFonts w:asciiTheme="minorEastAsia" w:hAnsiTheme="minorEastAsia" w:hint="eastAsia"/>
          <w:sz w:val="24"/>
          <w:szCs w:val="24"/>
        </w:rPr>
        <w:t>易方达基金管理有限公司</w:t>
      </w:r>
    </w:p>
    <w:p w:rsidR="000A2BB5" w:rsidRDefault="009D45D2">
      <w:pPr>
        <w:spacing w:line="540" w:lineRule="exact"/>
        <w:ind w:firstLineChars="400" w:firstLine="960"/>
        <w:jc w:val="righ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2026</w:t>
      </w:r>
      <w:r>
        <w:rPr>
          <w:rFonts w:asciiTheme="minorEastAsia" w:hAnsiTheme="minorEastAsia" w:hint="eastAsia"/>
          <w:color w:val="000000" w:themeColor="text1"/>
          <w:sz w:val="24"/>
          <w:szCs w:val="24"/>
        </w:rPr>
        <w:t>年</w:t>
      </w:r>
      <w:r>
        <w:rPr>
          <w:rFonts w:asciiTheme="minorEastAsia" w:hAnsiTheme="minorEastAsia" w:hint="eastAsia"/>
          <w:color w:val="000000" w:themeColor="text1"/>
          <w:sz w:val="24"/>
          <w:szCs w:val="24"/>
        </w:rPr>
        <w:t>1</w:t>
      </w:r>
      <w:r>
        <w:rPr>
          <w:rFonts w:asciiTheme="minorEastAsia" w:hAnsiTheme="minorEastAsia" w:hint="eastAsia"/>
          <w:color w:val="000000" w:themeColor="text1"/>
          <w:sz w:val="24"/>
          <w:szCs w:val="24"/>
        </w:rPr>
        <w:t>月</w:t>
      </w:r>
      <w:r>
        <w:rPr>
          <w:rFonts w:asciiTheme="minorEastAsia" w:hAnsiTheme="minorEastAsia" w:hint="eastAsia"/>
          <w:color w:val="000000" w:themeColor="text1"/>
          <w:sz w:val="24"/>
          <w:szCs w:val="24"/>
        </w:rPr>
        <w:t>1</w:t>
      </w:r>
      <w:r>
        <w:rPr>
          <w:rFonts w:asciiTheme="minorEastAsia" w:hAnsiTheme="minorEastAsia"/>
          <w:color w:val="000000" w:themeColor="text1"/>
          <w:sz w:val="24"/>
          <w:szCs w:val="24"/>
        </w:rPr>
        <w:t>2</w:t>
      </w:r>
      <w:r>
        <w:rPr>
          <w:rFonts w:asciiTheme="minorEastAsia" w:hAnsiTheme="minorEastAsia" w:hint="eastAsia"/>
          <w:color w:val="000000" w:themeColor="text1"/>
          <w:sz w:val="24"/>
          <w:szCs w:val="24"/>
        </w:rPr>
        <w:t>日</w:t>
      </w:r>
    </w:p>
    <w:p w:rsidR="000A2BB5" w:rsidRDefault="000A2BB5">
      <w:pPr>
        <w:spacing w:line="360" w:lineRule="auto"/>
        <w:jc w:val="right"/>
        <w:rPr>
          <w:rFonts w:asciiTheme="minorEastAsia" w:hAnsiTheme="minorEastAsia"/>
          <w:color w:val="FF0000"/>
          <w:sz w:val="24"/>
          <w:szCs w:val="24"/>
        </w:rPr>
      </w:pPr>
    </w:p>
    <w:p w:rsidR="000A2BB5" w:rsidRDefault="000A2BB5"/>
    <w:sectPr w:rsidR="000A2BB5" w:rsidSect="000A2BB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黄烁">
    <w15:presenceInfo w15:providerId="None" w15:userId="黄烁"/>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C6372"/>
    <w:rsid w:val="D4FB99F9"/>
    <w:rsid w:val="0000158B"/>
    <w:rsid w:val="000403D2"/>
    <w:rsid w:val="00043F41"/>
    <w:rsid w:val="00081246"/>
    <w:rsid w:val="000A2B0B"/>
    <w:rsid w:val="000A2BB5"/>
    <w:rsid w:val="000C5D8F"/>
    <w:rsid w:val="000C6998"/>
    <w:rsid w:val="00124F84"/>
    <w:rsid w:val="00137B45"/>
    <w:rsid w:val="001A3F57"/>
    <w:rsid w:val="001B2159"/>
    <w:rsid w:val="001B21C5"/>
    <w:rsid w:val="001F31ED"/>
    <w:rsid w:val="003D222F"/>
    <w:rsid w:val="00421F1C"/>
    <w:rsid w:val="00492985"/>
    <w:rsid w:val="004959F7"/>
    <w:rsid w:val="004A12D4"/>
    <w:rsid w:val="004C4BF0"/>
    <w:rsid w:val="00562066"/>
    <w:rsid w:val="00571663"/>
    <w:rsid w:val="00657652"/>
    <w:rsid w:val="00662E04"/>
    <w:rsid w:val="00696789"/>
    <w:rsid w:val="0072259F"/>
    <w:rsid w:val="007831CC"/>
    <w:rsid w:val="007C6372"/>
    <w:rsid w:val="008E6E15"/>
    <w:rsid w:val="009C5AF7"/>
    <w:rsid w:val="009D45D2"/>
    <w:rsid w:val="00AD277F"/>
    <w:rsid w:val="00AE462B"/>
    <w:rsid w:val="00B52CE4"/>
    <w:rsid w:val="00C10338"/>
    <w:rsid w:val="00C32DB1"/>
    <w:rsid w:val="00CE39E7"/>
    <w:rsid w:val="00D25619"/>
    <w:rsid w:val="00D91893"/>
    <w:rsid w:val="00DE1926"/>
    <w:rsid w:val="00E37DF6"/>
    <w:rsid w:val="00E56999"/>
    <w:rsid w:val="00E66358"/>
    <w:rsid w:val="00F016A4"/>
    <w:rsid w:val="00F45A0F"/>
    <w:rsid w:val="00F627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BB5"/>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0A2BB5"/>
    <w:pPr>
      <w:jc w:val="left"/>
    </w:pPr>
  </w:style>
  <w:style w:type="paragraph" w:styleId="a4">
    <w:name w:val="Balloon Text"/>
    <w:basedOn w:val="a"/>
    <w:link w:val="Char0"/>
    <w:uiPriority w:val="99"/>
    <w:semiHidden/>
    <w:unhideWhenUsed/>
    <w:qFormat/>
    <w:rsid w:val="000A2BB5"/>
    <w:rPr>
      <w:sz w:val="18"/>
      <w:szCs w:val="18"/>
    </w:rPr>
  </w:style>
  <w:style w:type="paragraph" w:styleId="a5">
    <w:name w:val="footer"/>
    <w:basedOn w:val="a"/>
    <w:link w:val="Char1"/>
    <w:uiPriority w:val="99"/>
    <w:unhideWhenUsed/>
    <w:qFormat/>
    <w:rsid w:val="000A2BB5"/>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A2BB5"/>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0A2BB5"/>
    <w:rPr>
      <w:b/>
      <w:bCs/>
    </w:rPr>
  </w:style>
  <w:style w:type="character" w:styleId="a8">
    <w:name w:val="Hyperlink"/>
    <w:basedOn w:val="a0"/>
    <w:uiPriority w:val="99"/>
    <w:semiHidden/>
    <w:unhideWhenUsed/>
    <w:qFormat/>
    <w:rsid w:val="000A2BB5"/>
    <w:rPr>
      <w:color w:val="0000FF"/>
      <w:u w:val="single"/>
    </w:rPr>
  </w:style>
  <w:style w:type="character" w:styleId="a9">
    <w:name w:val="annotation reference"/>
    <w:basedOn w:val="a0"/>
    <w:uiPriority w:val="99"/>
    <w:semiHidden/>
    <w:unhideWhenUsed/>
    <w:qFormat/>
    <w:rsid w:val="000A2BB5"/>
    <w:rPr>
      <w:sz w:val="21"/>
      <w:szCs w:val="21"/>
    </w:rPr>
  </w:style>
  <w:style w:type="character" w:customStyle="1" w:styleId="Char2">
    <w:name w:val="页眉 Char"/>
    <w:basedOn w:val="a0"/>
    <w:link w:val="a6"/>
    <w:uiPriority w:val="99"/>
    <w:qFormat/>
    <w:rsid w:val="000A2BB5"/>
    <w:rPr>
      <w:sz w:val="18"/>
      <w:szCs w:val="18"/>
    </w:rPr>
  </w:style>
  <w:style w:type="character" w:customStyle="1" w:styleId="Char1">
    <w:name w:val="页脚 Char"/>
    <w:basedOn w:val="a0"/>
    <w:link w:val="a5"/>
    <w:uiPriority w:val="99"/>
    <w:qFormat/>
    <w:rsid w:val="000A2BB5"/>
    <w:rPr>
      <w:sz w:val="18"/>
      <w:szCs w:val="18"/>
    </w:rPr>
  </w:style>
  <w:style w:type="character" w:customStyle="1" w:styleId="Char">
    <w:name w:val="批注文字 Char"/>
    <w:basedOn w:val="a0"/>
    <w:link w:val="a3"/>
    <w:uiPriority w:val="99"/>
    <w:semiHidden/>
    <w:qFormat/>
    <w:rsid w:val="000A2BB5"/>
  </w:style>
  <w:style w:type="character" w:customStyle="1" w:styleId="Char3">
    <w:name w:val="批注主题 Char"/>
    <w:basedOn w:val="Char"/>
    <w:link w:val="a7"/>
    <w:uiPriority w:val="99"/>
    <w:semiHidden/>
    <w:qFormat/>
    <w:rsid w:val="000A2BB5"/>
    <w:rPr>
      <w:b/>
      <w:bCs/>
    </w:rPr>
  </w:style>
  <w:style w:type="character" w:customStyle="1" w:styleId="Char0">
    <w:name w:val="批注框文本 Char"/>
    <w:basedOn w:val="a0"/>
    <w:link w:val="a4"/>
    <w:uiPriority w:val="99"/>
    <w:semiHidden/>
    <w:qFormat/>
    <w:rsid w:val="000A2BB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funds.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4</DocSecurity>
  <Lines>4</Lines>
  <Paragraphs>1</Paragraphs>
  <ScaleCrop>false</ScaleCrop>
  <Company/>
  <LinksUpToDate>false</LinksUpToDate>
  <CharactersWithSpaces>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2026-01-11T16:02:00Z</dcterms:created>
  <dcterms:modified xsi:type="dcterms:W3CDTF">2026-01-11T16:02:00Z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DBB006D8790E2CBA70E16069FDEB7AD0</vt:lpwstr>
  </property>
  <property fmtid="{D5CDD505-2E9C-101B-9397-08002B2CF9AE}" pid="3" name="KSOProductBuildVer">
    <vt:lpwstr>2052-11.8.2.12333</vt:lpwstr>
  </property>
</Properties>
</file>