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C13" w:rsidRPr="00716605" w:rsidRDefault="00333C13">
      <w:pPr>
        <w:jc w:val="center"/>
        <w:rPr>
          <w:rFonts w:ascii="宋体" w:hAnsi="宋体"/>
          <w:b/>
          <w:color w:val="000000"/>
          <w:szCs w:val="24"/>
        </w:rPr>
      </w:pPr>
    </w:p>
    <w:p w:rsidR="00333C13" w:rsidRPr="00716605" w:rsidRDefault="00333C13">
      <w:pPr>
        <w:jc w:val="center"/>
        <w:rPr>
          <w:rFonts w:ascii="宋体" w:hAnsi="宋体" w:hint="eastAsia"/>
          <w:b/>
          <w:color w:val="000000"/>
          <w:sz w:val="30"/>
          <w:szCs w:val="30"/>
        </w:rPr>
      </w:pPr>
      <w:r w:rsidRPr="00716605">
        <w:rPr>
          <w:rFonts w:ascii="宋体" w:hAnsi="宋体" w:hint="eastAsia"/>
          <w:b/>
          <w:color w:val="000000"/>
          <w:sz w:val="30"/>
          <w:szCs w:val="30"/>
        </w:rPr>
        <w:t>华泰保兴尊享三个月定期开放债券型发起式证券投资基金</w:t>
      </w:r>
      <w:r w:rsidRPr="00716605">
        <w:rPr>
          <w:rFonts w:ascii="宋体" w:hAnsi="宋体" w:hint="eastAsia"/>
          <w:b/>
          <w:color w:val="000000"/>
          <w:sz w:val="30"/>
          <w:szCs w:val="30"/>
        </w:rPr>
        <w:br/>
        <w:t>开放日常申购、赎回、转换业务的公告</w:t>
      </w:r>
    </w:p>
    <w:p w:rsidR="00333C13" w:rsidRPr="00716605" w:rsidRDefault="00333C13">
      <w:pPr>
        <w:jc w:val="center"/>
        <w:rPr>
          <w:rFonts w:ascii="宋体" w:hAnsi="宋体" w:hint="eastAsia"/>
          <w:b/>
          <w:color w:val="000000"/>
          <w:sz w:val="24"/>
          <w:szCs w:val="24"/>
        </w:rPr>
      </w:pPr>
    </w:p>
    <w:p w:rsidR="00333C13" w:rsidRPr="00716605" w:rsidRDefault="00333C13">
      <w:pPr>
        <w:spacing w:line="360" w:lineRule="auto"/>
        <w:jc w:val="center"/>
        <w:rPr>
          <w:rFonts w:ascii="宋体" w:hAnsi="宋体" w:hint="eastAsia"/>
          <w:b/>
          <w:color w:val="000000"/>
          <w:szCs w:val="21"/>
        </w:rPr>
      </w:pPr>
      <w:r w:rsidRPr="00716605">
        <w:rPr>
          <w:rFonts w:ascii="宋体" w:hAnsi="宋体" w:hint="eastAsia"/>
          <w:b/>
          <w:color w:val="000000"/>
          <w:szCs w:val="21"/>
        </w:rPr>
        <w:t>公告送出日期：2026年01月12日</w:t>
      </w:r>
      <w:bookmarkStart w:id="0" w:name="FM_JS_1"/>
      <w:bookmarkEnd w:id="0"/>
    </w:p>
    <w:p w:rsidR="00333C13" w:rsidRDefault="00333C13">
      <w:pPr>
        <w:rPr>
          <w:rFonts w:hint="eastAsia"/>
        </w:rPr>
      </w:pPr>
    </w:p>
    <w:p w:rsidR="00333C13" w:rsidRDefault="00333C13">
      <w:pPr>
        <w:pStyle w:val="10"/>
      </w:pPr>
      <w:bookmarkStart w:id="1" w:name="ZJ_1_KS"/>
      <w:bookmarkEnd w:id="1"/>
      <w:r>
        <w:rPr>
          <w:rFonts w:hint="eastAsia"/>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6004"/>
      </w:tblGrid>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color w:val="000000"/>
                <w:szCs w:val="21"/>
              </w:rPr>
            </w:pPr>
            <w:bookmarkStart w:id="2" w:name="BG_1_BG1"/>
            <w:bookmarkEnd w:id="2"/>
            <w:r>
              <w:rPr>
                <w:rFonts w:ascii="宋体" w:hAnsi="宋体" w:hint="eastAsia"/>
                <w:color w:val="000000"/>
                <w:szCs w:val="21"/>
              </w:rPr>
              <w:t>基金名称</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华泰保兴尊享三个月定期开放债券型发起式证券投资基金</w:t>
            </w:r>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r>
              <w:rPr>
                <w:rFonts w:ascii="宋体" w:hAnsi="宋体" w:hint="eastAsia"/>
                <w:color w:val="000000"/>
                <w:szCs w:val="21"/>
              </w:rPr>
              <w:t>基金简称</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华泰保兴尊享定开</w:t>
            </w:r>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r>
              <w:rPr>
                <w:rFonts w:ascii="宋体" w:hAnsi="宋体" w:hint="eastAsia"/>
                <w:color w:val="000000"/>
                <w:szCs w:val="21"/>
              </w:rPr>
              <w:t>基金主代码</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007767</w:t>
            </w:r>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r>
              <w:rPr>
                <w:rFonts w:ascii="宋体" w:hAnsi="宋体" w:hint="eastAsia"/>
                <w:color w:val="000000"/>
                <w:szCs w:val="21"/>
              </w:rPr>
              <w:t>基金运作方式</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契约型开放式</w:t>
            </w:r>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r>
              <w:rPr>
                <w:rFonts w:ascii="宋体" w:hAnsi="宋体" w:hint="eastAsia"/>
                <w:color w:val="000000"/>
                <w:szCs w:val="21"/>
              </w:rPr>
              <w:t>基金合同生效日</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2019年09月02日</w:t>
            </w:r>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r>
              <w:rPr>
                <w:rFonts w:ascii="宋体" w:hAnsi="宋体" w:hint="eastAsia"/>
                <w:color w:val="000000"/>
                <w:szCs w:val="21"/>
              </w:rPr>
              <w:t>基金管理人名称</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华泰保兴基金管理有限公司</w:t>
            </w:r>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r>
              <w:rPr>
                <w:rFonts w:ascii="宋体" w:hAnsi="宋体" w:hint="eastAsia"/>
                <w:color w:val="000000"/>
                <w:szCs w:val="21"/>
              </w:rPr>
              <w:t>基金托管人名称</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中国工商银行股份有限公司</w:t>
            </w:r>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bookmarkStart w:id="3" w:name="YSH_0310_KS_1"/>
            <w:bookmarkEnd w:id="3"/>
            <w:r>
              <w:rPr>
                <w:rFonts w:ascii="宋体" w:hAnsi="宋体" w:hint="eastAsia"/>
                <w:color w:val="000000"/>
                <w:szCs w:val="21"/>
              </w:rPr>
              <w:t>基金注册登记机构名称</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华泰保兴基金管理有限公司</w:t>
            </w:r>
            <w:bookmarkStart w:id="4" w:name="YSH_0310_JS_1"/>
            <w:bookmarkEnd w:id="4"/>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r>
              <w:rPr>
                <w:rFonts w:ascii="宋体" w:hAnsi="宋体" w:hint="eastAsia"/>
                <w:color w:val="000000"/>
                <w:szCs w:val="21"/>
              </w:rPr>
              <w:t>公告依据</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中华人民共和国证券投资基金法》《公开募集证券投资基金运作管理办法》等法律法规以及《华泰保兴尊享三个月定期开放债券型发起式证券投资基金基金合同》（以下简称《基金合同》）、《华泰保兴尊享三个月定期开放债券型发起式证券投资基金招募说明书》（以下简称《招募说明书》）</w:t>
            </w:r>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bookmarkStart w:id="5" w:name="YSH_2660_KS_1"/>
            <w:bookmarkEnd w:id="5"/>
            <w:r>
              <w:rPr>
                <w:rFonts w:ascii="宋体" w:hAnsi="宋体" w:hint="eastAsia"/>
                <w:color w:val="000000"/>
                <w:szCs w:val="21"/>
              </w:rPr>
              <w:t>申购起始日</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2026年01月14日</w:t>
            </w:r>
            <w:bookmarkStart w:id="6" w:name="YSH_2660_JS_1"/>
            <w:bookmarkEnd w:id="6"/>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bookmarkStart w:id="7" w:name="YSH_2661_KS_1"/>
            <w:bookmarkEnd w:id="7"/>
            <w:r>
              <w:rPr>
                <w:rFonts w:ascii="宋体" w:hAnsi="宋体" w:hint="eastAsia"/>
                <w:color w:val="000000"/>
                <w:szCs w:val="21"/>
              </w:rPr>
              <w:t>赎回起始日</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2026年01月14日</w:t>
            </w:r>
            <w:bookmarkStart w:id="8" w:name="YSH_2661_JS_1"/>
            <w:bookmarkEnd w:id="8"/>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bookmarkStart w:id="9" w:name="YSH_2793_KS_1"/>
            <w:bookmarkEnd w:id="9"/>
            <w:r>
              <w:rPr>
                <w:rFonts w:ascii="宋体" w:hAnsi="宋体" w:hint="eastAsia"/>
                <w:color w:val="000000"/>
                <w:szCs w:val="21"/>
              </w:rPr>
              <w:t>转换转入起始日</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2026年01月14日</w:t>
            </w:r>
            <w:bookmarkStart w:id="10" w:name="YSH_2793_JS_1"/>
            <w:bookmarkEnd w:id="10"/>
          </w:p>
        </w:tc>
      </w:tr>
      <w:tr w:rsidR="00333C13" w:rsidRPr="00716605">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ind w:leftChars="-6" w:left="-13" w:rightChars="-10" w:right="-21"/>
              <w:jc w:val="left"/>
              <w:rPr>
                <w:rFonts w:ascii="宋体" w:hAnsi="宋体" w:hint="eastAsia"/>
                <w:color w:val="000000"/>
                <w:szCs w:val="21"/>
              </w:rPr>
            </w:pPr>
            <w:bookmarkStart w:id="11" w:name="YSH_2794_KS_1"/>
            <w:bookmarkEnd w:id="11"/>
            <w:r>
              <w:rPr>
                <w:rFonts w:ascii="宋体" w:hAnsi="宋体" w:hint="eastAsia"/>
                <w:color w:val="000000"/>
                <w:szCs w:val="21"/>
              </w:rPr>
              <w:t>转换转出起始日</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33C13" w:rsidRDefault="00333C13">
            <w:pPr>
              <w:jc w:val="left"/>
              <w:rPr>
                <w:rFonts w:ascii="宋体" w:hAnsi="宋体" w:hint="eastAsia"/>
                <w:szCs w:val="21"/>
              </w:rPr>
            </w:pPr>
            <w:r>
              <w:rPr>
                <w:rFonts w:ascii="宋体" w:hAnsi="宋体" w:hint="eastAsia"/>
                <w:szCs w:val="21"/>
              </w:rPr>
              <w:t>2026年01月14日</w:t>
            </w:r>
            <w:bookmarkStart w:id="12" w:name="YSH_2794_JS_1"/>
            <w:bookmarkEnd w:id="12"/>
          </w:p>
        </w:tc>
      </w:tr>
    </w:tbl>
    <w:p w:rsidR="00333C13" w:rsidRDefault="00333C13">
      <w:pPr>
        <w:spacing w:line="360" w:lineRule="auto"/>
        <w:jc w:val="left"/>
        <w:rPr>
          <w:rFonts w:ascii="宋体" w:hAnsi="宋体" w:hint="eastAsia"/>
          <w:szCs w:val="21"/>
        </w:rPr>
      </w:pPr>
      <w:bookmarkStart w:id="13" w:name="WB_1_WB1"/>
      <w:bookmarkEnd w:id="13"/>
      <w:r>
        <w:rPr>
          <w:rFonts w:ascii="宋体" w:hAnsi="宋体" w:hint="eastAsia"/>
          <w:szCs w:val="21"/>
        </w:rPr>
        <w:t>注：（1）华泰保兴尊享三个月定期开放债券型发起式证券投资基金（以下简称“本基金”）</w:t>
      </w:r>
      <w:r>
        <w:rPr>
          <w:rFonts w:ascii="宋体" w:hAnsi="宋体" w:hint="eastAsia"/>
          <w:szCs w:val="21"/>
        </w:rPr>
        <w:br/>
        <w:t>（2）华泰保兴基金管理有限公司（以下简称“本公司”或“基金管理人”）</w:t>
      </w:r>
      <w:bookmarkStart w:id="14" w:name="ZJ_1_JS"/>
      <w:bookmarkEnd w:id="14"/>
    </w:p>
    <w:p w:rsidR="00333C13" w:rsidRDefault="00333C13">
      <w:pPr>
        <w:pStyle w:val="10"/>
        <w:rPr>
          <w:rFonts w:hint="eastAsia"/>
        </w:rPr>
      </w:pPr>
      <w:bookmarkStart w:id="15" w:name="ZJ_2_KS"/>
      <w:bookmarkEnd w:id="15"/>
      <w:r>
        <w:rPr>
          <w:rFonts w:hint="eastAsia"/>
        </w:rPr>
        <w:t>日常</w:t>
      </w:r>
      <w:r>
        <w:t>申购、赎回、转换</w:t>
      </w:r>
      <w:r>
        <w:rPr>
          <w:rFonts w:hint="eastAsia"/>
        </w:rPr>
        <w:t>业务的办理时间</w:t>
      </w:r>
    </w:p>
    <w:p w:rsidR="00333C13" w:rsidRDefault="00333C13">
      <w:pPr>
        <w:spacing w:line="360" w:lineRule="auto"/>
        <w:jc w:val="left"/>
        <w:rPr>
          <w:rFonts w:ascii="宋体" w:hAnsi="宋体"/>
          <w:szCs w:val="21"/>
        </w:rPr>
      </w:pPr>
      <w:bookmarkStart w:id="16" w:name="WB_2_WB1"/>
      <w:bookmarkEnd w:id="16"/>
      <w:r>
        <w:rPr>
          <w:rFonts w:ascii="宋体" w:hAnsi="宋体" w:hint="eastAsia"/>
          <w:szCs w:val="21"/>
        </w:rPr>
        <w:t>  （1）开放日</w:t>
      </w:r>
      <w:r>
        <w:rPr>
          <w:rFonts w:ascii="宋体" w:hAnsi="宋体" w:hint="eastAsia"/>
          <w:szCs w:val="21"/>
        </w:rPr>
        <w:br/>
        <w:t>  根据本基金《基金合同》《招募说明书》的约定，本基金以定期开放的方式运作，即采用封闭运作和开放运作交替循环的方式。自基金合同生效日（含该日）起或每一开放期结束之日次日（含该日）起3个月的期间内，本基金采取封闭运作模式。</w:t>
      </w:r>
      <w:r>
        <w:rPr>
          <w:rFonts w:ascii="宋体" w:hAnsi="宋体" w:hint="eastAsia"/>
          <w:szCs w:val="21"/>
        </w:rPr>
        <w:br/>
        <w:t>  每一个封闭期结束后，本基金即进入开放期，开放期的期限为自每个封闭期结束之日后第一个工作日（含该日）起一至二十个工作日，开放期的具体时间由基金管理人在封闭期结束</w:t>
      </w:r>
      <w:r>
        <w:rPr>
          <w:rFonts w:ascii="宋体" w:hAnsi="宋体" w:hint="eastAsia"/>
          <w:szCs w:val="21"/>
        </w:rPr>
        <w:lastRenderedPageBreak/>
        <w:t>前公告说明。开放期内，本基金采取开放运作模式，投资人可办理基金份额申购、赎回或其他业务。开放期未赎回的份额将自动转入下一个封闭期。</w:t>
      </w:r>
      <w:r>
        <w:rPr>
          <w:rFonts w:ascii="宋体" w:hAnsi="宋体" w:hint="eastAsia"/>
          <w:szCs w:val="21"/>
        </w:rPr>
        <w:br/>
        <w:t>  本基金的第二十一个封闭期为自2025年10月14日至2026年01月13日止。本基金第二十一次办理申购、赎回和转换业务的开放期为2026年01月14日至2026年02月10日，共二十个工作日。本基金第二十二个封闭期为自2026年02月11日起至3个月后对应日的前一日（含该日）。如该对应日不存在对应日期或为非工作日，则顺延至下一工作日。本基金封闭期内不办理申购、赎回或其他业务，也不上市交易。</w:t>
      </w:r>
      <w:r>
        <w:rPr>
          <w:rFonts w:ascii="宋体" w:hAnsi="宋体" w:hint="eastAsia"/>
          <w:szCs w:val="21"/>
        </w:rPr>
        <w:br/>
        <w:t>  如在开放期内发生不可抗力或其他情形致使基金无法按时开放或需依据《基金合同》暂停申购、赎回和转换等业务的，基金管理人有权合理调整申购、赎回和转换等业务的办理期间并予以公告，在不可抗力或其他情形影响因素消除之日下一个工作日起，继续计算该开放期时间。</w:t>
      </w:r>
      <w:r>
        <w:rPr>
          <w:rFonts w:ascii="宋体" w:hAnsi="宋体" w:hint="eastAsia"/>
          <w:szCs w:val="21"/>
        </w:rPr>
        <w:br/>
        <w:t>  在不违反法律法规的前提下，基金管理人可以对封闭期和开放期的设置及规则进行调整，并提前公告。</w:t>
      </w:r>
      <w:r>
        <w:rPr>
          <w:rFonts w:ascii="宋体" w:hAnsi="宋体" w:hint="eastAsia"/>
          <w:szCs w:val="21"/>
        </w:rPr>
        <w:br/>
        <w:t>  （2）开放时间</w:t>
      </w:r>
      <w:r>
        <w:rPr>
          <w:rFonts w:ascii="宋体" w:hAnsi="宋体" w:hint="eastAsia"/>
          <w:szCs w:val="21"/>
        </w:rPr>
        <w:br/>
        <w:t>  本基金开放期内，投资人在开放日办理基金份额的申购、赎回和转换业务的具体办理时间为上海证券交易所、深圳证券交易所的正常交易日的交易时间，但基金管理人根据法律法规、中国证监会的要求或基金合同的规定公告暂停申购、赎回和转换业务时除外。</w:t>
      </w:r>
      <w:r>
        <w:rPr>
          <w:rFonts w:ascii="宋体" w:hAnsi="宋体" w:hint="eastAsia"/>
          <w:szCs w:val="21"/>
        </w:rPr>
        <w:br/>
        <w:t>  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规定媒介上公告。</w:t>
      </w:r>
      <w:bookmarkStart w:id="17" w:name="ZJ_2_JS"/>
      <w:bookmarkEnd w:id="17"/>
    </w:p>
    <w:p w:rsidR="00333C13" w:rsidRDefault="00333C13">
      <w:pPr>
        <w:pStyle w:val="10"/>
        <w:rPr>
          <w:rFonts w:hint="eastAsia"/>
        </w:rPr>
      </w:pPr>
      <w:bookmarkStart w:id="18" w:name="ZJ_3_KS"/>
      <w:bookmarkEnd w:id="18"/>
      <w:r>
        <w:rPr>
          <w:rFonts w:hint="eastAsia"/>
        </w:rPr>
        <w:t>日常申购业务</w:t>
      </w:r>
    </w:p>
    <w:p w:rsidR="00333C13" w:rsidRDefault="00333C13">
      <w:pPr>
        <w:pStyle w:val="2"/>
      </w:pPr>
      <w:bookmarkStart w:id="19" w:name="ZJ_3_1_KS"/>
      <w:bookmarkEnd w:id="19"/>
      <w:r>
        <w:rPr>
          <w:rFonts w:hint="eastAsia"/>
        </w:rPr>
        <w:t>申购金额限制</w:t>
      </w:r>
    </w:p>
    <w:p w:rsidR="00333C13" w:rsidRDefault="00333C13">
      <w:pPr>
        <w:spacing w:line="360" w:lineRule="auto"/>
        <w:jc w:val="left"/>
        <w:rPr>
          <w:rFonts w:ascii="宋体" w:hAnsi="宋体"/>
          <w:szCs w:val="21"/>
        </w:rPr>
      </w:pPr>
      <w:bookmarkStart w:id="20" w:name="WB_3_1_WB1"/>
      <w:bookmarkEnd w:id="20"/>
      <w:r>
        <w:rPr>
          <w:rFonts w:ascii="宋体" w:hAnsi="宋体" w:hint="eastAsia"/>
          <w:szCs w:val="21"/>
        </w:rPr>
        <w:t>  投资者单个基金账户办理基金申购业务的，首次申购的最低金额为单笔1元，追加申购的最低金额为单笔1元。通过基金管理人直销柜台办理基金申购业务的，首次申购的最低金额为单笔100,000元，追加申购的最低金额为单笔10,000元；已在直销机构有认购或申购过本基金管理人管理的任一基金（包括本基金）记录的投资人不受首次申购最低金额的限制。本基金直销机构单笔申购最低金额可由基金管理人酌情调整。其他销售机构接受申购申请的最低金额和业务规则以其他销售机构的规定为准，但不得低于基金管理人规定的最低限额。</w:t>
      </w:r>
      <w:bookmarkStart w:id="21" w:name="ZJ_3_1_JS"/>
      <w:bookmarkEnd w:id="21"/>
    </w:p>
    <w:p w:rsidR="00333C13" w:rsidRDefault="00333C13">
      <w:pPr>
        <w:pStyle w:val="2"/>
        <w:rPr>
          <w:rFonts w:hint="eastAsia"/>
        </w:rPr>
      </w:pPr>
      <w:bookmarkStart w:id="22" w:name="ZJ_3_2_KS"/>
      <w:bookmarkEnd w:id="22"/>
      <w:r>
        <w:rPr>
          <w:rFonts w:hint="eastAsia"/>
        </w:rPr>
        <w:t>申购费率</w:t>
      </w:r>
    </w:p>
    <w:p w:rsidR="00333C13" w:rsidRDefault="00333C13">
      <w:pPr>
        <w:spacing w:line="360" w:lineRule="auto"/>
        <w:jc w:val="left"/>
        <w:rPr>
          <w:rFonts w:ascii="宋体" w:hAnsi="宋体"/>
          <w:szCs w:val="21"/>
        </w:rPr>
      </w:pPr>
      <w:bookmarkStart w:id="23" w:name="WB_3_2_WB1"/>
      <w:bookmarkEnd w:id="23"/>
      <w:r>
        <w:rPr>
          <w:rFonts w:ascii="宋体" w:hAnsi="宋体" w:hint="eastAsia"/>
          <w:szCs w:val="21"/>
        </w:rPr>
        <w:t>  投资人可以多次申购本基金，申购费用按每笔申购申请单独计算，基金投资人申购基金份</w:t>
      </w:r>
      <w:r>
        <w:rPr>
          <w:rFonts w:ascii="宋体" w:hAnsi="宋体" w:hint="eastAsia"/>
          <w:szCs w:val="21"/>
        </w:rPr>
        <w:lastRenderedPageBreak/>
        <w:t>额时支付申购费用。</w:t>
      </w:r>
      <w:r>
        <w:rPr>
          <w:rFonts w:ascii="宋体" w:hAnsi="宋体" w:hint="eastAsia"/>
          <w:szCs w:val="21"/>
        </w:rPr>
        <w:br/>
        <w:t>  申购费用由投资人承担，不列入基金财产，主要用于本基金的市场推广、销售、登记结算等各项费用。</w:t>
      </w:r>
    </w:p>
    <w:p w:rsidR="00333C13" w:rsidRDefault="00333C13">
      <w:pPr>
        <w:spacing w:line="360" w:lineRule="auto"/>
        <w:ind w:firstLineChars="200" w:firstLine="420"/>
        <w:jc w:val="left"/>
        <w:rPr>
          <w:rFonts w:ascii="宋体" w:hAnsi="宋体" w:hint="eastAsia"/>
          <w:szCs w:val="21"/>
        </w:rPr>
      </w:pPr>
      <w:bookmarkStart w:id="24" w:name="FFJ_3_2"/>
      <w:bookmarkStart w:id="25" w:name="BTBG_3_2_BG1"/>
      <w:bookmarkEnd w:id="24"/>
      <w:bookmarkEnd w:id="25"/>
      <w:r>
        <w:rPr>
          <w:rFonts w:ascii="宋体" w:hAnsi="宋体" w:hint="eastAsia"/>
          <w:szCs w:val="21"/>
        </w:rPr>
        <w:t>本基金申购费率如下：</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2"/>
        <w:gridCol w:w="4148"/>
      </w:tblGrid>
      <w:tr w:rsidR="00333C13" w:rsidRPr="00716605" w:rsidTr="00716605">
        <w:tc>
          <w:tcPr>
            <w:tcW w:w="4153"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申购金额（M/元）</w:t>
            </w:r>
          </w:p>
        </w:tc>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申购费率</w:t>
            </w:r>
          </w:p>
        </w:tc>
      </w:tr>
      <w:tr w:rsidR="00333C13" w:rsidRPr="00716605" w:rsidTr="00716605">
        <w:tc>
          <w:tcPr>
            <w:tcW w:w="4153"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M&lt;50万</w:t>
            </w:r>
          </w:p>
        </w:tc>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0.80%</w:t>
            </w:r>
          </w:p>
        </w:tc>
      </w:tr>
      <w:tr w:rsidR="00333C13" w:rsidRPr="00716605" w:rsidTr="00716605">
        <w:tc>
          <w:tcPr>
            <w:tcW w:w="4153"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50万≤M&lt;100万</w:t>
            </w:r>
          </w:p>
        </w:tc>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0.60%</w:t>
            </w:r>
          </w:p>
        </w:tc>
      </w:tr>
      <w:tr w:rsidR="00333C13" w:rsidRPr="00716605" w:rsidTr="00716605">
        <w:tc>
          <w:tcPr>
            <w:tcW w:w="4153"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100万≤M&lt;500万</w:t>
            </w:r>
          </w:p>
        </w:tc>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0.40%</w:t>
            </w:r>
          </w:p>
        </w:tc>
      </w:tr>
      <w:tr w:rsidR="00333C13" w:rsidRPr="00716605" w:rsidTr="00716605">
        <w:tc>
          <w:tcPr>
            <w:tcW w:w="4153"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M≥500万</w:t>
            </w:r>
          </w:p>
        </w:tc>
        <w:tc>
          <w:tcPr>
            <w:tcW w:w="4148"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jc w:val="left"/>
              <w:rPr>
                <w:rFonts w:ascii="宋体" w:hAnsi="宋体" w:hint="eastAsia"/>
                <w:szCs w:val="21"/>
              </w:rPr>
            </w:pPr>
            <w:r w:rsidRPr="00716605">
              <w:rPr>
                <w:rFonts w:ascii="宋体" w:hAnsi="宋体" w:hint="eastAsia"/>
                <w:szCs w:val="21"/>
              </w:rPr>
              <w:t>1000元/笔</w:t>
            </w:r>
          </w:p>
        </w:tc>
      </w:tr>
    </w:tbl>
    <w:p w:rsidR="00333C13" w:rsidRDefault="00333C13">
      <w:pPr>
        <w:spacing w:line="20" w:lineRule="exact"/>
        <w:ind w:firstLineChars="100" w:firstLine="210"/>
        <w:jc w:val="left"/>
        <w:rPr>
          <w:rFonts w:ascii="宋体" w:hAnsi="宋体" w:hint="eastAsia"/>
          <w:szCs w:val="21"/>
        </w:rPr>
      </w:pPr>
    </w:p>
    <w:p w:rsidR="00333C13" w:rsidRDefault="00333C13">
      <w:pPr>
        <w:spacing w:line="20" w:lineRule="exact"/>
        <w:ind w:firstLineChars="100" w:firstLine="210"/>
        <w:jc w:val="left"/>
        <w:rPr>
          <w:rFonts w:ascii="宋体" w:hAnsi="宋体" w:hint="eastAsia"/>
          <w:szCs w:val="21"/>
        </w:rPr>
      </w:pPr>
    </w:p>
    <w:p w:rsidR="00333C13" w:rsidRDefault="00333C13">
      <w:pPr>
        <w:spacing w:line="20" w:lineRule="exact"/>
        <w:ind w:firstLineChars="100" w:firstLine="210"/>
        <w:jc w:val="left"/>
        <w:rPr>
          <w:rFonts w:ascii="宋体" w:hAnsi="宋体" w:hint="eastAsia"/>
          <w:szCs w:val="21"/>
        </w:rPr>
      </w:pPr>
    </w:p>
    <w:p w:rsidR="00333C13" w:rsidRDefault="00333C13">
      <w:pPr>
        <w:spacing w:line="20" w:lineRule="exact"/>
        <w:ind w:firstLineChars="100" w:firstLine="210"/>
        <w:jc w:val="left"/>
        <w:rPr>
          <w:rFonts w:ascii="宋体" w:hAnsi="宋体" w:hint="eastAsia"/>
          <w:szCs w:val="21"/>
        </w:rPr>
      </w:pPr>
    </w:p>
    <w:p w:rsidR="00333C13" w:rsidRDefault="00333C13">
      <w:pPr>
        <w:spacing w:line="20" w:lineRule="exact"/>
        <w:ind w:firstLineChars="100" w:firstLine="210"/>
        <w:jc w:val="left"/>
        <w:rPr>
          <w:rFonts w:ascii="宋体" w:hAnsi="宋体" w:hint="eastAsia"/>
          <w:szCs w:val="21"/>
        </w:rPr>
      </w:pPr>
    </w:p>
    <w:p w:rsidR="00333C13" w:rsidRDefault="00333C13">
      <w:pPr>
        <w:spacing w:line="20" w:lineRule="exact"/>
        <w:ind w:firstLineChars="100" w:firstLine="210"/>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360" w:lineRule="auto"/>
        <w:jc w:val="left"/>
        <w:rPr>
          <w:rFonts w:ascii="宋体" w:hAnsi="宋体" w:hint="eastAsia"/>
          <w:szCs w:val="21"/>
        </w:rPr>
      </w:pPr>
      <w:bookmarkStart w:id="26" w:name="WB_3_2_WB2"/>
      <w:bookmarkEnd w:id="26"/>
      <w:r>
        <w:rPr>
          <w:rFonts w:ascii="宋体" w:hAnsi="宋体" w:hint="eastAsia"/>
          <w:szCs w:val="21"/>
        </w:rPr>
        <w:t>  持有本基金份额的投资人因红利再投资而产生的基金份额，不收取相应的申购费用。</w:t>
      </w:r>
      <w:r>
        <w:rPr>
          <w:rFonts w:ascii="宋体" w:hAnsi="宋体" w:hint="eastAsia"/>
          <w:szCs w:val="21"/>
        </w:rPr>
        <w:br/>
        <w:t>  本基金对通过基金管理人直销柜台申购基金份额的养老金客户实施特定申购费率。</w:t>
      </w:r>
      <w:r>
        <w:rPr>
          <w:rFonts w:ascii="宋体" w:hAnsi="宋体" w:hint="eastAsia"/>
          <w:szCs w:val="21"/>
        </w:rPr>
        <w:br/>
        <w:t>  养老金客户指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职业年金计划、养老目标基金、个人税收递延型商业养老保险等产品。如将来出现经养老基金监管部门认可的新的养老基金类型，基金管理人也将其纳入养老金客户范围，并按规定向中国证监会备案。</w:t>
      </w:r>
      <w:r>
        <w:rPr>
          <w:rFonts w:ascii="宋体" w:hAnsi="宋体" w:hint="eastAsia"/>
          <w:szCs w:val="21"/>
        </w:rPr>
        <w:br/>
        <w:t>  通过基金管理人直销柜台申购本基金的养老金客户享受申购费率（含固定申购费）零折优惠。</w:t>
      </w:r>
      <w:r>
        <w:rPr>
          <w:rFonts w:ascii="宋体" w:hAnsi="宋体" w:hint="eastAsia"/>
          <w:szCs w:val="21"/>
        </w:rPr>
        <w:br/>
        <w:t>  基金管理人可以在基金合同约定的范围内调整费率或收费方式，并最迟应于新的费率或收费方式实施日前依照《信息披露办法》的有关规定在规定媒介上公告。</w:t>
      </w:r>
      <w:bookmarkStart w:id="27" w:name="ZJ_3_2_JS"/>
      <w:bookmarkEnd w:id="27"/>
    </w:p>
    <w:p w:rsidR="00333C13" w:rsidRDefault="00333C13">
      <w:pPr>
        <w:pStyle w:val="2"/>
        <w:rPr>
          <w:rFonts w:hint="eastAsia"/>
        </w:rPr>
      </w:pPr>
      <w:bookmarkStart w:id="28" w:name="ZJ_3_3_KS"/>
      <w:bookmarkEnd w:id="28"/>
      <w:r>
        <w:rPr>
          <w:rFonts w:hint="eastAsia"/>
        </w:rPr>
        <w:t>其他与申购相关的事项</w:t>
      </w:r>
    </w:p>
    <w:p w:rsidR="00333C13" w:rsidRDefault="00333C13">
      <w:pPr>
        <w:spacing w:line="360" w:lineRule="auto"/>
        <w:jc w:val="left"/>
        <w:rPr>
          <w:rFonts w:ascii="宋体" w:hAnsi="宋体"/>
          <w:szCs w:val="21"/>
        </w:rPr>
      </w:pPr>
      <w:bookmarkStart w:id="29" w:name="WB_3_3_WB1"/>
      <w:bookmarkEnd w:id="29"/>
      <w:r>
        <w:rPr>
          <w:rFonts w:ascii="宋体" w:hAnsi="宋体" w:hint="eastAsia"/>
          <w:szCs w:val="21"/>
        </w:rPr>
        <w:t>  （1）在开放期内，投资人在基金合同约定之外的日期和时间提出申购业务申请且登记机构确认接受的，其基金份额申购价格为该开放期下一开放日基金份额申购价格；但若投资人在该开放期最后一个开放日业务办理时间结束之后提出申购业务申请的，视为无效申请。</w:t>
      </w:r>
      <w:r>
        <w:rPr>
          <w:rFonts w:ascii="宋体" w:hAnsi="宋体" w:hint="eastAsia"/>
          <w:szCs w:val="21"/>
        </w:rPr>
        <w:br/>
        <w:t>  （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届时相关公告。</w:t>
      </w:r>
      <w:r>
        <w:rPr>
          <w:rFonts w:ascii="宋体" w:hAnsi="宋体" w:hint="eastAsia"/>
          <w:szCs w:val="21"/>
        </w:rPr>
        <w:br/>
        <w:t>  （3）基金管理人可根据市场情况，在法律法规允许的情况下，调整申购的金额的数量限制，基金管理人必须在调整实施前依照《信息披露办法》的有关规定在规定媒介上刊登公告。</w:t>
      </w:r>
      <w:r>
        <w:rPr>
          <w:rFonts w:ascii="宋体" w:hAnsi="宋体" w:hint="eastAsia"/>
          <w:szCs w:val="21"/>
        </w:rPr>
        <w:br/>
        <w:t>  （4）基金管理人有权决定基金份额持有人持有本基金的最高限额和本基金的总规模限额，但最迟应在新的限额实施前依照《信息披露办法》的有关规定在规定媒介上公告。</w:t>
      </w:r>
      <w:r>
        <w:rPr>
          <w:rFonts w:ascii="宋体" w:hAnsi="宋体" w:hint="eastAsia"/>
          <w:szCs w:val="21"/>
        </w:rPr>
        <w:br/>
        <w:t>  （5）基金管理人可以在不违背法律法规规定及基金合同约定的情况下根据市场情况制定基金促销计划，针对投资人定期和不定期地开展基金促销活动。在基金促销活动期间，在不违反法律法规且对存量基金份额持有人利益无实质性不利影响的前提下，基金管理人可以按中国证监会要求履行必要手续后，对投资人适当调低基金申购费率。</w:t>
      </w:r>
      <w:r>
        <w:rPr>
          <w:rFonts w:ascii="宋体" w:hAnsi="宋体" w:hint="eastAsia"/>
          <w:szCs w:val="21"/>
        </w:rPr>
        <w:br/>
        <w:t>  （6）当发生大额申购情形时，基金管理人可以采用摆动定价机制，以确保基金估值的公平性。具体处理原则与操作规范遵循相关法律法规以及监管部门、自律规则的规定。</w:t>
      </w:r>
      <w:r>
        <w:rPr>
          <w:rFonts w:ascii="宋体" w:hAnsi="宋体" w:hint="eastAsia"/>
          <w:szCs w:val="21"/>
        </w:rPr>
        <w:br/>
        <w:t>  （7）基金管理人可基于保护基金份额持有人利益的原则，履行法定程序后启用侧袋机制。届时本基金申购安排将按照相关法律法规和监管部门的规定执行。</w:t>
      </w:r>
      <w:bookmarkStart w:id="30" w:name="ZJ_3_3_JS"/>
      <w:bookmarkStart w:id="31" w:name="ZJ_3_JS"/>
      <w:bookmarkEnd w:id="30"/>
      <w:bookmarkEnd w:id="31"/>
    </w:p>
    <w:p w:rsidR="00333C13" w:rsidRDefault="00333C13">
      <w:pPr>
        <w:pStyle w:val="10"/>
        <w:rPr>
          <w:rFonts w:hint="eastAsia"/>
        </w:rPr>
      </w:pPr>
      <w:bookmarkStart w:id="32" w:name="ZJ_4_KS"/>
      <w:bookmarkEnd w:id="32"/>
      <w:r>
        <w:rPr>
          <w:rFonts w:hint="eastAsia"/>
        </w:rPr>
        <w:t>日常赎回业务</w:t>
      </w:r>
    </w:p>
    <w:p w:rsidR="00333C13" w:rsidRDefault="00333C13">
      <w:pPr>
        <w:pStyle w:val="2"/>
      </w:pPr>
      <w:bookmarkStart w:id="33" w:name="ZJ_4_1_KS"/>
      <w:bookmarkEnd w:id="33"/>
      <w:r>
        <w:rPr>
          <w:rFonts w:hint="eastAsia"/>
        </w:rPr>
        <w:t>赎回份额限制</w:t>
      </w:r>
    </w:p>
    <w:p w:rsidR="00333C13" w:rsidRDefault="00333C13">
      <w:pPr>
        <w:spacing w:line="360" w:lineRule="auto"/>
        <w:jc w:val="left"/>
        <w:rPr>
          <w:rFonts w:ascii="宋体" w:hAnsi="宋体"/>
          <w:szCs w:val="21"/>
        </w:rPr>
      </w:pPr>
      <w:bookmarkStart w:id="34" w:name="WB_4_1_WB1"/>
      <w:bookmarkEnd w:id="34"/>
      <w:r>
        <w:rPr>
          <w:rFonts w:ascii="宋体" w:hAnsi="宋体" w:hint="eastAsia"/>
          <w:szCs w:val="21"/>
        </w:rPr>
        <w:t>  赎回的最低份额为1份基金份额。</w:t>
      </w:r>
      <w:bookmarkStart w:id="35" w:name="ZJ_4_1_JS"/>
      <w:bookmarkEnd w:id="35"/>
    </w:p>
    <w:p w:rsidR="00333C13" w:rsidRDefault="00333C13">
      <w:pPr>
        <w:pStyle w:val="2"/>
        <w:rPr>
          <w:rFonts w:hint="eastAsia"/>
        </w:rPr>
      </w:pPr>
      <w:bookmarkStart w:id="36" w:name="ZJ_4_2_KS"/>
      <w:bookmarkEnd w:id="36"/>
      <w:r>
        <w:rPr>
          <w:rFonts w:hint="eastAsia"/>
        </w:rPr>
        <w:t>赎回费率</w:t>
      </w:r>
    </w:p>
    <w:p w:rsidR="00333C13" w:rsidRDefault="00333C13">
      <w:pPr>
        <w:spacing w:line="360" w:lineRule="auto"/>
        <w:jc w:val="left"/>
        <w:rPr>
          <w:rFonts w:ascii="宋体" w:hAnsi="宋体"/>
          <w:szCs w:val="21"/>
        </w:rPr>
      </w:pPr>
      <w:bookmarkStart w:id="37" w:name="WB_4_2_WB1"/>
      <w:bookmarkEnd w:id="37"/>
      <w:r>
        <w:rPr>
          <w:rFonts w:ascii="宋体" w:hAnsi="宋体" w:hint="eastAsia"/>
          <w:szCs w:val="21"/>
        </w:rPr>
        <w:t>  投资人赎回基金份额时收取赎回费用，赎回费用由投资人承担，在基金份额持有人赎回基金份额时收取。对在同一开放期期内申购又赎回且持有少于7日的投资人收取1.50%的赎回费，并将上述赎回费全额计入基金财产；对在同一开放期期内申购又赎回且持有不少于7日的投资人收取0.10%的赎回费，并将赎回费总额的25%计入基金财产。其余用于支付登记费和其他必要的手续费。</w:t>
      </w:r>
    </w:p>
    <w:p w:rsidR="00333C13" w:rsidRDefault="00333C13">
      <w:pPr>
        <w:spacing w:line="360" w:lineRule="auto"/>
        <w:ind w:firstLineChars="200" w:firstLine="420"/>
        <w:jc w:val="left"/>
        <w:rPr>
          <w:rFonts w:ascii="宋体" w:hAnsi="宋体" w:hint="eastAsia"/>
          <w:szCs w:val="21"/>
        </w:rPr>
      </w:pPr>
      <w:bookmarkStart w:id="38" w:name="FFJ_4_2"/>
      <w:bookmarkStart w:id="39" w:name="BTBG_4_2_BG1"/>
      <w:bookmarkEnd w:id="38"/>
      <w:bookmarkEnd w:id="39"/>
      <w:r>
        <w:rPr>
          <w:rFonts w:ascii="宋体" w:hAnsi="宋体" w:hint="eastAsia"/>
          <w:szCs w:val="21"/>
        </w:rPr>
        <w:t>本基金赎回费率如下：</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1"/>
        <w:gridCol w:w="3859"/>
      </w:tblGrid>
      <w:tr w:rsidR="00333C13" w:rsidRPr="00716605" w:rsidTr="00716605">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pStyle w:val="a7"/>
              <w:ind w:firstLineChars="0" w:firstLine="0"/>
              <w:jc w:val="left"/>
              <w:rPr>
                <w:rFonts w:ascii="宋体" w:hAnsi="宋体" w:hint="eastAsia"/>
                <w:sz w:val="21"/>
                <w:szCs w:val="21"/>
              </w:rPr>
            </w:pPr>
            <w:r w:rsidRPr="00716605">
              <w:rPr>
                <w:rFonts w:ascii="宋体" w:hAnsi="宋体" w:hint="eastAsia"/>
                <w:sz w:val="21"/>
                <w:szCs w:val="21"/>
              </w:rPr>
              <w:t>持续持有期（N）</w:t>
            </w:r>
          </w:p>
        </w:tc>
        <w:tc>
          <w:tcPr>
            <w:tcW w:w="3859"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pStyle w:val="a7"/>
              <w:ind w:firstLineChars="0" w:firstLine="0"/>
              <w:jc w:val="left"/>
              <w:rPr>
                <w:rFonts w:ascii="宋体" w:hAnsi="宋体" w:hint="eastAsia"/>
                <w:sz w:val="21"/>
                <w:szCs w:val="21"/>
              </w:rPr>
            </w:pPr>
            <w:r w:rsidRPr="00716605">
              <w:rPr>
                <w:rFonts w:ascii="宋体" w:hAnsi="宋体" w:hint="eastAsia"/>
                <w:sz w:val="21"/>
                <w:szCs w:val="21"/>
              </w:rPr>
              <w:t>赎回费率</w:t>
            </w:r>
          </w:p>
        </w:tc>
      </w:tr>
      <w:tr w:rsidR="00333C13" w:rsidRPr="00716605" w:rsidTr="00716605">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pStyle w:val="a7"/>
              <w:ind w:firstLineChars="0" w:firstLine="0"/>
              <w:jc w:val="left"/>
              <w:rPr>
                <w:rFonts w:ascii="宋体" w:hAnsi="宋体" w:hint="eastAsia"/>
                <w:sz w:val="21"/>
                <w:szCs w:val="21"/>
              </w:rPr>
            </w:pPr>
            <w:r w:rsidRPr="00716605">
              <w:rPr>
                <w:rFonts w:ascii="宋体" w:hAnsi="宋体" w:hint="eastAsia"/>
                <w:sz w:val="21"/>
                <w:szCs w:val="21"/>
              </w:rPr>
              <w:t>在同一开放期期内申购又赎回且持有少于7日</w:t>
            </w:r>
          </w:p>
        </w:tc>
        <w:tc>
          <w:tcPr>
            <w:tcW w:w="3859"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pStyle w:val="a7"/>
              <w:ind w:firstLineChars="0" w:firstLine="0"/>
              <w:jc w:val="left"/>
              <w:rPr>
                <w:rFonts w:ascii="宋体" w:hAnsi="宋体" w:hint="eastAsia"/>
                <w:sz w:val="21"/>
                <w:szCs w:val="21"/>
              </w:rPr>
            </w:pPr>
            <w:r w:rsidRPr="00716605">
              <w:rPr>
                <w:rFonts w:ascii="宋体" w:hAnsi="宋体" w:hint="eastAsia"/>
                <w:sz w:val="21"/>
                <w:szCs w:val="21"/>
              </w:rPr>
              <w:t>1.50%</w:t>
            </w:r>
          </w:p>
        </w:tc>
      </w:tr>
      <w:tr w:rsidR="00333C13" w:rsidRPr="00716605" w:rsidTr="00716605">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pStyle w:val="a7"/>
              <w:ind w:firstLineChars="0" w:firstLine="0"/>
              <w:jc w:val="left"/>
              <w:rPr>
                <w:rFonts w:ascii="宋体" w:hAnsi="宋体" w:hint="eastAsia"/>
                <w:sz w:val="21"/>
                <w:szCs w:val="21"/>
              </w:rPr>
            </w:pPr>
            <w:r w:rsidRPr="00716605">
              <w:rPr>
                <w:rFonts w:ascii="宋体" w:hAnsi="宋体" w:hint="eastAsia"/>
                <w:sz w:val="21"/>
                <w:szCs w:val="21"/>
              </w:rPr>
              <w:t>在同一开放期期内申购又赎回且持有不少于7日</w:t>
            </w:r>
          </w:p>
        </w:tc>
        <w:tc>
          <w:tcPr>
            <w:tcW w:w="3859"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pStyle w:val="a7"/>
              <w:ind w:firstLineChars="0" w:firstLine="0"/>
              <w:jc w:val="left"/>
              <w:rPr>
                <w:rFonts w:ascii="宋体" w:hAnsi="宋体" w:hint="eastAsia"/>
                <w:sz w:val="21"/>
                <w:szCs w:val="21"/>
              </w:rPr>
            </w:pPr>
            <w:r w:rsidRPr="00716605">
              <w:rPr>
                <w:rFonts w:ascii="宋体" w:hAnsi="宋体" w:hint="eastAsia"/>
                <w:sz w:val="21"/>
                <w:szCs w:val="21"/>
              </w:rPr>
              <w:t>0.10%</w:t>
            </w:r>
          </w:p>
        </w:tc>
      </w:tr>
      <w:tr w:rsidR="00333C13" w:rsidRPr="00716605" w:rsidTr="00716605">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pStyle w:val="a7"/>
              <w:ind w:firstLineChars="0" w:firstLine="0"/>
              <w:jc w:val="left"/>
              <w:rPr>
                <w:rFonts w:ascii="宋体" w:hAnsi="宋体" w:hint="eastAsia"/>
                <w:sz w:val="21"/>
                <w:szCs w:val="21"/>
              </w:rPr>
            </w:pPr>
            <w:r w:rsidRPr="00716605">
              <w:rPr>
                <w:rFonts w:ascii="宋体" w:hAnsi="宋体" w:hint="eastAsia"/>
                <w:sz w:val="21"/>
                <w:szCs w:val="21"/>
              </w:rPr>
              <w:t>持有一个封闭期（含）以上</w:t>
            </w:r>
          </w:p>
        </w:tc>
        <w:tc>
          <w:tcPr>
            <w:tcW w:w="3859" w:type="dxa"/>
            <w:tcBorders>
              <w:top w:val="single" w:sz="4" w:space="0" w:color="auto"/>
              <w:left w:val="single" w:sz="4" w:space="0" w:color="auto"/>
              <w:bottom w:val="single" w:sz="4" w:space="0" w:color="auto"/>
              <w:right w:val="single" w:sz="4" w:space="0" w:color="auto"/>
            </w:tcBorders>
            <w:shd w:val="clear" w:color="auto" w:fill="auto"/>
            <w:hideMark/>
          </w:tcPr>
          <w:p w:rsidR="00333C13" w:rsidRPr="00716605" w:rsidRDefault="00333C13" w:rsidP="00716605">
            <w:pPr>
              <w:pStyle w:val="a7"/>
              <w:ind w:firstLineChars="0" w:firstLine="0"/>
              <w:jc w:val="left"/>
              <w:rPr>
                <w:rFonts w:ascii="宋体" w:hAnsi="宋体" w:hint="eastAsia"/>
                <w:sz w:val="21"/>
                <w:szCs w:val="21"/>
              </w:rPr>
            </w:pPr>
            <w:r w:rsidRPr="00716605">
              <w:rPr>
                <w:rFonts w:ascii="宋体" w:hAnsi="宋体" w:hint="eastAsia"/>
                <w:sz w:val="21"/>
                <w:szCs w:val="21"/>
              </w:rPr>
              <w:t>0.00%</w:t>
            </w:r>
          </w:p>
        </w:tc>
      </w:tr>
    </w:tbl>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20" w:lineRule="exact"/>
        <w:jc w:val="left"/>
        <w:rPr>
          <w:rFonts w:ascii="宋体" w:hAnsi="宋体" w:hint="eastAsia"/>
          <w:szCs w:val="21"/>
        </w:rPr>
      </w:pPr>
    </w:p>
    <w:p w:rsidR="00333C13" w:rsidRDefault="00333C13">
      <w:pPr>
        <w:spacing w:line="360" w:lineRule="auto"/>
        <w:jc w:val="left"/>
        <w:rPr>
          <w:rFonts w:ascii="宋体" w:hAnsi="宋体" w:hint="eastAsia"/>
          <w:szCs w:val="21"/>
        </w:rPr>
      </w:pPr>
      <w:bookmarkStart w:id="40" w:name="WB_4_2_WB2"/>
      <w:bookmarkEnd w:id="40"/>
      <w:r>
        <w:rPr>
          <w:rFonts w:ascii="宋体" w:hAnsi="宋体" w:hint="eastAsia"/>
          <w:szCs w:val="21"/>
        </w:rPr>
        <w:t>  基金管理人可以在基金合同约定的范围内调整费率或收费方式，并最迟应于新的费率或收费方式实施日前依照《信息披露办法》的有关规定在规定媒介上公告。</w:t>
      </w:r>
      <w:bookmarkStart w:id="41" w:name="ZJ_4_2_JS"/>
      <w:bookmarkEnd w:id="41"/>
    </w:p>
    <w:p w:rsidR="00333C13" w:rsidRDefault="00333C13">
      <w:pPr>
        <w:pStyle w:val="2"/>
        <w:rPr>
          <w:rFonts w:hint="eastAsia"/>
        </w:rPr>
      </w:pPr>
      <w:bookmarkStart w:id="42" w:name="ZJ_4_3_KS"/>
      <w:bookmarkEnd w:id="42"/>
      <w:r>
        <w:rPr>
          <w:rFonts w:hint="eastAsia"/>
        </w:rPr>
        <w:t>其他与赎回相关的事项</w:t>
      </w:r>
    </w:p>
    <w:p w:rsidR="00333C13" w:rsidRDefault="00333C13">
      <w:pPr>
        <w:spacing w:line="360" w:lineRule="auto"/>
        <w:jc w:val="left"/>
        <w:rPr>
          <w:rFonts w:ascii="宋体" w:hAnsi="宋体"/>
          <w:szCs w:val="21"/>
        </w:rPr>
      </w:pPr>
      <w:bookmarkStart w:id="43" w:name="WB_4_3_WB1"/>
      <w:bookmarkEnd w:id="43"/>
      <w:r>
        <w:rPr>
          <w:rFonts w:ascii="宋体" w:hAnsi="宋体" w:hint="eastAsia"/>
          <w:szCs w:val="21"/>
        </w:rPr>
        <w:t>  （1）最低保留余额的限制</w:t>
      </w:r>
      <w:r>
        <w:rPr>
          <w:rFonts w:ascii="宋体" w:hAnsi="宋体" w:hint="eastAsia"/>
          <w:szCs w:val="21"/>
        </w:rPr>
        <w:br/>
        <w:t>  每个工作日投资人在单个交易账户保留的本基金份额余额少于1份时，若当日该账户同时有基金份额减少类业务（如赎回、转换出等）被确认，则基金管理人有权将投资人在该账户保留的本基金份额一次性全部赎回或转出等。</w:t>
      </w:r>
      <w:r>
        <w:rPr>
          <w:rFonts w:ascii="宋体" w:hAnsi="宋体" w:hint="eastAsia"/>
          <w:szCs w:val="21"/>
        </w:rPr>
        <w:br/>
        <w:t>  （2）在开放期内，投资人在基金合同约定之外的日期和时间提出赎回业务申请且登记机构确认接受的，其基金份额赎回价格为该开放期下一开放日基金份额赎回价格；但若投资人在开放期最后一日业务办理时间结束之后提出赎回业务申请的，视为无效申请。</w:t>
      </w:r>
      <w:r>
        <w:rPr>
          <w:rFonts w:ascii="宋体" w:hAnsi="宋体" w:hint="eastAsia"/>
          <w:szCs w:val="21"/>
        </w:rPr>
        <w:br/>
        <w:t>  （3）基金管理人可根据市场情况，在法律法规允许的情况下，调整赎回的份额以及最低基金份额保留余额的数量限制，基金管理人必须在调整实施前依照《信息披露办法》的有关规定在规定媒介上刊登公告。</w:t>
      </w:r>
      <w:r>
        <w:rPr>
          <w:rFonts w:ascii="宋体" w:hAnsi="宋体" w:hint="eastAsia"/>
          <w:szCs w:val="21"/>
        </w:rPr>
        <w:br/>
        <w:t>  （4）基金管理人在不违反法律法规的前提下，可以决定基金份额持有人持有本基金的最高限额和本基金的总规模限额，但最迟应在新的限额实施前依照《信息披露办法》的有关规定在规定媒介上公告。</w:t>
      </w:r>
      <w:r>
        <w:rPr>
          <w:rFonts w:ascii="宋体" w:hAnsi="宋体" w:hint="eastAsia"/>
          <w:szCs w:val="21"/>
        </w:rPr>
        <w:br/>
        <w:t>  （5）基金管理人可以在不违背法律法规规定及基金合同约定的情况下根据市场情况制定基金促销计划，针对投资人定期和不定期地开展基金促销活动。在基金促销活动期间，在不违反法律法规且对存量基金份额持有人利益无实质性不利影响的前提下，基金管理人可以按中国证监会要求履行必要手续后，对投资人适当调低基金赎回费率。</w:t>
      </w:r>
      <w:r>
        <w:rPr>
          <w:rFonts w:ascii="宋体" w:hAnsi="宋体" w:hint="eastAsia"/>
          <w:szCs w:val="21"/>
        </w:rPr>
        <w:br/>
        <w:t>  （6）当发生大额赎回情形时，基金管理人可以采用摆动定价机制，以确保基金估值的公平性。具体处理原则与操作规范遵循相关法律法规以及监管部门、自律规则的规定。</w:t>
      </w:r>
      <w:r>
        <w:rPr>
          <w:rFonts w:ascii="宋体" w:hAnsi="宋体" w:hint="eastAsia"/>
          <w:szCs w:val="21"/>
        </w:rPr>
        <w:br/>
        <w:t>  （7）基金管理人可基于保护基金份额持有人利益的原则，履行法定程序后启用侧袋机制。届时本基金赎回安排将按照相关法律法规和监管部门的规定执行。</w:t>
      </w:r>
      <w:bookmarkStart w:id="44" w:name="ZJ_4_3_JS"/>
      <w:bookmarkStart w:id="45" w:name="ZJ_4_JS"/>
      <w:bookmarkEnd w:id="44"/>
      <w:bookmarkEnd w:id="45"/>
    </w:p>
    <w:p w:rsidR="00333C13" w:rsidRDefault="00333C13">
      <w:pPr>
        <w:pStyle w:val="10"/>
        <w:rPr>
          <w:rFonts w:hint="eastAsia"/>
        </w:rPr>
      </w:pPr>
      <w:bookmarkStart w:id="46" w:name="ZJ_5_KS"/>
      <w:bookmarkEnd w:id="46"/>
      <w:r>
        <w:rPr>
          <w:rFonts w:hint="eastAsia"/>
        </w:rPr>
        <w:t>日常转换业务</w:t>
      </w:r>
    </w:p>
    <w:p w:rsidR="00333C13" w:rsidRDefault="00333C13">
      <w:pPr>
        <w:pStyle w:val="2"/>
      </w:pPr>
      <w:bookmarkStart w:id="47" w:name="ZJ_5_1_KS"/>
      <w:bookmarkEnd w:id="47"/>
      <w:r>
        <w:rPr>
          <w:rFonts w:hint="eastAsia"/>
        </w:rPr>
        <w:t>转换费率</w:t>
      </w:r>
    </w:p>
    <w:p w:rsidR="00333C13" w:rsidRDefault="00333C13">
      <w:pPr>
        <w:spacing w:line="360" w:lineRule="auto"/>
        <w:jc w:val="left"/>
        <w:rPr>
          <w:rFonts w:ascii="宋体" w:hAnsi="宋体"/>
          <w:szCs w:val="21"/>
        </w:rPr>
      </w:pPr>
      <w:bookmarkStart w:id="48" w:name="WB_5_1_WB1"/>
      <w:bookmarkEnd w:id="48"/>
      <w:r>
        <w:rPr>
          <w:rFonts w:ascii="宋体" w:hAnsi="宋体" w:hint="eastAsia"/>
          <w:szCs w:val="21"/>
        </w:rPr>
        <w:t>  基金转换费用由转出与转入基金申购费补差和转出基金的赎回费两部分构成，具体收取情况视每次转换时两只基金的申购费率差异情况和转出基金的赎回费率而定。基金转换费用由基金份额持有人承担。</w:t>
      </w:r>
      <w:r>
        <w:rPr>
          <w:rFonts w:ascii="宋体" w:hAnsi="宋体" w:hint="eastAsia"/>
          <w:szCs w:val="21"/>
        </w:rPr>
        <w:br/>
        <w:t>  （1）基金转换费用的具体计算公式如下：</w:t>
      </w:r>
      <w:r>
        <w:rPr>
          <w:rFonts w:ascii="宋体" w:hAnsi="宋体" w:hint="eastAsia"/>
          <w:szCs w:val="21"/>
        </w:rPr>
        <w:br/>
        <w:t>  1）转换费用＝转出基金赎回费＋基金转换申购补差费</w:t>
      </w:r>
      <w:r>
        <w:rPr>
          <w:rFonts w:ascii="宋体" w:hAnsi="宋体" w:hint="eastAsia"/>
          <w:szCs w:val="21"/>
        </w:rPr>
        <w:br/>
        <w:t>  2）转出基金赎回费</w:t>
      </w:r>
      <w:r>
        <w:rPr>
          <w:rFonts w:ascii="宋体" w:hAnsi="宋体" w:hint="eastAsia"/>
          <w:szCs w:val="21"/>
        </w:rPr>
        <w:br/>
        <w:t>  转出基金赎回费＝转出金额×转出基金赎回费率</w:t>
      </w:r>
      <w:r>
        <w:rPr>
          <w:rFonts w:ascii="宋体" w:hAnsi="宋体" w:hint="eastAsia"/>
          <w:szCs w:val="21"/>
        </w:rPr>
        <w:br/>
        <w:t>  转出金额＝转出基金份额×转出基金当日基金份额净值</w:t>
      </w:r>
      <w:r>
        <w:rPr>
          <w:rFonts w:ascii="宋体" w:hAnsi="宋体" w:hint="eastAsia"/>
          <w:szCs w:val="21"/>
        </w:rPr>
        <w:br/>
        <w:t>  3）基金转换申购补差费</w:t>
      </w:r>
      <w:r>
        <w:rPr>
          <w:rFonts w:ascii="宋体" w:hAnsi="宋体" w:hint="eastAsia"/>
          <w:szCs w:val="21"/>
        </w:rPr>
        <w:br/>
        <w:t>  ①当转出基金的申购费率＜转入基金的申购费率时，补差费＝转出净金额×转入基金的申购费率／（1＋转入基金的申购费率）－转出净金额×转出基金的申购费率／（1＋转出基金的申购费率）</w:t>
      </w:r>
      <w:r>
        <w:rPr>
          <w:rFonts w:ascii="宋体" w:hAnsi="宋体" w:hint="eastAsia"/>
          <w:szCs w:val="21"/>
        </w:rPr>
        <w:br/>
        <w:t>  ②当转出基金的申购费率≥转入基金的申购费率时，则补差费为0。</w:t>
      </w:r>
      <w:r>
        <w:rPr>
          <w:rFonts w:ascii="宋体" w:hAnsi="宋体" w:hint="eastAsia"/>
          <w:szCs w:val="21"/>
        </w:rPr>
        <w:br/>
        <w:t>  转出净金额＝转出金额－转出基金赎回费</w:t>
      </w:r>
      <w:r>
        <w:rPr>
          <w:rFonts w:ascii="宋体" w:hAnsi="宋体" w:hint="eastAsia"/>
          <w:szCs w:val="21"/>
        </w:rPr>
        <w:br/>
        <w:t>  养老金客户通过直销柜台办理转换业务的，补差费计算过程中转入基金和转出基金的申购费率（含固定申购费）享受零折优惠。</w:t>
      </w:r>
      <w:r>
        <w:rPr>
          <w:rFonts w:ascii="宋体" w:hAnsi="宋体" w:hint="eastAsia"/>
          <w:szCs w:val="21"/>
        </w:rPr>
        <w:br/>
        <w:t>  （2）转入净金额与转入份额的具体计算公式如下：</w:t>
      </w:r>
      <w:r>
        <w:rPr>
          <w:rFonts w:ascii="宋体" w:hAnsi="宋体" w:hint="eastAsia"/>
          <w:szCs w:val="21"/>
        </w:rPr>
        <w:br/>
        <w:t>  1）转入净金额＝转出金额-转换费用</w:t>
      </w:r>
      <w:r>
        <w:rPr>
          <w:rFonts w:ascii="宋体" w:hAnsi="宋体" w:hint="eastAsia"/>
          <w:szCs w:val="21"/>
        </w:rPr>
        <w:br/>
        <w:t>  2）转入份额＝转入净金额／转入基金当日基金份额净值</w:t>
      </w:r>
      <w:r>
        <w:rPr>
          <w:rFonts w:ascii="宋体" w:hAnsi="宋体" w:hint="eastAsia"/>
          <w:szCs w:val="21"/>
        </w:rPr>
        <w:br/>
        <w:t>  （3）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转换费率。</w:t>
      </w:r>
      <w:bookmarkStart w:id="49" w:name="ZJ_5_1_JS"/>
      <w:bookmarkEnd w:id="49"/>
    </w:p>
    <w:p w:rsidR="00333C13" w:rsidRDefault="00333C13">
      <w:pPr>
        <w:pStyle w:val="2"/>
        <w:rPr>
          <w:rFonts w:hint="eastAsia"/>
        </w:rPr>
      </w:pPr>
      <w:bookmarkStart w:id="50" w:name="ZJ_5_2_KS"/>
      <w:bookmarkEnd w:id="50"/>
      <w:r>
        <w:rPr>
          <w:rFonts w:hint="eastAsia"/>
        </w:rPr>
        <w:t>其他与转换相关的事项</w:t>
      </w:r>
    </w:p>
    <w:p w:rsidR="00333C13" w:rsidRDefault="00333C13">
      <w:pPr>
        <w:spacing w:line="360" w:lineRule="auto"/>
        <w:jc w:val="left"/>
        <w:rPr>
          <w:rFonts w:ascii="宋体" w:hAnsi="宋体"/>
          <w:szCs w:val="21"/>
        </w:rPr>
      </w:pPr>
      <w:bookmarkStart w:id="51" w:name="WB_5_2_WB1"/>
      <w:bookmarkEnd w:id="51"/>
      <w:r>
        <w:rPr>
          <w:rFonts w:ascii="宋体" w:hAnsi="宋体" w:hint="eastAsia"/>
          <w:szCs w:val="21"/>
        </w:rPr>
        <w:t>  1）转换业务规则</w:t>
      </w:r>
      <w:r>
        <w:rPr>
          <w:rFonts w:ascii="宋体" w:hAnsi="宋体" w:hint="eastAsia"/>
          <w:szCs w:val="21"/>
        </w:rPr>
        <w:br/>
        <w:t>  基金转换只能在同一销售机构办理，且该销售机构同时办理转出基金及转入基金的销售。</w:t>
      </w:r>
      <w:r>
        <w:rPr>
          <w:rFonts w:ascii="宋体" w:hAnsi="宋体" w:hint="eastAsia"/>
          <w:szCs w:val="21"/>
        </w:rPr>
        <w:br/>
        <w:t>  基金转换，以转换申请当日基金份额净值为基础计算。投资者采用“份额转换”的原则提交申请，基金转换遵循“先进先出”的原则。</w:t>
      </w:r>
      <w:r>
        <w:rPr>
          <w:rFonts w:ascii="宋体" w:hAnsi="宋体" w:hint="eastAsia"/>
          <w:szCs w:val="21"/>
        </w:rPr>
        <w:br/>
        <w:t>  投资者办理基金转换业务时，转出的基金必须处于可赎回状态，转入的基金必须处于可申购状态，已经冻结的基金份额不得申请基金转换。</w:t>
      </w:r>
      <w:r>
        <w:rPr>
          <w:rFonts w:ascii="宋体" w:hAnsi="宋体" w:hint="eastAsia"/>
          <w:szCs w:val="21"/>
        </w:rPr>
        <w:br/>
        <w:t>  2）办理时间</w:t>
      </w:r>
      <w:r>
        <w:rPr>
          <w:rFonts w:ascii="宋体" w:hAnsi="宋体" w:hint="eastAsia"/>
          <w:szCs w:val="21"/>
        </w:rPr>
        <w:br/>
        <w:t>  本基金开放期内，转换业务的申请受理时间与本公司管理的基金日常申购业务受理时间相同。具体办理规则请遵循销售机构的相关规定。本基金封闭期内不办理转换业务。</w:t>
      </w:r>
      <w:r>
        <w:rPr>
          <w:rFonts w:ascii="宋体" w:hAnsi="宋体" w:hint="eastAsia"/>
          <w:szCs w:val="21"/>
        </w:rPr>
        <w:br/>
        <w:t>  在开放期内，投资人在基金合同约定之外的日期和时间提出转换业务申请且登记机构确认接受的，其基金份额转换价格为该开放期下一开放日基金份额转换价格；但若投资人在开放期最后一日业务办理时间结束之后提出转换业务申请的，视为无效申请。</w:t>
      </w:r>
      <w:r>
        <w:rPr>
          <w:rFonts w:ascii="宋体" w:hAnsi="宋体" w:hint="eastAsia"/>
          <w:szCs w:val="21"/>
        </w:rPr>
        <w:br/>
        <w:t>  3）转换限额</w:t>
      </w:r>
      <w:r>
        <w:rPr>
          <w:rFonts w:ascii="宋体" w:hAnsi="宋体" w:hint="eastAsia"/>
          <w:szCs w:val="21"/>
        </w:rPr>
        <w:br/>
        <w:t>  投资者在办理转换业务时，单笔转出基金份额不得低于1份。其他销售机构有不同规定的，投资者在其他销售机构办理相关业务时，需遵循该销售机构的相关规定。</w:t>
      </w:r>
      <w:r>
        <w:rPr>
          <w:rFonts w:ascii="宋体" w:hAnsi="宋体" w:hint="eastAsia"/>
          <w:szCs w:val="21"/>
        </w:rPr>
        <w:br/>
        <w:t>  4）交易确认</w:t>
      </w:r>
      <w:r>
        <w:rPr>
          <w:rFonts w:ascii="宋体" w:hAnsi="宋体" w:hint="eastAsia"/>
          <w:szCs w:val="21"/>
        </w:rPr>
        <w:br/>
        <w:t>  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自基金转入确认日起第2个工作日。</w:t>
      </w:r>
      <w:bookmarkStart w:id="52" w:name="ZJ_5_2_JS"/>
      <w:bookmarkStart w:id="53" w:name="ZJ_5_JS"/>
      <w:bookmarkEnd w:id="52"/>
      <w:bookmarkEnd w:id="53"/>
    </w:p>
    <w:p w:rsidR="00333C13" w:rsidRDefault="00333C13">
      <w:pPr>
        <w:pStyle w:val="10"/>
        <w:rPr>
          <w:rFonts w:hint="eastAsia"/>
        </w:rPr>
      </w:pPr>
      <w:bookmarkStart w:id="54" w:name="ZJ_7_KS"/>
      <w:bookmarkEnd w:id="54"/>
      <w:r>
        <w:rPr>
          <w:rFonts w:hint="eastAsia"/>
        </w:rPr>
        <w:t>基金销售机构</w:t>
      </w:r>
    </w:p>
    <w:p w:rsidR="00333C13" w:rsidRDefault="00333C13">
      <w:pPr>
        <w:pStyle w:val="2"/>
      </w:pPr>
      <w:bookmarkStart w:id="55" w:name="ZJ_7_1_KS"/>
      <w:bookmarkEnd w:id="55"/>
      <w:r>
        <w:rPr>
          <w:rFonts w:hint="eastAsia"/>
        </w:rPr>
        <w:t>场外销售机构</w:t>
      </w:r>
    </w:p>
    <w:p w:rsidR="00333C13" w:rsidRDefault="00333C13">
      <w:pPr>
        <w:pStyle w:val="3"/>
      </w:pPr>
      <w:bookmarkStart w:id="56" w:name="ZJ_7_1_1_KS"/>
      <w:bookmarkEnd w:id="56"/>
      <w:r>
        <w:rPr>
          <w:rFonts w:hint="eastAsia"/>
        </w:rPr>
        <w:t>直销机构</w:t>
      </w:r>
    </w:p>
    <w:p w:rsidR="00333C13" w:rsidRDefault="00333C13">
      <w:pPr>
        <w:spacing w:line="360" w:lineRule="auto"/>
        <w:jc w:val="left"/>
        <w:rPr>
          <w:rFonts w:ascii="宋体" w:hAnsi="宋体"/>
          <w:szCs w:val="21"/>
        </w:rPr>
      </w:pPr>
      <w:bookmarkStart w:id="57" w:name="WB_7_1_1_WB1"/>
      <w:bookmarkEnd w:id="57"/>
      <w:r>
        <w:rPr>
          <w:rFonts w:ascii="宋体" w:hAnsi="宋体" w:hint="eastAsia"/>
          <w:szCs w:val="21"/>
        </w:rPr>
        <w:t>  本基金直销机构为基金管理人，具体包括基金管理人直销柜台和微信交易平台。</w:t>
      </w:r>
      <w:r>
        <w:rPr>
          <w:rFonts w:ascii="宋体" w:hAnsi="宋体" w:hint="eastAsia"/>
          <w:szCs w:val="21"/>
        </w:rPr>
        <w:br/>
        <w:t>  名称：华泰保兴基金管理有限公司</w:t>
      </w:r>
      <w:r>
        <w:rPr>
          <w:rFonts w:ascii="宋体" w:hAnsi="宋体" w:hint="eastAsia"/>
          <w:szCs w:val="21"/>
        </w:rPr>
        <w:br/>
        <w:t>  住所：中国（上海）自由贸易试验区世纪大道88号3810室</w:t>
      </w:r>
      <w:r>
        <w:rPr>
          <w:rFonts w:ascii="宋体" w:hAnsi="宋体" w:hint="eastAsia"/>
          <w:szCs w:val="21"/>
        </w:rPr>
        <w:br/>
        <w:t>  办公地址：上海市浦东新区博成路1101号华泰金融大厦9层</w:t>
      </w:r>
      <w:r>
        <w:rPr>
          <w:rFonts w:ascii="宋体" w:hAnsi="宋体" w:hint="eastAsia"/>
          <w:szCs w:val="21"/>
        </w:rPr>
        <w:br/>
        <w:t>  邮政编码：200126</w:t>
      </w:r>
      <w:r>
        <w:rPr>
          <w:rFonts w:ascii="宋体" w:hAnsi="宋体" w:hint="eastAsia"/>
          <w:szCs w:val="21"/>
        </w:rPr>
        <w:br/>
        <w:t>  法定代表人：杨平</w:t>
      </w:r>
      <w:r>
        <w:rPr>
          <w:rFonts w:ascii="宋体" w:hAnsi="宋体" w:hint="eastAsia"/>
          <w:szCs w:val="21"/>
        </w:rPr>
        <w:br/>
        <w:t>  成立时间：2016年7月26日</w:t>
      </w:r>
      <w:r>
        <w:rPr>
          <w:rFonts w:ascii="宋体" w:hAnsi="宋体" w:hint="eastAsia"/>
          <w:szCs w:val="21"/>
        </w:rPr>
        <w:br/>
        <w:t>  联系人：王珊珊</w:t>
      </w:r>
      <w:r>
        <w:rPr>
          <w:rFonts w:ascii="宋体" w:hAnsi="宋体" w:hint="eastAsia"/>
          <w:szCs w:val="21"/>
        </w:rPr>
        <w:br/>
        <w:t>  电话：（021）80299058</w:t>
      </w:r>
      <w:r>
        <w:rPr>
          <w:rFonts w:ascii="宋体" w:hAnsi="宋体" w:hint="eastAsia"/>
          <w:szCs w:val="21"/>
        </w:rPr>
        <w:br/>
        <w:t>  传真：（021）60756969/（021）60756966</w:t>
      </w:r>
      <w:r>
        <w:rPr>
          <w:rFonts w:ascii="宋体" w:hAnsi="宋体" w:hint="eastAsia"/>
          <w:szCs w:val="21"/>
        </w:rPr>
        <w:br/>
        <w:t>  客户服务电话：400-632-9090（免长途话费），（021）80210198</w:t>
      </w:r>
      <w:r>
        <w:rPr>
          <w:rFonts w:ascii="宋体" w:hAnsi="宋体" w:hint="eastAsia"/>
          <w:szCs w:val="21"/>
        </w:rPr>
        <w:br/>
        <w:t>  网址：www.ehuataifund.com</w:t>
      </w:r>
      <w:r>
        <w:rPr>
          <w:rFonts w:ascii="宋体" w:hAnsi="宋体" w:hint="eastAsia"/>
          <w:szCs w:val="21"/>
        </w:rPr>
        <w:br/>
        <w:t>  微信交易平台（微信公众号）：htbxjj99</w:t>
      </w:r>
      <w:bookmarkStart w:id="58" w:name="ZJ_7_1_1_JS"/>
      <w:bookmarkEnd w:id="58"/>
    </w:p>
    <w:p w:rsidR="00333C13" w:rsidRDefault="00333C13">
      <w:pPr>
        <w:pStyle w:val="3"/>
        <w:rPr>
          <w:rFonts w:hint="eastAsia"/>
          <w:lang w:eastAsia="zh-CN"/>
        </w:rPr>
      </w:pPr>
      <w:bookmarkStart w:id="59" w:name="ZJ_7_1_2_KS"/>
      <w:bookmarkEnd w:id="59"/>
      <w:r>
        <w:rPr>
          <w:rFonts w:hint="eastAsia"/>
        </w:rPr>
        <w:t>非直销机构</w:t>
      </w:r>
    </w:p>
    <w:p w:rsidR="00333C13" w:rsidRDefault="00333C13">
      <w:pPr>
        <w:spacing w:line="360" w:lineRule="auto"/>
        <w:jc w:val="left"/>
        <w:rPr>
          <w:rFonts w:ascii="宋体"/>
          <w:szCs w:val="21"/>
        </w:rPr>
      </w:pPr>
      <w:bookmarkStart w:id="60" w:name="WB_7_1_2_WB1"/>
      <w:bookmarkEnd w:id="60"/>
      <w:r>
        <w:rPr>
          <w:rFonts w:ascii="宋体" w:hAnsi="宋体" w:hint="eastAsia"/>
          <w:szCs w:val="21"/>
        </w:rPr>
        <w:t>  基金管理人可根据有关法律法规的要求，选择符合要求的机构销售本基金，并及时公告。</w:t>
      </w:r>
      <w:r>
        <w:rPr>
          <w:rFonts w:ascii="宋体" w:hAnsi="宋体" w:hint="eastAsia"/>
          <w:szCs w:val="21"/>
        </w:rPr>
        <w:br/>
        <w:t>  场外代销机构名录及已开通的业务类型详见本基金管理人网站。各场外代销机构支持转换转出的基金产品、基金份额类别及其具体业务规则可能有所差异，具体请咨询各销售机构。</w:t>
      </w:r>
      <w:bookmarkStart w:id="61" w:name="ZJ_7_1_2_JS"/>
      <w:bookmarkStart w:id="62" w:name="ZJ_7_1_JS"/>
      <w:bookmarkEnd w:id="61"/>
      <w:bookmarkEnd w:id="62"/>
    </w:p>
    <w:p w:rsidR="00333C13" w:rsidRDefault="00333C13">
      <w:pPr>
        <w:pStyle w:val="2"/>
        <w:rPr>
          <w:rFonts w:hint="eastAsia"/>
        </w:rPr>
      </w:pPr>
      <w:bookmarkStart w:id="63" w:name="ZJ_7_2_KS"/>
      <w:bookmarkEnd w:id="63"/>
      <w:r>
        <w:rPr>
          <w:rFonts w:hint="eastAsia"/>
        </w:rPr>
        <w:t>场内销售机构</w:t>
      </w:r>
    </w:p>
    <w:p w:rsidR="00333C13" w:rsidRDefault="00333C13">
      <w:pPr>
        <w:spacing w:line="360" w:lineRule="auto"/>
        <w:jc w:val="left"/>
        <w:rPr>
          <w:rFonts w:ascii="宋体" w:hAnsi="宋体"/>
          <w:szCs w:val="21"/>
        </w:rPr>
      </w:pPr>
      <w:bookmarkStart w:id="64" w:name="WB_7_2_WB1"/>
      <w:bookmarkEnd w:id="64"/>
      <w:r>
        <w:rPr>
          <w:rFonts w:ascii="宋体" w:hAnsi="宋体" w:hint="eastAsia"/>
          <w:szCs w:val="21"/>
        </w:rPr>
        <w:t>  无。</w:t>
      </w:r>
      <w:bookmarkStart w:id="65" w:name="ZJ_7_2_JS"/>
      <w:bookmarkStart w:id="66" w:name="ZJ_7_JS"/>
      <w:bookmarkEnd w:id="65"/>
      <w:bookmarkEnd w:id="66"/>
    </w:p>
    <w:p w:rsidR="00333C13" w:rsidRDefault="00333C13">
      <w:pPr>
        <w:pStyle w:val="10"/>
        <w:rPr>
          <w:rFonts w:hint="eastAsia"/>
        </w:rPr>
      </w:pPr>
      <w:bookmarkStart w:id="67" w:name="ZJ_8_KS"/>
      <w:bookmarkEnd w:id="67"/>
      <w:r>
        <w:rPr>
          <w:rFonts w:hint="eastAsia"/>
        </w:rPr>
        <w:t>基金份额净值公告</w:t>
      </w:r>
      <w:r>
        <w:t>/</w:t>
      </w:r>
      <w:r>
        <w:rPr>
          <w:rFonts w:hint="eastAsia"/>
        </w:rPr>
        <w:t>基金收益公告的披露安排</w:t>
      </w:r>
    </w:p>
    <w:p w:rsidR="00333C13" w:rsidRDefault="00333C13">
      <w:pPr>
        <w:spacing w:line="360" w:lineRule="auto"/>
        <w:jc w:val="left"/>
        <w:rPr>
          <w:rFonts w:ascii="宋体" w:hAnsi="宋体"/>
          <w:szCs w:val="21"/>
        </w:rPr>
      </w:pPr>
      <w:bookmarkStart w:id="68" w:name="WB_8_WB1"/>
      <w:bookmarkEnd w:id="68"/>
      <w:r>
        <w:rPr>
          <w:rFonts w:ascii="宋体" w:hAnsi="宋体" w:hint="eastAsia"/>
          <w:szCs w:val="21"/>
        </w:rPr>
        <w:t>  《基金合同》生效后，在每个封闭期内，基金管理人应当至少每周在规定网站披露一次基金份额净值和基金份额累计净值。</w:t>
      </w:r>
      <w:r>
        <w:rPr>
          <w:rFonts w:ascii="宋体" w:hAnsi="宋体" w:hint="eastAsia"/>
          <w:szCs w:val="21"/>
        </w:rPr>
        <w:br/>
        <w:t>  在开放期内，基金管理人应当在不晚于每个开放日的次日，通过规定网站、基金销售机构网站或者营业网点披露开放日的基金份额净值和基金份额累计净值。</w:t>
      </w:r>
      <w:r>
        <w:rPr>
          <w:rFonts w:ascii="宋体" w:hAnsi="宋体" w:hint="eastAsia"/>
          <w:szCs w:val="21"/>
        </w:rPr>
        <w:br/>
        <w:t>  基金管理人应当在不晚于半年度和年度最后一日的次日，在规定网站披露半年度和年度最后一日的基金份额净值和基金份额累计净值。</w:t>
      </w:r>
      <w:bookmarkStart w:id="69" w:name="ZJ_8_JS"/>
      <w:bookmarkEnd w:id="69"/>
    </w:p>
    <w:p w:rsidR="00333C13" w:rsidRDefault="00333C13">
      <w:pPr>
        <w:pStyle w:val="10"/>
        <w:rPr>
          <w:rFonts w:hint="eastAsia"/>
        </w:rPr>
      </w:pPr>
      <w:bookmarkStart w:id="70" w:name="ZJ_9_KS"/>
      <w:bookmarkEnd w:id="70"/>
      <w:r>
        <w:rPr>
          <w:rFonts w:hint="eastAsia"/>
        </w:rPr>
        <w:t>其他需要提示的事项</w:t>
      </w:r>
    </w:p>
    <w:p w:rsidR="00333C13" w:rsidRDefault="00333C13">
      <w:pPr>
        <w:spacing w:line="360" w:lineRule="auto"/>
        <w:jc w:val="left"/>
        <w:rPr>
          <w:rFonts w:ascii="宋体" w:hAnsi="宋体"/>
          <w:szCs w:val="21"/>
        </w:rPr>
      </w:pPr>
      <w:bookmarkStart w:id="71" w:name="WB_9_WB1"/>
      <w:bookmarkEnd w:id="71"/>
      <w:r>
        <w:rPr>
          <w:rFonts w:ascii="宋体" w:hAnsi="宋体" w:hint="eastAsia"/>
          <w:szCs w:val="21"/>
        </w:rPr>
        <w:t>  （1）本基金不向个人投资者销售。</w:t>
      </w:r>
      <w:r>
        <w:rPr>
          <w:rFonts w:ascii="宋体" w:hAnsi="宋体" w:hint="eastAsia"/>
          <w:szCs w:val="21"/>
        </w:rPr>
        <w:br/>
        <w:t>  （2）本公告仅对本基金开放申购、赎回和转换业务的有关事项予以说明。投资人欲了解本基金的详细情况，敬请详细阅读本基金管理人网站上的《华泰保兴尊享三个月定期开放债券型发起式证券投资基金招募说明书》及其更新文件，投资人还可通过本基金管理人的客户服务电话（400-632-9090，免长途话费）、网站（www.ehuataifund.com）或相关销售机构查阅本基金相关法律文件或资料。</w:t>
      </w:r>
      <w:r>
        <w:rPr>
          <w:rFonts w:ascii="宋体" w:hAnsi="宋体" w:hint="eastAsia"/>
          <w:szCs w:val="21"/>
        </w:rPr>
        <w:br/>
        <w:t>  （3）有关本基金开放申购、赎回和转换业务的具体规定若有变化，本基金管理人届时将另行公告。</w:t>
      </w:r>
      <w:r>
        <w:rPr>
          <w:rFonts w:ascii="宋体" w:hAnsi="宋体" w:hint="eastAsia"/>
          <w:szCs w:val="21"/>
        </w:rPr>
        <w:br/>
        <w:t>  （4）风险提示：本基金管理人承诺以诚实信用、勤勉尽责的原则管理和运用基金财产，但不保证基金一定盈利，也不保证最低收益。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和《基金产品资料概要》（更新）等基金法律文件，关注基金的投资风险，并选择适合自身风险承受能力的投资品种进行投资。</w:t>
      </w:r>
      <w:r>
        <w:rPr>
          <w:rFonts w:ascii="宋体" w:hAnsi="宋体" w:hint="eastAsia"/>
          <w:szCs w:val="21"/>
        </w:rPr>
        <w:br/>
      </w:r>
      <w:r>
        <w:rPr>
          <w:rFonts w:ascii="宋体" w:hAnsi="宋体" w:hint="eastAsia"/>
          <w:szCs w:val="21"/>
        </w:rPr>
        <w:br/>
      </w:r>
      <w:r>
        <w:rPr>
          <w:rFonts w:ascii="宋体" w:hAnsi="宋体" w:hint="eastAsia"/>
          <w:szCs w:val="21"/>
        </w:rPr>
        <w:br/>
        <w:t>                           华泰保兴基金管理有限公司</w:t>
      </w:r>
      <w:r>
        <w:rPr>
          <w:rFonts w:ascii="宋体" w:hAnsi="宋体" w:hint="eastAsia"/>
          <w:szCs w:val="21"/>
        </w:rPr>
        <w:br/>
        <w:t>                              2026年01月12日</w:t>
      </w:r>
      <w:bookmarkStart w:id="72" w:name="ZJ_9_JS"/>
      <w:bookmarkEnd w:id="72"/>
    </w:p>
    <w:sectPr w:rsidR="00333C1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C13" w:rsidRDefault="00333C13">
      <w:r>
        <w:separator/>
      </w:r>
    </w:p>
  </w:endnote>
  <w:endnote w:type="continuationSeparator" w:id="0">
    <w:p w:rsidR="00333C13" w:rsidRDefault="00333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13" w:rsidRPr="00716605" w:rsidRDefault="00333C13">
    <w:pPr>
      <w:pStyle w:val="a5"/>
      <w:jc w:val="center"/>
      <w:rPr>
        <w:rFonts w:hint="eastAsia"/>
      </w:rPr>
    </w:pPr>
    <w:fldSimple w:instr="PAGE   \* MERGEFORMAT">
      <w:r w:rsidR="00E36EF9" w:rsidRPr="00E36EF9">
        <w:rPr>
          <w:noProof/>
          <w:lang w:val="zh-CN"/>
        </w:rPr>
        <w:t>1</w:t>
      </w:r>
    </w:fldSimple>
  </w:p>
  <w:p w:rsidR="00333C13" w:rsidRDefault="00333C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C13" w:rsidRDefault="00333C13">
      <w:r>
        <w:separator/>
      </w:r>
    </w:p>
  </w:footnote>
  <w:footnote w:type="continuationSeparator" w:id="0">
    <w:p w:rsidR="00333C13" w:rsidRDefault="00333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13" w:rsidRDefault="00333C13">
    <w:pPr>
      <w:pStyle w:val="a4"/>
      <w:pBdr>
        <w:bottom w:val="single" w:sz="6" w:space="0" w:color="auto"/>
      </w:pBdr>
      <w:spacing w:line="240" w:lineRule="atLeast"/>
      <w:rPr>
        <w:rFonts w:ascii="宋体" w:hAnsi="宋体"/>
      </w:rPr>
    </w:pPr>
    <w:r>
      <w:rPr>
        <w:rFonts w:ascii="宋体" w:hAnsi="宋体" w:hint="eastAsia"/>
      </w:rPr>
      <w:t>华泰保兴尊享三个月定期开放债券型发起式证券投资基金开放日常申购、赎回、转换业务的公告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4033C"/>
    <w:multiLevelType w:val="multilevel"/>
    <w:tmpl w:val="E9A275B8"/>
    <w:lvl w:ilvl="0">
      <w:start w:val="1"/>
      <w:numFmt w:val="chineseCountingThousand"/>
      <w:pStyle w:val="CharCharCharCharCharCharCharCharChar"/>
      <w:suff w:val="space"/>
      <w:lvlText w:val="%1、"/>
      <w:lvlJc w:val="left"/>
      <w:pPr>
        <w:ind w:left="0" w:firstLine="0"/>
      </w:pPr>
    </w:lvl>
    <w:lvl w:ilvl="1">
      <w:start w:val="1"/>
      <w:numFmt w:val="chineseCountingThousand"/>
      <w:suff w:val="nothing"/>
      <w:lvlText w:val="%2、"/>
      <w:lvlJc w:val="left"/>
      <w:pPr>
        <w:ind w:left="0" w:firstLine="0"/>
      </w:pPr>
    </w:lvl>
    <w:lvl w:ilvl="2">
      <w:start w:val="1"/>
      <w:numFmt w:val="decimal"/>
      <w:suff w:val="space"/>
      <w:lvlText w:val="%3."/>
      <w:lvlJc w:val="left"/>
      <w:pPr>
        <w:ind w:left="0"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1">
    <w:nsid w:val="3EF343A9"/>
    <w:multiLevelType w:val="multilevel"/>
    <w:tmpl w:val="09C652BE"/>
    <w:styleLink w:val="1"/>
    <w:lvl w:ilvl="0">
      <w:start w:val="1"/>
      <w:numFmt w:val="decimal"/>
      <w:pStyle w:val="10"/>
      <w:lvlText w:val="%1"/>
      <w:lvlJc w:val="left"/>
      <w:pPr>
        <w:ind w:left="425" w:hanging="425"/>
      </w:pPr>
    </w:lvl>
    <w:lvl w:ilvl="1">
      <w:start w:val="1"/>
      <w:numFmt w:val="decimal"/>
      <w:pStyle w:val="2"/>
      <w:lvlText w:val="%1.%2"/>
      <w:lvlJc w:val="left"/>
      <w:pPr>
        <w:ind w:left="709" w:hanging="567"/>
      </w:pPr>
    </w:lvl>
    <w:lvl w:ilvl="2">
      <w:start w:val="1"/>
      <w:numFmt w:val="decimal"/>
      <w:pStyle w:val="3"/>
      <w:lvlText w:val="%1.%2.%3"/>
      <w:lvlJc w:val="left"/>
      <w:pPr>
        <w:ind w:left="1418" w:hanging="567"/>
      </w:pPr>
      <w:rPr>
        <w:rFonts w:ascii="宋体" w:eastAsia="宋体" w:hAnsi="宋体" w:hint="eastAsia"/>
        <w:sz w:val="21"/>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71727B15"/>
    <w:multiLevelType w:val="multilevel"/>
    <w:tmpl w:val="7A52163A"/>
    <w:lvl w:ilvl="0">
      <w:start w:val="1"/>
      <w:numFmt w:val="decimal"/>
      <w:lvlText w:val="%1."/>
      <w:lvlJc w:val="left"/>
      <w:pPr>
        <w:snapToGrid w:val="0"/>
        <w:ind w:left="0" w:firstLine="288"/>
      </w:pPr>
      <w:rPr>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decimal"/>
      <w:suff w:val="space"/>
      <w:lvlText w:val="%1.%2"/>
      <w:lvlJc w:val="left"/>
      <w:pPr>
        <w:ind w:left="0" w:firstLine="0"/>
      </w:pPr>
      <w:rPr>
        <w:rFonts w:ascii="宋体" w:eastAsia="宋体" w:hAnsi="宋体" w:hint="eastAsia"/>
        <w:b/>
        <w:i w:val="0"/>
        <w:color w:val="auto"/>
        <w:sz w:val="21"/>
      </w:rPr>
    </w:lvl>
    <w:lvl w:ilvl="2">
      <w:start w:val="1"/>
      <w:numFmt w:val="decimal"/>
      <w:suff w:val="space"/>
      <w:lvlText w:val="%1.%2.%3"/>
      <w:lvlJc w:val="left"/>
      <w:pPr>
        <w:ind w:left="0" w:firstLine="0"/>
      </w:pPr>
      <w:rPr>
        <w:rFonts w:ascii="Times New Roman" w:eastAsia="宋体" w:hAnsi="Times New Roman" w:hint="eastAsia"/>
        <w:b/>
        <w:i w:val="0"/>
        <w:sz w:val="21"/>
      </w:rPr>
    </w:lvl>
    <w:lvl w:ilvl="3">
      <w:start w:val="1"/>
      <w:numFmt w:val="decimal"/>
      <w:pStyle w:val="4"/>
      <w:suff w:val="nothing"/>
      <w:lvlText w:val="%1.%2.%3.%4"/>
      <w:lvlJc w:val="left"/>
      <w:pPr>
        <w:ind w:left="0" w:firstLine="0"/>
      </w:pPr>
      <w:rPr>
        <w:rFonts w:ascii="Times New Roman" w:eastAsia="宋体" w:hAnsi="Times New Roman" w:hint="eastAsia"/>
        <w:b/>
        <w:i w:val="0"/>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1"/>
    <w:lvlOverride w:ilvl="0">
      <w:lvl w:ilvl="0">
        <w:start w:val="1"/>
        <w:numFmt w:val="decimal"/>
        <w:pStyle w:val="10"/>
        <w:lvlText w:val="%1"/>
        <w:lvlJc w:val="left"/>
        <w:pPr>
          <w:ind w:left="425" w:hanging="425"/>
        </w:pPr>
        <w:rPr>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rPr>
      </w:lvl>
    </w:lvlOverride>
    <w:lvlOverride w:ilvl="1">
      <w:lvl w:ilvl="1">
        <w:start w:val="1"/>
        <w:numFmt w:val="decimal"/>
        <w:pStyle w:val="2"/>
        <w:lvlText w:val="%1.%2"/>
        <w:lvlJc w:val="left"/>
        <w:pPr>
          <w:ind w:left="709" w:hanging="567"/>
        </w:pPr>
        <w:rPr>
          <w:rFonts w:ascii="Arial" w:hAnsi="Arial" w:cs="Arial" w:hint="default"/>
        </w:rPr>
      </w:lvl>
    </w:lvlOverride>
    <w:lvlOverride w:ilvl="2">
      <w:lvl w:ilvl="2">
        <w:start w:val="1"/>
        <w:numFmt w:val="decimal"/>
        <w:pStyle w:val="3"/>
        <w:lvlText w:val="%1.%2.%3"/>
        <w:lvlJc w:val="left"/>
        <w:pPr>
          <w:ind w:left="1418" w:hanging="567"/>
        </w:pPr>
        <w:rPr>
          <w:rFonts w:ascii="宋体" w:eastAsia="宋体" w:hAnsi="宋体" w:cs="Times New Roman" w:hint="eastAsia"/>
          <w:b/>
          <w:bCs w:val="0"/>
          <w:i w:val="0"/>
          <w:iCs w:val="0"/>
          <w:caps w:val="0"/>
          <w:smallCaps w:val="0"/>
          <w:strike w:val="0"/>
          <w:dstrike w:val="0"/>
          <w:outline w:val="0"/>
          <w:shadow w:val="0"/>
          <w:emboss w:val="0"/>
          <w:imprint w:val="0"/>
          <w:noProof w:val="0"/>
          <w:vanish w:val="0"/>
          <w:webHidden w:val="0"/>
          <w:spacing w:val="0"/>
          <w:position w:val="0"/>
          <w:sz w:val="21"/>
          <w:u w:val="none"/>
          <w:effect w:val="none"/>
          <w:vertAlign w:val="baseline"/>
          <w:em w:val="none"/>
          <w:specVanish w:val="0"/>
        </w:r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attachedTemplate r:id="rId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6605"/>
    <w:rsid w:val="00333C13"/>
    <w:rsid w:val="005A0D49"/>
    <w:rsid w:val="00716605"/>
    <w:rsid w:val="00E36E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0">
    <w:name w:val="heading 1"/>
    <w:basedOn w:val="a"/>
    <w:next w:val="a"/>
    <w:link w:val="1Char"/>
    <w:uiPriority w:val="9"/>
    <w:qFormat/>
    <w:pPr>
      <w:keepNext/>
      <w:keepLines/>
      <w:numPr>
        <w:numId w:val="2"/>
      </w:numPr>
      <w:spacing w:line="360" w:lineRule="auto"/>
      <w:ind w:left="0" w:firstLine="0"/>
      <w:outlineLvl w:val="0"/>
    </w:pPr>
    <w:rPr>
      <w:rFonts w:ascii="Arial" w:hAnsi="Arial"/>
      <w:b/>
      <w:bCs/>
      <w:kern w:val="44"/>
      <w:szCs w:val="44"/>
    </w:rPr>
  </w:style>
  <w:style w:type="paragraph" w:styleId="2">
    <w:name w:val="heading 2"/>
    <w:basedOn w:val="a"/>
    <w:next w:val="a"/>
    <w:link w:val="2Char"/>
    <w:semiHidden/>
    <w:unhideWhenUsed/>
    <w:qFormat/>
    <w:pPr>
      <w:widowControl/>
      <w:numPr>
        <w:ilvl w:val="1"/>
        <w:numId w:val="2"/>
      </w:numPr>
      <w:spacing w:line="360" w:lineRule="auto"/>
      <w:ind w:left="482" w:hanging="482"/>
      <w:jc w:val="left"/>
      <w:outlineLvl w:val="1"/>
    </w:pPr>
    <w:rPr>
      <w:rFonts w:ascii="Arial" w:hAnsi="Arial"/>
      <w:b/>
    </w:rPr>
  </w:style>
  <w:style w:type="paragraph" w:styleId="3">
    <w:name w:val="heading 3"/>
    <w:basedOn w:val="a"/>
    <w:next w:val="a"/>
    <w:link w:val="3Char"/>
    <w:uiPriority w:val="9"/>
    <w:semiHidden/>
    <w:unhideWhenUsed/>
    <w:qFormat/>
    <w:pPr>
      <w:widowControl/>
      <w:numPr>
        <w:ilvl w:val="2"/>
        <w:numId w:val="2"/>
      </w:numPr>
      <w:spacing w:line="360" w:lineRule="auto"/>
      <w:ind w:left="0" w:firstLine="0"/>
      <w:jc w:val="left"/>
      <w:outlineLvl w:val="2"/>
    </w:pPr>
    <w:rPr>
      <w:rFonts w:ascii="Arial" w:hAnsi="Arial"/>
      <w:b/>
      <w:bCs/>
      <w:kern w:val="0"/>
      <w:lang w:eastAsia="en-US" w:bidi="en-US"/>
    </w:rPr>
  </w:style>
  <w:style w:type="paragraph" w:styleId="4">
    <w:name w:val="heading 4"/>
    <w:basedOn w:val="a"/>
    <w:next w:val="a"/>
    <w:link w:val="4Char"/>
    <w:uiPriority w:val="9"/>
    <w:semiHidden/>
    <w:unhideWhenUsed/>
    <w:qFormat/>
    <w:pPr>
      <w:widowControl/>
      <w:numPr>
        <w:ilvl w:val="3"/>
        <w:numId w:val="4"/>
      </w:numPr>
      <w:jc w:val="left"/>
      <w:outlineLvl w:val="3"/>
    </w:pPr>
    <w:rPr>
      <w:rFonts w:ascii="宋体" w:hAnsi="Cambria"/>
      <w:b/>
      <w:bCs/>
      <w:iCs/>
      <w:kern w:val="0"/>
      <w:lang w:eastAsia="en-US" w:bidi="en-US"/>
    </w:rPr>
  </w:style>
  <w:style w:type="paragraph" w:styleId="7">
    <w:name w:val="heading 7"/>
    <w:basedOn w:val="a"/>
    <w:next w:val="a"/>
    <w:link w:val="7Char"/>
    <w:uiPriority w:val="9"/>
    <w:semiHidden/>
    <w:unhideWhenUsed/>
    <w:qFormat/>
    <w:pPr>
      <w:keepNext/>
      <w:keepLines/>
      <w:spacing w:before="240" w:after="64" w:line="319"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locked/>
    <w:rPr>
      <w:rFonts w:ascii="Arial" w:eastAsia="宋体" w:hAnsi="Arial" w:cs="Times New Roman" w:hint="default"/>
      <w:b/>
      <w:bCs/>
      <w:kern w:val="44"/>
      <w:szCs w:val="44"/>
    </w:rPr>
  </w:style>
  <w:style w:type="character" w:customStyle="1" w:styleId="2Char">
    <w:name w:val="标题 2 Char"/>
    <w:link w:val="2"/>
    <w:semiHidden/>
    <w:locked/>
    <w:rPr>
      <w:rFonts w:ascii="Arial" w:eastAsia="宋体" w:hAnsi="Arial" w:cs="Arial" w:hint="default"/>
      <w:b/>
      <w:bCs w:val="0"/>
    </w:rPr>
  </w:style>
  <w:style w:type="character" w:customStyle="1" w:styleId="3Char">
    <w:name w:val="标题 3 Char"/>
    <w:link w:val="3"/>
    <w:uiPriority w:val="9"/>
    <w:semiHidden/>
    <w:locked/>
    <w:rPr>
      <w:rFonts w:ascii="Arial" w:eastAsia="宋体" w:hAnsi="Arial" w:cs="Times New Roman" w:hint="default"/>
      <w:b/>
      <w:bCs/>
      <w:kern w:val="0"/>
      <w:lang w:eastAsia="en-US" w:bidi="en-US"/>
    </w:rPr>
  </w:style>
  <w:style w:type="character" w:customStyle="1" w:styleId="4Char">
    <w:name w:val="标题 4 Char"/>
    <w:link w:val="4"/>
    <w:uiPriority w:val="9"/>
    <w:semiHidden/>
    <w:locked/>
    <w:rPr>
      <w:rFonts w:ascii="宋体" w:eastAsia="宋体" w:hAnsi="Cambria" w:cs="Times New Roman" w:hint="eastAsia"/>
      <w:b/>
      <w:bCs/>
      <w:iCs/>
      <w:kern w:val="0"/>
      <w:lang w:eastAsia="en-US" w:bidi="en-US"/>
    </w:rPr>
  </w:style>
  <w:style w:type="character" w:customStyle="1" w:styleId="7Char">
    <w:name w:val="标题 7 Char"/>
    <w:link w:val="7"/>
    <w:uiPriority w:val="9"/>
    <w:semiHidden/>
    <w:locked/>
    <w:rPr>
      <w:rFonts w:ascii="Calibri" w:eastAsia="宋体" w:hAnsi="Calibri" w:cs="Times New Roman" w:hint="default"/>
      <w:b/>
      <w:bCs/>
      <w:sz w:val="24"/>
      <w:szCs w:val="24"/>
    </w:rPr>
  </w:style>
  <w:style w:type="paragraph" w:styleId="a3">
    <w:name w:val="footnote text"/>
    <w:basedOn w:val="a"/>
    <w:link w:val="Char"/>
    <w:semiHidden/>
    <w:unhideWhenUsed/>
    <w:pPr>
      <w:snapToGrid w:val="0"/>
      <w:jc w:val="left"/>
    </w:pPr>
    <w:rPr>
      <w:rFonts w:ascii="Times New Roman" w:hAnsi="Times New Roman"/>
      <w:sz w:val="18"/>
      <w:szCs w:val="20"/>
    </w:rPr>
  </w:style>
  <w:style w:type="character" w:customStyle="1" w:styleId="Char">
    <w:name w:val="脚注文本 Char"/>
    <w:link w:val="a3"/>
    <w:semiHidden/>
    <w:locked/>
    <w:rPr>
      <w:rFonts w:ascii="Times New Roman" w:eastAsia="宋体" w:hAnsi="Times New Roman" w:cs="Times New Roman" w:hint="default"/>
      <w:sz w:val="18"/>
      <w:szCs w:val="20"/>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locked/>
    <w:rPr>
      <w:sz w:val="18"/>
      <w:szCs w:val="18"/>
    </w:rPr>
  </w:style>
  <w:style w:type="paragraph" w:styleId="a6">
    <w:name w:val="Balloon Text"/>
    <w:basedOn w:val="a"/>
    <w:link w:val="Char2"/>
    <w:uiPriority w:val="99"/>
    <w:semiHidden/>
    <w:unhideWhenUsed/>
    <w:rPr>
      <w:sz w:val="18"/>
      <w:szCs w:val="18"/>
    </w:rPr>
  </w:style>
  <w:style w:type="character" w:customStyle="1" w:styleId="Char2">
    <w:name w:val="批注框文本 Char"/>
    <w:link w:val="a6"/>
    <w:uiPriority w:val="99"/>
    <w:semiHidden/>
    <w:locked/>
    <w:rPr>
      <w:rFonts w:ascii="Calibri" w:eastAsia="宋体" w:hAnsi="Calibri" w:cs="Times New Roman" w:hint="default"/>
      <w:sz w:val="18"/>
      <w:szCs w:val="18"/>
    </w:rPr>
  </w:style>
  <w:style w:type="paragraph" w:styleId="a7">
    <w:name w:val="List Paragraph"/>
    <w:basedOn w:val="a"/>
    <w:uiPriority w:val="34"/>
    <w:qFormat/>
    <w:pPr>
      <w:spacing w:line="240" w:lineRule="atLeast"/>
      <w:ind w:firstLineChars="200" w:firstLine="420"/>
    </w:pPr>
    <w:rPr>
      <w:rFonts w:ascii="Times New Roman" w:hAnsi="Times New Roman"/>
      <w:sz w:val="24"/>
      <w:szCs w:val="20"/>
    </w:rPr>
  </w:style>
  <w:style w:type="paragraph" w:customStyle="1" w:styleId="CharCharCharCharCharCharCharCharChar">
    <w:name w:val="Char Char Char Char Char Char Char Char Char"/>
    <w:basedOn w:val="a"/>
    <w:pPr>
      <w:numPr>
        <w:numId w:val="6"/>
      </w:numPr>
      <w:tabs>
        <w:tab w:val="left" w:pos="1320"/>
      </w:tabs>
      <w:spacing w:line="240" w:lineRule="atLeast"/>
    </w:pPr>
    <w:rPr>
      <w:rFonts w:ascii="Times New Roman" w:hAnsi="Times New Roman"/>
      <w:sz w:val="24"/>
      <w:szCs w:val="20"/>
    </w:rPr>
  </w:style>
  <w:style w:type="paragraph" w:customStyle="1" w:styleId="CharCharCharCharCharChar1CharCharChar">
    <w:name w:val="Char Char Char Char Char Char1 Char Char Char"/>
    <w:basedOn w:val="a"/>
    <w:pPr>
      <w:autoSpaceDE w:val="0"/>
      <w:autoSpaceDN w:val="0"/>
      <w:adjustRightInd w:val="0"/>
      <w:jc w:val="left"/>
    </w:pPr>
    <w:rPr>
      <w:rFonts w:ascii="宋体" w:hAnsi="Times New Roman"/>
      <w:kern w:val="0"/>
      <w:sz w:val="34"/>
      <w:szCs w:val="20"/>
    </w:rPr>
  </w:style>
  <w:style w:type="character" w:styleId="a8">
    <w:name w:val="footnote reference"/>
    <w:semiHidden/>
    <w:unhideWhenUsed/>
    <w:rPr>
      <w:vertAlign w:val="superscript"/>
    </w:rPr>
  </w:style>
  <w:style w:type="table" w:styleId="a9">
    <w:name w:val="Table Grid"/>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样式1"/>
    <w:uiPriority w:val="99"/>
    <w:pPr>
      <w:numPr>
        <w:numId w:val="1"/>
      </w:numPr>
    </w:pPr>
  </w:style>
</w:styles>
</file>

<file path=word/webSettings.xml><?xml version="1.0" encoding="utf-8"?>
<w:webSettings xmlns:r="http://schemas.openxmlformats.org/officeDocument/2006/relationships" xmlns:w="http://schemas.openxmlformats.org/wordprocessingml/2006/main">
  <w:encoding w:val="unicode"/>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887F-BA4E-4061-84AA-89E6DEF4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5686</Characters>
  <Application>Microsoft Office Word</Application>
  <DocSecurity>4</DocSecurity>
  <Lines>47</Lines>
  <Paragraphs>13</Paragraphs>
  <ScaleCrop>false</ScaleCrop>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俞林秀</dc:creator>
  <cp:keywords/>
  <dc:description/>
  <cp:lastModifiedBy>ZHONGM</cp:lastModifiedBy>
  <cp:revision>2</cp:revision>
  <dcterms:created xsi:type="dcterms:W3CDTF">2026-01-11T16:00:00Z</dcterms:created>
  <dcterms:modified xsi:type="dcterms:W3CDTF">2026-01-11T16:00:00Z</dcterms:modified>
</cp:coreProperties>
</file>