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C01B90">
      <w:pPr>
        <w:spacing w:line="360" w:lineRule="auto"/>
        <w:contextualSpacing/>
        <w:jc w:val="center"/>
        <w:rPr>
          <w:b/>
          <w:sz w:val="40"/>
          <w:szCs w:val="44"/>
        </w:rPr>
      </w:pPr>
      <w:bookmarkStart w:id="0" w:name="_Toc123112262"/>
      <w:bookmarkStart w:id="1" w:name="_Toc123701382"/>
      <w:bookmarkStart w:id="2" w:name="_Toc139991725"/>
      <w:bookmarkStart w:id="3" w:name="_Toc123112223"/>
      <w:bookmarkStart w:id="4" w:name="_Toc139992300"/>
      <w:r>
        <w:rPr>
          <w:b/>
          <w:sz w:val="40"/>
          <w:szCs w:val="44"/>
        </w:rPr>
        <w:t>中银先锋半导体混合型发起式证券投资基金</w:t>
      </w:r>
    </w:p>
    <w:p w:rsidR="0011730D" w:rsidRDefault="00C01B90">
      <w:pPr>
        <w:spacing w:line="360" w:lineRule="auto"/>
        <w:contextualSpacing/>
        <w:jc w:val="center"/>
        <w:rPr>
          <w:b/>
          <w:sz w:val="40"/>
          <w:szCs w:val="44"/>
        </w:rPr>
      </w:pPr>
      <w:r>
        <w:rPr>
          <w:b/>
          <w:sz w:val="40"/>
          <w:szCs w:val="44"/>
        </w:rPr>
        <w:t>基金</w:t>
      </w:r>
      <w:bookmarkEnd w:id="0"/>
      <w:bookmarkEnd w:id="1"/>
      <w:bookmarkEnd w:id="2"/>
      <w:bookmarkEnd w:id="3"/>
      <w:bookmarkEnd w:id="4"/>
      <w:r>
        <w:rPr>
          <w:b/>
          <w:sz w:val="40"/>
          <w:szCs w:val="44"/>
        </w:rPr>
        <w:t>份额发售公告</w:t>
      </w: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C01B90">
      <w:pPr>
        <w:spacing w:line="360" w:lineRule="auto"/>
        <w:contextualSpacing/>
        <w:jc w:val="center"/>
        <w:rPr>
          <w:b/>
          <w:sz w:val="36"/>
          <w:szCs w:val="36"/>
        </w:rPr>
      </w:pPr>
      <w:r>
        <w:t xml:space="preserve"> </w:t>
      </w: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C01B90">
      <w:pPr>
        <w:tabs>
          <w:tab w:val="left" w:pos="1418"/>
        </w:tabs>
        <w:spacing w:line="360" w:lineRule="auto"/>
        <w:ind w:leftChars="675" w:left="1418" w:firstLineChars="270" w:firstLine="759"/>
        <w:contextualSpacing/>
        <w:jc w:val="left"/>
        <w:rPr>
          <w:b/>
          <w:bCs/>
          <w:sz w:val="28"/>
          <w:szCs w:val="28"/>
        </w:rPr>
      </w:pPr>
      <w:r>
        <w:rPr>
          <w:rFonts w:hint="eastAsia"/>
          <w:b/>
          <w:bCs/>
          <w:sz w:val="28"/>
          <w:szCs w:val="28"/>
        </w:rPr>
        <w:t>基金管理人：中银基金管理有限公司</w:t>
      </w:r>
    </w:p>
    <w:p w:rsidR="0011730D" w:rsidRDefault="00C01B90">
      <w:pPr>
        <w:tabs>
          <w:tab w:val="left" w:pos="1418"/>
        </w:tabs>
        <w:spacing w:line="360" w:lineRule="auto"/>
        <w:ind w:leftChars="675" w:left="1418" w:firstLineChars="270" w:firstLine="759"/>
        <w:contextualSpacing/>
        <w:jc w:val="left"/>
        <w:rPr>
          <w:b/>
          <w:bCs/>
          <w:sz w:val="28"/>
          <w:szCs w:val="28"/>
        </w:rPr>
      </w:pPr>
      <w:r>
        <w:rPr>
          <w:rFonts w:hint="eastAsia"/>
          <w:b/>
          <w:bCs/>
          <w:sz w:val="28"/>
          <w:szCs w:val="28"/>
        </w:rPr>
        <w:t>基金托管人：</w:t>
      </w:r>
      <w:r>
        <w:rPr>
          <w:rFonts w:ascii="宋体"/>
          <w:b/>
          <w:sz w:val="28"/>
          <w:szCs w:val="28"/>
        </w:rPr>
        <w:t>招商银行股份有限公司</w:t>
      </w:r>
    </w:p>
    <w:p w:rsidR="0011730D" w:rsidRDefault="0011730D">
      <w:pPr>
        <w:spacing w:line="360" w:lineRule="auto"/>
        <w:contextualSpacing/>
        <w:jc w:val="center"/>
        <w:rPr>
          <w:b/>
          <w:sz w:val="36"/>
          <w:szCs w:val="36"/>
        </w:rPr>
      </w:pPr>
    </w:p>
    <w:p w:rsidR="0011730D" w:rsidRDefault="0011730D">
      <w:pPr>
        <w:spacing w:line="360" w:lineRule="auto"/>
        <w:contextualSpacing/>
        <w:jc w:val="center"/>
        <w:rPr>
          <w:b/>
          <w:sz w:val="36"/>
          <w:szCs w:val="36"/>
        </w:rPr>
      </w:pPr>
    </w:p>
    <w:p w:rsidR="0011730D" w:rsidRDefault="00C01B90">
      <w:pPr>
        <w:spacing w:line="360" w:lineRule="auto"/>
        <w:contextualSpacing/>
        <w:jc w:val="center"/>
        <w:rPr>
          <w:b/>
          <w:bCs/>
          <w:sz w:val="28"/>
          <w:szCs w:val="28"/>
        </w:rPr>
      </w:pPr>
      <w:r>
        <w:rPr>
          <w:b/>
          <w:bCs/>
          <w:sz w:val="28"/>
          <w:szCs w:val="28"/>
        </w:rPr>
        <w:t>二〇二六年一月</w:t>
      </w:r>
    </w:p>
    <w:p w:rsidR="0011730D" w:rsidRDefault="0011730D">
      <w:pPr>
        <w:spacing w:line="360" w:lineRule="auto"/>
        <w:contextualSpacing/>
        <w:jc w:val="center"/>
        <w:rPr>
          <w:b/>
          <w:bCs/>
          <w:sz w:val="28"/>
          <w:szCs w:val="28"/>
        </w:rPr>
      </w:pPr>
    </w:p>
    <w:p w:rsidR="0011730D" w:rsidRDefault="00C01B90">
      <w:pPr>
        <w:pStyle w:val="1"/>
        <w:spacing w:before="0" w:after="0" w:line="360" w:lineRule="auto"/>
        <w:contextualSpacing/>
        <w:jc w:val="center"/>
        <w:rPr>
          <w:rFonts w:ascii="Times New Roman"/>
          <w:b/>
          <w:sz w:val="28"/>
          <w:szCs w:val="28"/>
        </w:rPr>
      </w:pPr>
      <w:bookmarkStart w:id="5" w:name="_Toc346624921"/>
      <w:bookmarkStart w:id="6" w:name="_Toc346554646"/>
      <w:bookmarkStart w:id="7" w:name="_Toc239697412"/>
      <w:bookmarkStart w:id="8" w:name="_Toc282758866"/>
      <w:bookmarkStart w:id="9" w:name="_Toc283220699"/>
      <w:bookmarkStart w:id="10" w:name="_Toc282758743"/>
      <w:bookmarkStart w:id="11" w:name="_Toc268767137"/>
      <w:r>
        <w:rPr>
          <w:rFonts w:ascii="Times New Roman"/>
          <w:b/>
          <w:sz w:val="28"/>
          <w:szCs w:val="28"/>
        </w:rPr>
        <w:br w:type="page"/>
      </w:r>
      <w:r>
        <w:rPr>
          <w:rFonts w:ascii="Times New Roman" w:hint="eastAsia"/>
          <w:b/>
          <w:sz w:val="28"/>
          <w:szCs w:val="28"/>
        </w:rPr>
        <w:lastRenderedPageBreak/>
        <w:t>重要提示</w:t>
      </w:r>
      <w:bookmarkEnd w:id="5"/>
      <w:bookmarkEnd w:id="6"/>
    </w:p>
    <w:p w:rsidR="0011730D" w:rsidRDefault="0011730D"/>
    <w:p w:rsidR="0011730D" w:rsidRDefault="00C01B90">
      <w:pPr>
        <w:numPr>
          <w:ilvl w:val="0"/>
          <w:numId w:val="1"/>
        </w:numPr>
        <w:adjustRightInd w:val="0"/>
        <w:spacing w:line="360" w:lineRule="auto"/>
        <w:ind w:left="0" w:firstLineChars="200" w:firstLine="420"/>
        <w:contextualSpacing/>
        <w:textAlignment w:val="baseline"/>
      </w:pPr>
      <w:r>
        <w:t>中银先锋半导体混合型发起式证券投资基金（以下简称</w:t>
      </w:r>
      <w:r>
        <w:t>“</w:t>
      </w:r>
      <w:r>
        <w:t>本基金</w:t>
      </w:r>
      <w:r>
        <w:t>”</w:t>
      </w:r>
      <w:r>
        <w:t>）已获中国证券监督管理委员会证监许可【</w:t>
      </w:r>
      <w:r>
        <w:t>2025</w:t>
      </w:r>
      <w:r>
        <w:t>】</w:t>
      </w:r>
      <w:r>
        <w:t>2949</w:t>
      </w:r>
      <w:r>
        <w:t>号文准予注册。中国证监会对本基金的准予注册并不代表中国证监会对本基金的风险和收益作出实质性判断、推荐或者保证。</w:t>
      </w:r>
    </w:p>
    <w:p w:rsidR="0011730D" w:rsidRDefault="00C01B90">
      <w:pPr>
        <w:numPr>
          <w:ilvl w:val="0"/>
          <w:numId w:val="1"/>
        </w:numPr>
        <w:adjustRightInd w:val="0"/>
        <w:spacing w:line="360" w:lineRule="auto"/>
        <w:ind w:left="0" w:firstLine="426"/>
        <w:contextualSpacing/>
        <w:textAlignment w:val="baseline"/>
        <w:rPr>
          <w:bCs/>
          <w:szCs w:val="21"/>
        </w:rPr>
      </w:pPr>
      <w:bookmarkStart w:id="12" w:name="_Toc268767141"/>
      <w:bookmarkStart w:id="13" w:name="_Toc268767159"/>
      <w:bookmarkStart w:id="14" w:name="_Toc268767155"/>
      <w:bookmarkStart w:id="15" w:name="_Toc268767169"/>
      <w:bookmarkStart w:id="16" w:name="_Toc268767156"/>
      <w:bookmarkStart w:id="17" w:name="_Toc268767147"/>
      <w:bookmarkStart w:id="18" w:name="_Toc268767190"/>
      <w:bookmarkStart w:id="19" w:name="_Toc268767171"/>
      <w:bookmarkStart w:id="20" w:name="_Toc268767184"/>
      <w:bookmarkStart w:id="21" w:name="_Toc268767153"/>
      <w:bookmarkStart w:id="22" w:name="_Toc268767182"/>
      <w:bookmarkStart w:id="23" w:name="_Toc268767172"/>
      <w:bookmarkStart w:id="24" w:name="_Toc268767144"/>
      <w:bookmarkStart w:id="25" w:name="_Toc268767157"/>
      <w:bookmarkStart w:id="26" w:name="_Toc268767180"/>
      <w:bookmarkStart w:id="27" w:name="_Toc268767178"/>
      <w:bookmarkStart w:id="28" w:name="_Toc268767152"/>
      <w:bookmarkStart w:id="29" w:name="_Toc268767148"/>
      <w:bookmarkStart w:id="30" w:name="_Toc268767164"/>
      <w:bookmarkStart w:id="31" w:name="_Toc268767188"/>
      <w:bookmarkStart w:id="32" w:name="_Toc268767189"/>
      <w:bookmarkStart w:id="33" w:name="_Toc268767175"/>
      <w:bookmarkStart w:id="34" w:name="_Toc268767142"/>
      <w:bookmarkStart w:id="35" w:name="_Toc268767149"/>
      <w:bookmarkStart w:id="36" w:name="_Toc268767154"/>
      <w:bookmarkStart w:id="37" w:name="_Toc268767166"/>
      <w:bookmarkStart w:id="38" w:name="_Toc268767193"/>
      <w:bookmarkStart w:id="39" w:name="_Toc268767165"/>
      <w:bookmarkStart w:id="40" w:name="_Toc268767223"/>
      <w:bookmarkStart w:id="41" w:name="_Toc268767167"/>
      <w:bookmarkStart w:id="42" w:name="_Toc268767146"/>
      <w:bookmarkStart w:id="43" w:name="_Toc268767158"/>
      <w:bookmarkStart w:id="44" w:name="_Toc268767187"/>
      <w:bookmarkStart w:id="45" w:name="_Toc268767213"/>
      <w:bookmarkStart w:id="46" w:name="_Toc268767185"/>
      <w:bookmarkStart w:id="47" w:name="_Toc268767212"/>
      <w:bookmarkStart w:id="48" w:name="_Toc268767161"/>
      <w:bookmarkStart w:id="49" w:name="_Toc268767191"/>
      <w:bookmarkStart w:id="50" w:name="_Toc268767260"/>
      <w:bookmarkStart w:id="51" w:name="_Toc268767174"/>
      <w:bookmarkStart w:id="52" w:name="_Toc268767179"/>
      <w:bookmarkStart w:id="53" w:name="_Toc268767217"/>
      <w:bookmarkStart w:id="54" w:name="_Toc268767150"/>
      <w:bookmarkStart w:id="55" w:name="_Toc268767197"/>
      <w:bookmarkStart w:id="56" w:name="_Toc268767205"/>
      <w:bookmarkStart w:id="57" w:name="_Toc268767163"/>
      <w:bookmarkStart w:id="58" w:name="_Toc268767168"/>
      <w:bookmarkStart w:id="59" w:name="_Toc268767219"/>
      <w:bookmarkStart w:id="60" w:name="_Toc268767192"/>
      <w:bookmarkStart w:id="61" w:name="_Toc268767162"/>
      <w:bookmarkStart w:id="62" w:name="_Toc268767200"/>
      <w:bookmarkStart w:id="63" w:name="_Toc268767196"/>
      <w:bookmarkStart w:id="64" w:name="_Toc268767160"/>
      <w:bookmarkStart w:id="65" w:name="_Toc268767145"/>
      <w:bookmarkStart w:id="66" w:name="_Toc268767151"/>
      <w:bookmarkStart w:id="67" w:name="_Toc268767206"/>
      <w:bookmarkStart w:id="68" w:name="_Toc268767143"/>
      <w:bookmarkStart w:id="69" w:name="_Toc268767207"/>
      <w:bookmarkStart w:id="70" w:name="_Toc268767186"/>
      <w:bookmarkStart w:id="71" w:name="_Toc268767173"/>
      <w:bookmarkStart w:id="72" w:name="_Toc268767203"/>
      <w:bookmarkStart w:id="73" w:name="_Toc268767216"/>
      <w:bookmarkStart w:id="74" w:name="_Toc268767232"/>
      <w:bookmarkStart w:id="75" w:name="_Toc268767181"/>
      <w:bookmarkStart w:id="76" w:name="_Toc268767177"/>
      <w:bookmarkStart w:id="77" w:name="_Toc268767222"/>
      <w:bookmarkStart w:id="78" w:name="_Toc268767251"/>
      <w:bookmarkStart w:id="79" w:name="_Toc268767254"/>
      <w:bookmarkStart w:id="80" w:name="_Toc268767194"/>
      <w:bookmarkStart w:id="81" w:name="_Toc268767195"/>
      <w:bookmarkStart w:id="82" w:name="_Toc268767210"/>
      <w:bookmarkStart w:id="83" w:name="_Toc268767211"/>
      <w:bookmarkStart w:id="84" w:name="_Toc268767214"/>
      <w:bookmarkStart w:id="85" w:name="_Toc268767204"/>
      <w:bookmarkStart w:id="86" w:name="_Toc268767291"/>
      <w:bookmarkStart w:id="87" w:name="_Toc268767220"/>
      <w:bookmarkStart w:id="88" w:name="_Toc268767294"/>
      <w:bookmarkStart w:id="89" w:name="_Toc268767255"/>
      <w:bookmarkStart w:id="90" w:name="_Toc268767199"/>
      <w:bookmarkStart w:id="91" w:name="_Toc268767226"/>
      <w:bookmarkStart w:id="92" w:name="_Toc268767170"/>
      <w:bookmarkStart w:id="93" w:name="_Toc268767215"/>
      <w:bookmarkStart w:id="94" w:name="_Toc268767250"/>
      <w:bookmarkStart w:id="95" w:name="_Toc268767225"/>
      <w:bookmarkStart w:id="96" w:name="_Toc268767218"/>
      <w:bookmarkStart w:id="97" w:name="_Toc268767235"/>
      <w:bookmarkStart w:id="98" w:name="_Toc268767198"/>
      <w:bookmarkStart w:id="99" w:name="_Toc268767209"/>
      <w:bookmarkStart w:id="100" w:name="_Toc268767224"/>
      <w:bookmarkStart w:id="101" w:name="_Toc268767263"/>
      <w:bookmarkStart w:id="102" w:name="_Toc268767282"/>
      <w:bookmarkStart w:id="103" w:name="_Toc268767259"/>
      <w:bookmarkStart w:id="104" w:name="_Toc268767247"/>
      <w:bookmarkStart w:id="105" w:name="_Toc268767261"/>
      <w:bookmarkStart w:id="106" w:name="_Toc268767202"/>
      <w:bookmarkStart w:id="107" w:name="_Toc268767230"/>
      <w:bookmarkStart w:id="108" w:name="_Toc268767258"/>
      <w:bookmarkStart w:id="109" w:name="_Toc268767284"/>
      <w:bookmarkStart w:id="110" w:name="_Toc268767256"/>
      <w:bookmarkStart w:id="111" w:name="_Toc268767257"/>
      <w:bookmarkStart w:id="112" w:name="_Toc268767208"/>
      <w:bookmarkStart w:id="113" w:name="_Toc268767237"/>
      <w:bookmarkStart w:id="114" w:name="_Toc268767272"/>
      <w:bookmarkStart w:id="115" w:name="_Toc268767241"/>
      <w:bookmarkStart w:id="116" w:name="_Toc268767264"/>
      <w:bookmarkStart w:id="117" w:name="_Toc268767295"/>
      <w:bookmarkStart w:id="118" w:name="_Toc268767201"/>
      <w:bookmarkStart w:id="119" w:name="_Toc268767277"/>
      <w:bookmarkStart w:id="120" w:name="_Toc268767271"/>
      <w:bookmarkStart w:id="121" w:name="_Toc268767269"/>
      <w:bookmarkStart w:id="122" w:name="_Toc268767221"/>
      <w:bookmarkStart w:id="123" w:name="_Toc268767244"/>
      <w:bookmarkStart w:id="124" w:name="_Toc268767246"/>
      <w:bookmarkStart w:id="125" w:name="_Toc268767239"/>
      <w:bookmarkStart w:id="126" w:name="_Toc268767275"/>
      <w:bookmarkStart w:id="127" w:name="_Toc268767274"/>
      <w:bookmarkStart w:id="128" w:name="_Toc268767278"/>
      <w:bookmarkStart w:id="129" w:name="_Toc268767234"/>
      <w:bookmarkStart w:id="130" w:name="_Toc268767280"/>
      <w:bookmarkStart w:id="131" w:name="_Toc268767292"/>
      <w:bookmarkStart w:id="132" w:name="_Toc268767265"/>
      <w:bookmarkStart w:id="133" w:name="_Toc268767243"/>
      <w:bookmarkStart w:id="134" w:name="_Toc268767314"/>
      <w:bookmarkStart w:id="135" w:name="_Toc268767242"/>
      <w:bookmarkStart w:id="136" w:name="_Toc268767288"/>
      <w:bookmarkStart w:id="137" w:name="_Toc268767289"/>
      <w:bookmarkStart w:id="138" w:name="_Toc268767283"/>
      <w:bookmarkStart w:id="139" w:name="_Toc268767313"/>
      <w:bookmarkStart w:id="140" w:name="_Toc268767268"/>
      <w:bookmarkStart w:id="141" w:name="_Toc268767249"/>
      <w:bookmarkStart w:id="142" w:name="_Toc268767316"/>
      <w:bookmarkStart w:id="143" w:name="_Toc268767248"/>
      <w:bookmarkStart w:id="144" w:name="_Toc268767252"/>
      <w:bookmarkStart w:id="145" w:name="_Toc268767309"/>
      <w:bookmarkStart w:id="146" w:name="_Toc268767315"/>
      <w:bookmarkStart w:id="147" w:name="_Toc268767323"/>
      <w:bookmarkStart w:id="148" w:name="_Toc268767329"/>
      <w:bookmarkStart w:id="149" w:name="_Toc268767227"/>
      <w:bookmarkStart w:id="150" w:name="_Toc268767236"/>
      <w:bookmarkStart w:id="151" w:name="_Toc268767358"/>
      <w:bookmarkStart w:id="152" w:name="_Toc268767327"/>
      <w:bookmarkStart w:id="153" w:name="_Toc268767266"/>
      <w:bookmarkStart w:id="154" w:name="_Toc268767320"/>
      <w:bookmarkStart w:id="155" w:name="_Toc268767290"/>
      <w:bookmarkStart w:id="156" w:name="_Toc268767238"/>
      <w:bookmarkStart w:id="157" w:name="_Toc268767340"/>
      <w:bookmarkStart w:id="158" w:name="_Toc268767286"/>
      <w:bookmarkStart w:id="159" w:name="_Toc268767281"/>
      <w:bookmarkStart w:id="160" w:name="_Toc268767240"/>
      <w:bookmarkStart w:id="161" w:name="_Toc268767273"/>
      <w:bookmarkStart w:id="162" w:name="_Toc268767279"/>
      <w:bookmarkStart w:id="163" w:name="_Toc268767301"/>
      <w:bookmarkStart w:id="164" w:name="_Toc268767305"/>
      <w:bookmarkStart w:id="165" w:name="_Toc268767312"/>
      <w:bookmarkStart w:id="166" w:name="_Toc268767299"/>
      <w:bookmarkStart w:id="167" w:name="_Toc268767276"/>
      <w:bookmarkStart w:id="168" w:name="_Toc268767359"/>
      <w:bookmarkStart w:id="169" w:name="_Toc268767293"/>
      <w:bookmarkStart w:id="170" w:name="_Toc268767262"/>
      <w:bookmarkStart w:id="171" w:name="_Toc268767285"/>
      <w:bookmarkStart w:id="172" w:name="_Toc268767317"/>
      <w:bookmarkStart w:id="173" w:name="_Toc268767324"/>
      <w:bookmarkStart w:id="174" w:name="_Toc268767336"/>
      <w:bookmarkStart w:id="175" w:name="_Toc268767307"/>
      <w:bookmarkStart w:id="176" w:name="_Toc268767311"/>
      <w:bookmarkStart w:id="177" w:name="_Toc268767306"/>
      <w:bookmarkStart w:id="178" w:name="_Toc268767356"/>
      <w:bookmarkStart w:id="179" w:name="_Toc268767308"/>
      <w:bookmarkStart w:id="180" w:name="_Toc268767346"/>
      <w:bookmarkStart w:id="181" w:name="_Toc268767270"/>
      <w:bookmarkStart w:id="182" w:name="_Toc268767302"/>
      <w:bookmarkStart w:id="183" w:name="_Toc268767322"/>
      <w:bookmarkStart w:id="184" w:name="_Toc268767325"/>
      <w:bookmarkStart w:id="185" w:name="_Toc268767321"/>
      <w:bookmarkStart w:id="186" w:name="_Toc268767371"/>
      <w:bookmarkStart w:id="187" w:name="_Toc268767333"/>
      <w:bookmarkStart w:id="188" w:name="_Toc268767335"/>
      <w:bookmarkStart w:id="189" w:name="_Toc268767300"/>
      <w:bookmarkStart w:id="190" w:name="_Toc268767389"/>
      <w:bookmarkStart w:id="191" w:name="_Toc268767355"/>
      <w:bookmarkStart w:id="192" w:name="_Toc268767330"/>
      <w:bookmarkStart w:id="193" w:name="_Toc268767318"/>
      <w:bookmarkStart w:id="194" w:name="_Toc268767303"/>
      <w:bookmarkStart w:id="195" w:name="_Toc268767345"/>
      <w:bookmarkStart w:id="196" w:name="_Toc268767296"/>
      <w:bookmarkStart w:id="197" w:name="_Toc268767349"/>
      <w:bookmarkStart w:id="198" w:name="_Toc268767297"/>
      <w:bookmarkStart w:id="199" w:name="_Toc268767287"/>
      <w:bookmarkStart w:id="200" w:name="_Toc268767304"/>
      <w:bookmarkStart w:id="201" w:name="_Toc268767267"/>
      <w:bookmarkStart w:id="202" w:name="_Toc268767388"/>
      <w:bookmarkStart w:id="203" w:name="_Toc268767348"/>
      <w:bookmarkStart w:id="204" w:name="_Toc268767310"/>
      <w:bookmarkStart w:id="205" w:name="_Toc268767342"/>
      <w:bookmarkStart w:id="206" w:name="_Toc268767353"/>
      <w:bookmarkStart w:id="207" w:name="_Toc268767352"/>
      <w:bookmarkStart w:id="208" w:name="_Toc268767363"/>
      <w:bookmarkStart w:id="209" w:name="_Toc268767400"/>
      <w:bookmarkStart w:id="210" w:name="_Toc268767361"/>
      <w:bookmarkStart w:id="211" w:name="_Toc268767331"/>
      <w:bookmarkStart w:id="212" w:name="_Toc268767339"/>
      <w:bookmarkStart w:id="213" w:name="_Toc268767332"/>
      <w:bookmarkStart w:id="214" w:name="_Toc268767374"/>
      <w:bookmarkStart w:id="215" w:name="_Toc268767326"/>
      <w:bookmarkStart w:id="216" w:name="_Toc268767328"/>
      <w:bookmarkStart w:id="217" w:name="_Toc268767381"/>
      <w:bookmarkStart w:id="218" w:name="_Toc268767357"/>
      <w:bookmarkStart w:id="219" w:name="_Toc268767298"/>
      <w:bookmarkStart w:id="220" w:name="_Toc268767338"/>
      <w:bookmarkStart w:id="221" w:name="_Toc268767394"/>
      <w:bookmarkStart w:id="222" w:name="_Toc268767347"/>
      <w:bookmarkStart w:id="223" w:name="_Toc268767387"/>
      <w:bookmarkStart w:id="224" w:name="_Toc268767366"/>
      <w:bookmarkStart w:id="225" w:name="_Toc268767368"/>
      <w:bookmarkStart w:id="226" w:name="_Toc268767370"/>
      <w:bookmarkStart w:id="227" w:name="_Toc268767424"/>
      <w:bookmarkStart w:id="228" w:name="_Toc268767334"/>
      <w:bookmarkStart w:id="229" w:name="_Toc268767319"/>
      <w:bookmarkStart w:id="230" w:name="_Toc268767380"/>
      <w:bookmarkStart w:id="231" w:name="_Toc268767350"/>
      <w:bookmarkStart w:id="232" w:name="_Toc268767351"/>
      <w:bookmarkStart w:id="233" w:name="_Toc268767341"/>
      <w:bookmarkStart w:id="234" w:name="_Toc268767369"/>
      <w:bookmarkStart w:id="235" w:name="_Toc268767399"/>
      <w:bookmarkStart w:id="236" w:name="_Toc268767344"/>
      <w:bookmarkStart w:id="237" w:name="_Toc268767386"/>
      <w:bookmarkStart w:id="238" w:name="_Toc268767382"/>
      <w:bookmarkStart w:id="239" w:name="_Toc268767337"/>
      <w:bookmarkStart w:id="240" w:name="_Toc268767402"/>
      <w:bookmarkStart w:id="241" w:name="_Toc268767406"/>
      <w:bookmarkStart w:id="242" w:name="_Toc268767365"/>
      <w:bookmarkStart w:id="243" w:name="_Toc268767377"/>
      <w:bookmarkStart w:id="244" w:name="_Toc268767379"/>
      <w:bookmarkStart w:id="245" w:name="_Toc268767378"/>
      <w:bookmarkStart w:id="246" w:name="_Toc268767364"/>
      <w:bookmarkStart w:id="247" w:name="_Toc268767395"/>
      <w:bookmarkStart w:id="248" w:name="_Toc268767384"/>
      <w:bookmarkStart w:id="249" w:name="_Toc268767373"/>
      <w:bookmarkStart w:id="250" w:name="_Toc268767383"/>
      <w:bookmarkStart w:id="251" w:name="_Toc268767375"/>
      <w:bookmarkStart w:id="252" w:name="_Toc268767392"/>
      <w:bookmarkStart w:id="253" w:name="_Toc268767354"/>
      <w:bookmarkStart w:id="254" w:name="_Toc268767421"/>
      <w:bookmarkStart w:id="255" w:name="_Toc268767390"/>
      <w:bookmarkStart w:id="256" w:name="_Toc268767423"/>
      <w:bookmarkStart w:id="257" w:name="_Toc268767414"/>
      <w:bookmarkStart w:id="258" w:name="_Toc268767362"/>
      <w:bookmarkStart w:id="259" w:name="_Toc268767410"/>
      <w:bookmarkStart w:id="260" w:name="_Toc268767413"/>
      <w:bookmarkStart w:id="261" w:name="_Toc268767415"/>
      <w:bookmarkStart w:id="262" w:name="_Toc268767391"/>
      <w:bookmarkStart w:id="263" w:name="_Toc268767412"/>
      <w:bookmarkStart w:id="264" w:name="_Toc268767393"/>
      <w:bookmarkStart w:id="265" w:name="_Toc268767343"/>
      <w:bookmarkStart w:id="266" w:name="_Toc268767372"/>
      <w:bookmarkStart w:id="267" w:name="_Toc268767404"/>
      <w:bookmarkStart w:id="268" w:name="_Toc268767416"/>
      <w:bookmarkStart w:id="269" w:name="_Toc268767442"/>
      <w:bookmarkStart w:id="270" w:name="_Toc268767405"/>
      <w:bookmarkStart w:id="271" w:name="_Toc268767438"/>
      <w:bookmarkStart w:id="272" w:name="_Toc268767403"/>
      <w:bookmarkStart w:id="273" w:name="_Toc268767417"/>
      <w:bookmarkStart w:id="274" w:name="_Toc268767398"/>
      <w:bookmarkStart w:id="275" w:name="_Toc268767385"/>
      <w:bookmarkStart w:id="276" w:name="_Toc268767418"/>
      <w:bookmarkStart w:id="277" w:name="_Toc268767409"/>
      <w:bookmarkStart w:id="278" w:name="_Toc268767435"/>
      <w:bookmarkStart w:id="279" w:name="_Toc268767427"/>
      <w:bookmarkStart w:id="280" w:name="_Toc268767437"/>
      <w:bookmarkStart w:id="281" w:name="_Toc268767401"/>
      <w:bookmarkStart w:id="282" w:name="_Toc268767407"/>
      <w:bookmarkStart w:id="283" w:name="_Toc268767441"/>
      <w:bookmarkStart w:id="284" w:name="_Toc268767420"/>
      <w:bookmarkStart w:id="285" w:name="_Toc268767444"/>
      <w:bookmarkStart w:id="286" w:name="_Toc268767426"/>
      <w:bookmarkStart w:id="287" w:name="_Toc268767431"/>
      <w:bookmarkStart w:id="288" w:name="_Toc268767419"/>
      <w:bookmarkStart w:id="289" w:name="_Toc268767446"/>
      <w:bookmarkStart w:id="290" w:name="_Toc268767439"/>
      <w:bookmarkStart w:id="291" w:name="_Toc268767433"/>
      <w:bookmarkStart w:id="292" w:name="_Toc109234733"/>
      <w:bookmarkStart w:id="293" w:name="_Toc268767443"/>
      <w:bookmarkStart w:id="294" w:name="_Toc268767397"/>
      <w:bookmarkStart w:id="295" w:name="_Toc268767360"/>
      <w:bookmarkStart w:id="296" w:name="_Toc268767429"/>
      <w:bookmarkStart w:id="297" w:name="_Toc268767436"/>
      <w:bookmarkStart w:id="298" w:name="_Toc268767425"/>
      <w:bookmarkStart w:id="299" w:name="_Toc268767396"/>
      <w:bookmarkStart w:id="300" w:name="_Toc268767367"/>
      <w:bookmarkStart w:id="301" w:name="_Toc268767430"/>
      <w:bookmarkStart w:id="302" w:name="_Toc268767422"/>
      <w:bookmarkStart w:id="303" w:name="_Toc94439557"/>
      <w:bookmarkStart w:id="304" w:name="_Toc268767448"/>
      <w:bookmarkStart w:id="305" w:name="_Toc94326846"/>
      <w:bookmarkStart w:id="306" w:name="_Toc268767445"/>
      <w:bookmarkStart w:id="307" w:name="_Toc268767434"/>
      <w:bookmarkStart w:id="308" w:name="_Toc268767428"/>
      <w:bookmarkStart w:id="309" w:name="_Toc268767411"/>
      <w:bookmarkStart w:id="310" w:name="_Toc268767432"/>
      <w:bookmarkStart w:id="311" w:name="_Toc268767408"/>
      <w:bookmarkStart w:id="312" w:name="_Toc26876744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bCs/>
          <w:szCs w:val="21"/>
        </w:rPr>
        <w:t>本基金为契约型开放式</w:t>
      </w:r>
      <w:r>
        <w:rPr>
          <w:rFonts w:hint="eastAsia"/>
          <w:bCs/>
          <w:szCs w:val="21"/>
        </w:rPr>
        <w:t>、</w:t>
      </w:r>
      <w:r>
        <w:rPr>
          <w:bCs/>
          <w:szCs w:val="21"/>
        </w:rPr>
        <w:t>混合型。</w:t>
      </w:r>
    </w:p>
    <w:p w:rsidR="0011730D" w:rsidRDefault="00C01B90">
      <w:pPr>
        <w:numPr>
          <w:ilvl w:val="0"/>
          <w:numId w:val="1"/>
        </w:numPr>
        <w:adjustRightInd w:val="0"/>
        <w:spacing w:line="360" w:lineRule="auto"/>
        <w:ind w:left="0" w:firstLine="426"/>
        <w:contextualSpacing/>
        <w:textAlignment w:val="baseline"/>
        <w:rPr>
          <w:bCs/>
          <w:szCs w:val="21"/>
        </w:rPr>
      </w:pPr>
      <w:r>
        <w:rPr>
          <w:bCs/>
          <w:szCs w:val="21"/>
        </w:rPr>
        <w:t>本基金的管理人为中银基金管理有限公司（以下或简称</w:t>
      </w:r>
      <w:r>
        <w:rPr>
          <w:bCs/>
          <w:szCs w:val="21"/>
        </w:rPr>
        <w:t>“</w:t>
      </w:r>
      <w:r>
        <w:rPr>
          <w:bCs/>
          <w:szCs w:val="21"/>
        </w:rPr>
        <w:t>本公司</w:t>
      </w:r>
      <w:r>
        <w:rPr>
          <w:bCs/>
          <w:szCs w:val="21"/>
        </w:rPr>
        <w:t>”</w:t>
      </w:r>
      <w:r>
        <w:rPr>
          <w:bCs/>
          <w:szCs w:val="21"/>
        </w:rPr>
        <w:t>或</w:t>
      </w:r>
      <w:r>
        <w:rPr>
          <w:bCs/>
          <w:szCs w:val="21"/>
        </w:rPr>
        <w:t>“</w:t>
      </w:r>
      <w:r>
        <w:rPr>
          <w:bCs/>
          <w:szCs w:val="21"/>
        </w:rPr>
        <w:t>基金管理人</w:t>
      </w:r>
      <w:r>
        <w:rPr>
          <w:bCs/>
          <w:szCs w:val="21"/>
        </w:rPr>
        <w:t>”</w:t>
      </w:r>
      <w:r>
        <w:rPr>
          <w:bCs/>
          <w:szCs w:val="21"/>
        </w:rPr>
        <w:t>），基金托管人为招商银行股份有限公司，基金份额登记机构为中银基金管理有限公司。</w:t>
      </w:r>
    </w:p>
    <w:p w:rsidR="0011730D" w:rsidRDefault="00C01B90">
      <w:pPr>
        <w:numPr>
          <w:ilvl w:val="0"/>
          <w:numId w:val="1"/>
        </w:numPr>
        <w:adjustRightInd w:val="0"/>
        <w:spacing w:line="360" w:lineRule="auto"/>
        <w:ind w:left="0" w:firstLine="426"/>
        <w:contextualSpacing/>
        <w:textAlignment w:val="baseline"/>
        <w:rPr>
          <w:bCs/>
          <w:szCs w:val="21"/>
        </w:rPr>
      </w:pPr>
      <w:r>
        <w:rPr>
          <w:rFonts w:hint="eastAsia"/>
          <w:bCs/>
          <w:szCs w:val="21"/>
        </w:rPr>
        <w:t>本基金的募集对象为</w:t>
      </w:r>
      <w:r>
        <w:rPr>
          <w:bCs/>
          <w:szCs w:val="21"/>
        </w:rPr>
        <w:t>符合法律法规规定的可投资于证券投资基金的个人投资者、机构投资者、合格境外投资者、发起资金提供方以及法律法规或中国证监会允许购买证券投资基金的其他投资人。</w:t>
      </w:r>
    </w:p>
    <w:p w:rsidR="0011730D" w:rsidRDefault="00C01B90">
      <w:pPr>
        <w:numPr>
          <w:ilvl w:val="0"/>
          <w:numId w:val="1"/>
        </w:numPr>
        <w:adjustRightInd w:val="0"/>
        <w:spacing w:line="360" w:lineRule="auto"/>
        <w:ind w:left="0" w:firstLine="426"/>
        <w:contextualSpacing/>
        <w:textAlignment w:val="baseline"/>
        <w:rPr>
          <w:b/>
          <w:bCs/>
          <w:szCs w:val="21"/>
        </w:rPr>
      </w:pPr>
      <w:r>
        <w:t>本基金募集期限</w:t>
      </w:r>
      <w:r>
        <w:t>2026</w:t>
      </w:r>
      <w:r>
        <w:t>年</w:t>
      </w:r>
      <w:r>
        <w:t>1</w:t>
      </w:r>
      <w:r>
        <w:t>月</w:t>
      </w:r>
      <w:r>
        <w:t>13</w:t>
      </w:r>
      <w:r>
        <w:t>日，投资者可通过本公司</w:t>
      </w:r>
      <w:r>
        <w:rPr>
          <w:rFonts w:hint="eastAsia"/>
          <w:szCs w:val="21"/>
        </w:rPr>
        <w:t>基金管理人直销柜台、基金管理人电子直销平台、基金管理人指定的其他销售机构</w:t>
      </w:r>
      <w:r>
        <w:t>认购本基金。</w:t>
      </w:r>
    </w:p>
    <w:p w:rsidR="0011730D" w:rsidRDefault="00C01B90">
      <w:pPr>
        <w:numPr>
          <w:ilvl w:val="0"/>
          <w:numId w:val="1"/>
        </w:numPr>
        <w:tabs>
          <w:tab w:val="left" w:pos="0"/>
          <w:tab w:val="left" w:pos="709"/>
          <w:tab w:val="left" w:pos="851"/>
        </w:tabs>
        <w:adjustRightInd w:val="0"/>
        <w:spacing w:line="360" w:lineRule="auto"/>
        <w:ind w:left="0" w:firstLineChars="202" w:firstLine="424"/>
        <w:contextualSpacing/>
        <w:textAlignment w:val="baseline"/>
      </w:pPr>
      <w:r>
        <w:t>管理人有权根据募集情况设置募集上限，届时以管理人发布的相关公告为准。</w:t>
      </w:r>
    </w:p>
    <w:p w:rsidR="0011730D" w:rsidRDefault="00C01B90">
      <w:pPr>
        <w:numPr>
          <w:ilvl w:val="0"/>
          <w:numId w:val="1"/>
        </w:numPr>
        <w:tabs>
          <w:tab w:val="left" w:pos="0"/>
          <w:tab w:val="left" w:pos="709"/>
          <w:tab w:val="left" w:pos="851"/>
        </w:tabs>
        <w:adjustRightInd w:val="0"/>
        <w:spacing w:line="360" w:lineRule="auto"/>
        <w:ind w:left="0" w:firstLineChars="202" w:firstLine="424"/>
        <w:contextualSpacing/>
        <w:textAlignment w:val="baseline"/>
      </w:pPr>
      <w:r>
        <w:rPr>
          <w:rFonts w:hint="eastAsia"/>
        </w:rPr>
        <w:t>基金合同生效时，</w:t>
      </w:r>
      <w:r>
        <w:rPr>
          <w:rFonts w:hint="eastAsia"/>
          <w:kern w:val="0"/>
          <w:szCs w:val="21"/>
        </w:rPr>
        <w:t>有效认购款项在募集期间产生的利息将折算为基金份额归基金份额持有人所有，其中利息转份额的具体数额以登记机构的记录为准</w:t>
      </w:r>
      <w:r>
        <w:rPr>
          <w:rFonts w:hint="eastAsia"/>
        </w:rPr>
        <w:t>。</w:t>
      </w:r>
    </w:p>
    <w:p w:rsidR="0011730D" w:rsidRDefault="00C01B90">
      <w:pPr>
        <w:numPr>
          <w:ilvl w:val="0"/>
          <w:numId w:val="1"/>
        </w:numPr>
        <w:adjustRightInd w:val="0"/>
        <w:spacing w:line="360" w:lineRule="auto"/>
        <w:ind w:left="0" w:firstLine="426"/>
        <w:contextualSpacing/>
        <w:textAlignment w:val="baseline"/>
      </w:pPr>
      <w:r>
        <w:rPr>
          <w:rFonts w:hint="eastAsia"/>
          <w:bCs/>
          <w:kern w:val="0"/>
          <w:szCs w:val="21"/>
        </w:rPr>
        <w:t>基金销售机构对认购申请的受理并不代表该申请一定成功，而仅代表销售机构确实接收到认购申请。认购的确认以登记机构的确认结果为准</w:t>
      </w:r>
      <w:r>
        <w:rPr>
          <w:rFonts w:hint="eastAsia"/>
        </w:rPr>
        <w:t>。认购申请一经销售机构受理，不可撤销。投资者可在基金合同生效后到各销售网点或本基金客户服务中心查询认购申请的受理情况。</w:t>
      </w:r>
    </w:p>
    <w:p w:rsidR="0011730D" w:rsidRDefault="00C01B90">
      <w:pPr>
        <w:numPr>
          <w:ilvl w:val="0"/>
          <w:numId w:val="1"/>
        </w:numPr>
        <w:adjustRightInd w:val="0"/>
        <w:spacing w:line="360" w:lineRule="auto"/>
        <w:ind w:left="0" w:firstLine="426"/>
        <w:contextualSpacing/>
        <w:textAlignment w:val="baseline"/>
      </w:pPr>
      <w:r>
        <w:rPr>
          <w:rFonts w:hint="eastAsia"/>
          <w:kern w:val="0"/>
          <w:szCs w:val="21"/>
        </w:rPr>
        <w:t>投资人在首次认购本基金时，如尚未开立中银基金管理有限公司基金账户，需按销售机构的规定，提出开立中银基金管理有限公司基金账户和销售机构交易账户的申请。开户和认购申请可同时办理，一次性完成，但认购申请的确认须以开户确认成功为前提条件。一个投资人只能开立和使用一个基金账户，已经开立中银基金管理有限公司基金账户的投资人可免予开户申请。</w:t>
      </w:r>
    </w:p>
    <w:p w:rsidR="0011730D" w:rsidRDefault="00C01B90">
      <w:pPr>
        <w:adjustRightInd w:val="0"/>
        <w:spacing w:line="360" w:lineRule="auto"/>
        <w:ind w:firstLineChars="202" w:firstLine="424"/>
        <w:contextualSpacing/>
        <w:textAlignment w:val="baseline"/>
      </w:pPr>
      <w:r>
        <w:rPr>
          <w:rFonts w:hint="eastAsia"/>
          <w:kern w:val="0"/>
          <w:szCs w:val="21"/>
        </w:rPr>
        <w:t>投资人不得非法利用他人账户或资金进行认购，也不得违规融资或帮助他人违规进行认购。</w:t>
      </w:r>
    </w:p>
    <w:p w:rsidR="0011730D" w:rsidRDefault="00C01B90">
      <w:pPr>
        <w:numPr>
          <w:ilvl w:val="0"/>
          <w:numId w:val="1"/>
        </w:numPr>
        <w:adjustRightInd w:val="0"/>
        <w:spacing w:line="360" w:lineRule="auto"/>
        <w:ind w:left="0" w:firstLine="426"/>
        <w:contextualSpacing/>
        <w:textAlignment w:val="baseline"/>
      </w:pPr>
      <w:r>
        <w:rPr>
          <w:rFonts w:hint="eastAsia"/>
        </w:rPr>
        <w:t>本公告仅对本基金发售的有关事项和规定予以说明。投资者欲了解本基金的详细情况，请详细阅读</w:t>
      </w:r>
      <w:r>
        <w:rPr>
          <w:rFonts w:hint="eastAsia"/>
          <w:kern w:val="0"/>
          <w:szCs w:val="21"/>
        </w:rPr>
        <w:t>《</w:t>
      </w:r>
      <w:r>
        <w:rPr>
          <w:kern w:val="0"/>
          <w:szCs w:val="21"/>
        </w:rPr>
        <w:t>中银先锋半导体混合型发起式证券投资基金</w:t>
      </w:r>
      <w:r>
        <w:rPr>
          <w:rFonts w:hint="eastAsia"/>
          <w:kern w:val="0"/>
          <w:szCs w:val="21"/>
        </w:rPr>
        <w:t>招募说明书》</w:t>
      </w:r>
      <w:r>
        <w:rPr>
          <w:rFonts w:hint="eastAsia"/>
        </w:rPr>
        <w:t>。本基金的《基金合同》《招募说明书》及本公告将同时发布在本公司网站（</w:t>
      </w:r>
      <w:r>
        <w:t>www.bocim.com</w:t>
      </w:r>
      <w:r>
        <w:rPr>
          <w:rFonts w:hint="eastAsia"/>
        </w:rPr>
        <w:t>）和中国证监</w:t>
      </w:r>
      <w:r>
        <w:rPr>
          <w:rFonts w:hint="eastAsia"/>
        </w:rPr>
        <w:lastRenderedPageBreak/>
        <w:t>会基金电子披露网站（</w:t>
      </w:r>
      <w:r>
        <w:t>http://eid.csrc.gov.cn/fund</w:t>
      </w:r>
      <w:r>
        <w:rPr>
          <w:rFonts w:hint="eastAsia"/>
        </w:rPr>
        <w:t>），相关提示性公告与本公告将同时发布于《</w:t>
      </w:r>
      <w:r>
        <w:t>上海证券报</w:t>
      </w:r>
      <w:r>
        <w:rPr>
          <w:rFonts w:hint="eastAsia"/>
        </w:rPr>
        <w:t>》</w:t>
      </w:r>
      <w:r>
        <w:t>。投资者亦可通过本公司网站下载基金直销申请表格，了解基金发售相关事宜。</w:t>
      </w:r>
    </w:p>
    <w:p w:rsidR="0011730D" w:rsidRDefault="00C01B90">
      <w:pPr>
        <w:numPr>
          <w:ilvl w:val="0"/>
          <w:numId w:val="1"/>
        </w:numPr>
        <w:adjustRightInd w:val="0"/>
        <w:spacing w:line="360" w:lineRule="auto"/>
        <w:ind w:left="0" w:firstLine="426"/>
        <w:contextualSpacing/>
        <w:textAlignment w:val="baseline"/>
      </w:pPr>
      <w:r>
        <w:t>未开设销售网点的地方的投资者，可以拨打本公司的客户服务电话（</w:t>
      </w:r>
      <w:r>
        <w:t>021-38834788</w:t>
      </w:r>
      <w:r>
        <w:t>，</w:t>
      </w:r>
      <w:r>
        <w:t>400-888-5566</w:t>
      </w:r>
      <w:r>
        <w:t>）咨询购买事宜。</w:t>
      </w:r>
    </w:p>
    <w:p w:rsidR="0011730D" w:rsidRDefault="00C01B90">
      <w:pPr>
        <w:numPr>
          <w:ilvl w:val="0"/>
          <w:numId w:val="1"/>
        </w:numPr>
        <w:adjustRightInd w:val="0"/>
        <w:spacing w:line="360" w:lineRule="auto"/>
        <w:ind w:left="0" w:firstLine="426"/>
        <w:contextualSpacing/>
        <w:textAlignment w:val="baseline"/>
      </w:pPr>
      <w:r>
        <w:t>本基金募集期间，除本公告所列示的销售机构外，如增加或调整销售机构，本公司将另行在本公司网站公示</w:t>
      </w:r>
      <w:r>
        <w:rPr>
          <w:rFonts w:hint="eastAsia"/>
        </w:rPr>
        <w:t>或公告</w:t>
      </w:r>
      <w:r>
        <w:t>。各销售机构可能增加部分基金销售网点，具体网点名单及开户认购事项详见各销售机构有关公告或拨打各销售机构客户服务电话咨询，具体规定以各销售机构说明为准。</w:t>
      </w:r>
    </w:p>
    <w:p w:rsidR="0011730D" w:rsidRDefault="00C01B90">
      <w:pPr>
        <w:numPr>
          <w:ilvl w:val="0"/>
          <w:numId w:val="1"/>
        </w:numPr>
        <w:adjustRightInd w:val="0"/>
        <w:spacing w:line="360" w:lineRule="auto"/>
        <w:ind w:left="0" w:firstLine="426"/>
        <w:contextualSpacing/>
        <w:textAlignment w:val="baseline"/>
      </w:pPr>
      <w:r>
        <w:t>基金管理人可综合各种情况对募集安排做适当调整。</w:t>
      </w:r>
    </w:p>
    <w:p w:rsidR="0011730D" w:rsidRDefault="00C01B90">
      <w:pPr>
        <w:numPr>
          <w:ilvl w:val="0"/>
          <w:numId w:val="1"/>
        </w:numPr>
        <w:adjustRightInd w:val="0"/>
        <w:spacing w:line="360" w:lineRule="auto"/>
        <w:ind w:left="0" w:firstLine="426"/>
        <w:contextualSpacing/>
        <w:textAlignment w:val="baseline"/>
      </w:pPr>
      <w:r>
        <w:t>风险提示</w:t>
      </w:r>
    </w:p>
    <w:p w:rsidR="0011730D" w:rsidRDefault="00C01B90">
      <w:pPr>
        <w:pStyle w:val="a8"/>
        <w:spacing w:before="0" w:beforeAutospacing="0" w:after="0" w:afterAutospacing="0" w:line="360" w:lineRule="auto"/>
        <w:ind w:firstLine="426"/>
        <w:contextualSpacing/>
        <w:rPr>
          <w:rFonts w:ascii="Times New Roman" w:cs="Times New Roman"/>
          <w:kern w:val="2"/>
          <w:sz w:val="21"/>
        </w:rPr>
      </w:pPr>
      <w:r>
        <w:rPr>
          <w:rFonts w:ascii="Times New Roman" w:cs="Times New Roman"/>
          <w:kern w:val="2"/>
          <w:sz w:val="21"/>
        </w:rPr>
        <w:t>公开募集证券投资基金（以下简称</w:t>
      </w:r>
      <w:r>
        <w:rPr>
          <w:rFonts w:ascii="Times New Roman" w:cs="Times New Roman"/>
          <w:kern w:val="2"/>
          <w:sz w:val="21"/>
        </w:rPr>
        <w:t>“</w:t>
      </w:r>
      <w:r>
        <w:rPr>
          <w:rFonts w:ascii="Times New Roman" w:cs="Times New Roman"/>
          <w:kern w:val="2"/>
          <w:sz w:val="21"/>
        </w:rPr>
        <w:t>基金</w:t>
      </w:r>
      <w:r>
        <w:rPr>
          <w:rFonts w:ascii="Times New Roman" w:cs="Times New Roman"/>
          <w:kern w:val="2"/>
          <w:sz w:val="21"/>
        </w:rPr>
        <w:t>”</w:t>
      </w:r>
      <w:r>
        <w:rPr>
          <w:rFonts w:ascii="Times New Roman" w:cs="Times New Roman"/>
          <w:kern w:val="2"/>
          <w:sz w:val="21"/>
        </w:rPr>
        <w:t>）是一种长期投资工具，其主要功能是分散投资，降低投资单一证券所带来的个别风险。基金不同于银行储蓄等能够提供固定收益预期的金融工具，投资人购买基金产品时，既可能按其持有份额分享基金投资所产生的收益，也可能承担基金投资所带来的损失。</w:t>
      </w:r>
    </w:p>
    <w:p w:rsidR="0011730D" w:rsidRDefault="00C01B90">
      <w:pPr>
        <w:pStyle w:val="a8"/>
        <w:spacing w:before="0" w:beforeAutospacing="0" w:after="0" w:afterAutospacing="0" w:line="360" w:lineRule="auto"/>
        <w:ind w:firstLine="426"/>
        <w:contextualSpacing/>
        <w:rPr>
          <w:rFonts w:ascii="Times New Roman" w:cs="Times New Roman"/>
          <w:kern w:val="2"/>
          <w:sz w:val="21"/>
        </w:rPr>
      </w:pPr>
      <w:r>
        <w:rPr>
          <w:rFonts w:ascii="Times New Roman" w:cs="Times New Roman" w:hint="eastAsia"/>
          <w:kern w:val="2"/>
          <w:sz w:val="21"/>
        </w:rPr>
        <w:t>投资人在做出投资决策之前，请仔细阅读基金合同、基金招募说明书和基金产品资料概要等产品法律文件，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11730D" w:rsidRDefault="00C01B90">
      <w:pPr>
        <w:spacing w:line="360" w:lineRule="auto"/>
        <w:ind w:firstLineChars="200" w:firstLine="420"/>
        <w:contextualSpacing/>
      </w:pPr>
      <w:r>
        <w:rPr>
          <w:rFonts w:hint="eastAsia"/>
        </w:rPr>
        <w:t>依据投资对象的不同，基金分为股票基金、混合基金、债券基金、货币市场基金、基金中基金、商品基金等不同类型，投资人投资不同类型的基金将获得不同的收益预期，也将承担不同程度的风险。一般来说，基金的收益预期越高，投资人承担的风险也越大。</w:t>
      </w:r>
    </w:p>
    <w:p w:rsidR="0011730D" w:rsidRDefault="00C01B90">
      <w:pPr>
        <w:spacing w:line="360" w:lineRule="auto"/>
        <w:ind w:firstLine="420"/>
        <w:textAlignment w:val="baseline"/>
      </w:pPr>
      <w:r>
        <w:t>本基金为混合型基金，其预期收益及预期风险水平低于股票型基金，高于债券型基金和货币市场基金。</w:t>
      </w:r>
    </w:p>
    <w:p w:rsidR="0011730D" w:rsidRDefault="00C01B90">
      <w:pPr>
        <w:spacing w:line="360" w:lineRule="auto"/>
        <w:ind w:firstLine="420"/>
        <w:textAlignment w:val="baseline"/>
      </w:pPr>
      <w:r>
        <w:t>本基金若投资港股通标的股票，将面临需承担汇率风险、境外市场风险以及港股通机制下因投资环境、投资标的、市场制度以及交易规则等差异带来的特有风险。</w:t>
      </w:r>
    </w:p>
    <w:p w:rsidR="0011730D" w:rsidRDefault="00C01B90">
      <w:pPr>
        <w:spacing w:line="360" w:lineRule="auto"/>
        <w:ind w:firstLineChars="200" w:firstLine="420"/>
        <w:contextualSpacing/>
      </w:pPr>
      <w:r>
        <w:t>基金在投资运作过程中可能面临各种风险，既包括市场风险，也包括基金自身的管理风险、技术风险和合规风险等。巨额赎回风险是开放式基金所特有的一种风险，就本基金而言，即当本基金单个开放日的基金净赎回申请超过上一开放日基金总份额的</w:t>
      </w:r>
      <w:r>
        <w:t>10%</w:t>
      </w:r>
      <w:r>
        <w:t>，基金管理人可能采取流动性风险管理措施，投资人将可能无法及时赎回申请的全部基金份额，或赎回的款项可能延缓支付。</w:t>
      </w:r>
    </w:p>
    <w:p w:rsidR="0011730D" w:rsidRDefault="00C01B90">
      <w:pPr>
        <w:spacing w:line="360" w:lineRule="auto"/>
        <w:ind w:firstLineChars="200" w:firstLine="420"/>
        <w:contextualSpacing/>
        <w:rPr>
          <w:bCs/>
          <w:szCs w:val="21"/>
        </w:rPr>
      </w:pPr>
      <w:r>
        <w:t>投资本基金的风险主要包括市场风险、管理风险、流动性风险、</w:t>
      </w:r>
      <w:r>
        <w:rPr>
          <w:rFonts w:hint="eastAsia"/>
        </w:rPr>
        <w:t>特定风险</w:t>
      </w:r>
      <w:r>
        <w:t>等，具体内容请见《招募说明书》</w:t>
      </w:r>
      <w:r>
        <w:t>“</w:t>
      </w:r>
      <w:r>
        <w:t>风险揭示</w:t>
      </w:r>
      <w:r>
        <w:t>”</w:t>
      </w:r>
      <w:r>
        <w:t>部分的规定，请投资者认真阅读并关注</w:t>
      </w:r>
      <w:r>
        <w:t>“</w:t>
      </w:r>
      <w:r>
        <w:t>流动性风险</w:t>
      </w:r>
      <w:r>
        <w:t>”</w:t>
      </w:r>
      <w:r>
        <w:t>部分的</w:t>
      </w:r>
      <w:r>
        <w:rPr>
          <w:bCs/>
          <w:szCs w:val="21"/>
        </w:rPr>
        <w:t>基金申购、赎回安排，拟投资市场及资产的流动性风险评估，巨额赎回情形下的流动性风险管理措施，实施备用的流动性风险管理工具的情形、程序及对投资者的潜在影响等相关内容。</w:t>
      </w:r>
    </w:p>
    <w:p w:rsidR="0011730D" w:rsidRDefault="00C01B90">
      <w:pPr>
        <w:spacing w:line="360" w:lineRule="auto"/>
        <w:ind w:firstLineChars="200" w:firstLine="420"/>
      </w:pPr>
      <w:r>
        <w:t>本基金的特定风险包括：（</w:t>
      </w:r>
      <w:r>
        <w:t>1</w:t>
      </w:r>
      <w:r>
        <w:t>）基金合同自动终止风险。《基金合同》生效满</w:t>
      </w:r>
      <w:r>
        <w:t>3</w:t>
      </w:r>
      <w:r>
        <w:t>年之日，若基金资产规模低于</w:t>
      </w:r>
      <w:r>
        <w:t>2</w:t>
      </w:r>
      <w:r>
        <w:t>亿元，基金合同应当终止，且不得通过召开基金份额持有人大会的方式延续。若届时的法律法规或中国证监会规定发生变化，上述终止规定被取消、更改或补充，则本基金可以参照届时有效的法律法规或中国证监会规定执行。《基金合同》生效满</w:t>
      </w:r>
      <w:r>
        <w:t>3</w:t>
      </w:r>
      <w:r>
        <w:t>年后本基金继续存续的，连续</w:t>
      </w:r>
      <w:r>
        <w:t>50</w:t>
      </w:r>
      <w:r>
        <w:t>个工作日出现基金份额持有人数量不满</w:t>
      </w:r>
      <w:r>
        <w:t>200</w:t>
      </w:r>
      <w:r>
        <w:t>人或者基金资产净值低于</w:t>
      </w:r>
      <w:r>
        <w:t>5000</w:t>
      </w:r>
      <w:r>
        <w:t>万元情形的，基金管理人应当按照《基金合同》的约定程序进行清算并终止《基金合同》，并向中国证监会报告，但不需要召开基金份额持有人大会。故存在着基金无法继续存续的风险。（</w:t>
      </w:r>
      <w:r>
        <w:t>2</w:t>
      </w:r>
      <w:r>
        <w:t>）存托凭证的投资风险。本基金的投资范围包括存托凭证，若投资可能面临中国存托凭证价格大幅波动甚至出现较大亏损的风险，以及与创新企业、境外发行人、中国存托凭证发行机制以及交易机制等相关的风险。（</w:t>
      </w:r>
      <w:r>
        <w:t>3</w:t>
      </w:r>
      <w:r>
        <w:t>）港股通投资风险，包括港股交易失败风险、汇率风险、境外市场风险。（</w:t>
      </w:r>
      <w:r>
        <w:t>4</w:t>
      </w:r>
      <w:r>
        <w:t>）主题投资风险。本基金为主题型基金，投资标的高度集中于目标主题范围内的股票，故基金业绩表现除了受到股票和债券市场总体景气度的影响外，也很大程度上取决于主题投资机会的持续性和标的证券的未来表现，可能与市场总体表现存在较大的差异。（</w:t>
      </w:r>
      <w:r>
        <w:t>5</w:t>
      </w:r>
      <w:r>
        <w:t>）资产支持证券投资风险。本基金的投资范围包括资产支持证券。资产支持证券存在信用风险、利率风险、流动性风险、提前偿付风险、操作风险和法律风险等。（</w:t>
      </w:r>
      <w:r>
        <w:t>6</w:t>
      </w:r>
      <w:r>
        <w:t>）国债期货投资风险。本基金的投资范围包括国债期货，国债期货的投资可能面临市场风险、基差风险、流动性风险。（</w:t>
      </w:r>
      <w:r>
        <w:t>7</w:t>
      </w:r>
      <w:r>
        <w:t>）股指期货投资风险。本基金可按照基金合同的约定投资股指期货。期货市场与现货市场不同，采取保证金交易，风险较现货市场更高。虽然本基金对股指期货的投资仅限于现金管理和套期保值等用途，在极端情况下，期货市场波动仍可能对基金资产造成不良影响。（</w:t>
      </w:r>
      <w:r>
        <w:t>8</w:t>
      </w:r>
      <w:r>
        <w:t>）股票期权投资风险。本基金的投资范围包括股票期权。股票期权交易采用保证金交易的方式，投资者的潜在损失和收益都可能成倍放大，尤其是卖出开仓期权的投资者面临的损失总额可能超过其支付的全部初始保证金以及追加的保证金，具有杠杆性风险。在参与股票期权交易时，应当关注股票现货市场的价格波动、股票期权的价格波动和其他市场风险以及可能造成的损失。（</w:t>
      </w:r>
      <w:r>
        <w:t>9</w:t>
      </w:r>
      <w:r>
        <w:t>）可转换债券和可交换债券投资风险。本基金可投资于可转换债券和可交换债券，需要承担可转换债券和可交换债券市场的流动性风险、债券价格受所对应股票价格波动影响而波动的风险以及在转股期或换股期不能转股或换股的风险等。（</w:t>
      </w:r>
      <w:r>
        <w:t>10</w:t>
      </w:r>
      <w:r>
        <w:t>）债券回购风险。债券回购为提升基金组合收益提供了可能，但也存在一定的风险。例如：回购交易中，交易对手在回购到期时不能偿还全部或部分证券或价款，造成基金资产损失的风险；回购利率大于债券投资收益而导致的风险；由于回购操作导致投资总量放大，进而放大基金组合风险的风险；债券回购在对基金组合收益进行放大的同时，也放大了基金组合的波动性（标准差），基金组合的风险将会加大；回购比例越高，风险暴露程度也就越高，对基金净值造成损失的可能性也就越大。如发生债券回购交收违约，质押券可能面临被处置的风险，因处置价格、数量、时间等的不确定，可能会给基金资产造成损失。（</w:t>
      </w:r>
      <w:r>
        <w:t>11</w:t>
      </w:r>
      <w:r>
        <w:t>）浮动管理费模式相关风险。</w:t>
      </w:r>
      <w:r>
        <w:t>①</w:t>
      </w:r>
      <w:r>
        <w:t>本基金的管理费由固定管理费、或有管理费和超额管理费组成，其中或有管理费和超额管理费取决于每笔基金份额的持有时长和持有期间年化收益率水平（详见基金合同</w:t>
      </w:r>
      <w:r>
        <w:t>“</w:t>
      </w:r>
      <w:r>
        <w:t>第十五部分</w:t>
      </w:r>
      <w:r>
        <w:t xml:space="preserve"> </w:t>
      </w:r>
      <w:r>
        <w:t>基金费用与税收</w:t>
      </w:r>
      <w:r>
        <w:t>”</w:t>
      </w:r>
      <w:r>
        <w:t>），因此投资者在认</w:t>
      </w:r>
      <w:r>
        <w:t>/</w:t>
      </w:r>
      <w:r>
        <w:t>申购本基金时无法预先确定本基金的整体管理费水平。</w:t>
      </w:r>
      <w:r>
        <w:t>②</w:t>
      </w:r>
      <w:r>
        <w:t>由于本基金在计算基金份额净值时，按前一日基金资产净值的</w:t>
      </w:r>
      <w:r>
        <w:t>1.20%</w:t>
      </w:r>
      <w: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r>
        <w:t>③</w:t>
      </w:r>
      <w:r>
        <w:t>本基金采用浮动管理费的收费模式，不代表基金管理人对基金收益的保证。（</w:t>
      </w:r>
      <w:r>
        <w:t>12</w:t>
      </w:r>
      <w:r>
        <w:t>）基金投资者实际收到的赎回款项或清算款项的金额可能与按披露的基金份额净值计算的结果存在差异。投资者的实际赎回金额和清算资金以登记机构确认数据为准。</w:t>
      </w:r>
    </w:p>
    <w:p w:rsidR="0011730D" w:rsidRDefault="00C01B90">
      <w:pPr>
        <w:pStyle w:val="a8"/>
        <w:spacing w:before="0" w:beforeAutospacing="0" w:after="0" w:afterAutospacing="0" w:line="360" w:lineRule="auto"/>
        <w:ind w:firstLine="426"/>
        <w:contextualSpacing/>
        <w:rPr>
          <w:rFonts w:ascii="Times New Roman" w:cs="Times New Roman"/>
          <w:kern w:val="2"/>
          <w:sz w:val="21"/>
          <w:szCs w:val="20"/>
        </w:rPr>
      </w:pPr>
      <w:r>
        <w:rPr>
          <w:rFonts w:ascii="Times New Roman" w:cs="Times New Roman"/>
          <w:kern w:val="2"/>
          <w:sz w:val="21"/>
          <w:szCs w:val="20"/>
        </w:rPr>
        <w:t>投资人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11730D" w:rsidRDefault="00C01B90">
      <w:pPr>
        <w:pStyle w:val="a8"/>
        <w:spacing w:line="360" w:lineRule="auto"/>
        <w:ind w:firstLine="426"/>
        <w:contextualSpacing/>
        <w:rPr>
          <w:rFonts w:ascii="Times New Roman" w:cs="Times New Roman"/>
          <w:kern w:val="2"/>
          <w:sz w:val="21"/>
          <w:szCs w:val="20"/>
        </w:rPr>
      </w:pPr>
      <w:r>
        <w:rPr>
          <w:rFonts w:ascii="Times New Roman" w:cs="Times New Roman"/>
          <w:kern w:val="2"/>
          <w:sz w:val="21"/>
          <w:szCs w:val="20"/>
        </w:rPr>
        <w:t>基金管理人承诺以诚实信用、勤勉尽责的原则管理和运用基金资产，但不保证本基金一定盈利，也不保证最低收益。基金管理人管理的其他基金的业绩并不构成对本基金业绩表现的保证。基金管理人提醒投资人基金投资的</w:t>
      </w:r>
      <w:r>
        <w:rPr>
          <w:rFonts w:ascii="Times New Roman" w:cs="Times New Roman"/>
          <w:kern w:val="2"/>
          <w:sz w:val="21"/>
          <w:szCs w:val="20"/>
        </w:rPr>
        <w:t>“</w:t>
      </w:r>
      <w:r>
        <w:rPr>
          <w:rFonts w:ascii="Times New Roman" w:cs="Times New Roman"/>
          <w:kern w:val="2"/>
          <w:sz w:val="21"/>
          <w:szCs w:val="20"/>
        </w:rPr>
        <w:t>买者自负</w:t>
      </w:r>
      <w:r>
        <w:rPr>
          <w:rFonts w:ascii="Times New Roman" w:cs="Times New Roman"/>
          <w:kern w:val="2"/>
          <w:sz w:val="21"/>
          <w:szCs w:val="20"/>
        </w:rPr>
        <w:t>”</w:t>
      </w:r>
      <w:r>
        <w:rPr>
          <w:rFonts w:ascii="Times New Roman" w:cs="Times New Roman"/>
          <w:kern w:val="2"/>
          <w:sz w:val="21"/>
          <w:szCs w:val="20"/>
        </w:rPr>
        <w:t>原则，在做出投资决策后，基金运营状况与基金净值变化引致的投资风险，由投资人自行负担。基金管理人、基金托管人、基金销售机构及相关机构不对基金投资收益做出任何承诺或保证。</w:t>
      </w:r>
    </w:p>
    <w:p w:rsidR="0011730D" w:rsidRDefault="00C01B90">
      <w:pPr>
        <w:pStyle w:val="a8"/>
        <w:spacing w:line="360" w:lineRule="auto"/>
        <w:ind w:firstLine="426"/>
        <w:contextualSpacing/>
        <w:rPr>
          <w:rFonts w:ascii="Times New Roman" w:cs="Times New Roman"/>
          <w:color w:val="FF0000"/>
          <w:kern w:val="2"/>
          <w:sz w:val="21"/>
          <w:szCs w:val="20"/>
        </w:rPr>
      </w:pPr>
      <w:r>
        <w:rPr>
          <w:rFonts w:ascii="Times New Roman" w:cs="Times New Roman"/>
          <w:kern w:val="2"/>
          <w:sz w:val="21"/>
          <w:szCs w:val="20"/>
        </w:rPr>
        <w:t>本基金在认购期内按人民币</w:t>
      </w:r>
      <w:r>
        <w:rPr>
          <w:rFonts w:ascii="Times New Roman" w:cs="Times New Roman" w:hint="eastAsia"/>
          <w:kern w:val="2"/>
          <w:sz w:val="21"/>
          <w:szCs w:val="20"/>
        </w:rPr>
        <w:t>1.00</w:t>
      </w:r>
      <w:r>
        <w:rPr>
          <w:rFonts w:ascii="Times New Roman" w:cs="Times New Roman" w:hint="eastAsia"/>
          <w:kern w:val="2"/>
          <w:sz w:val="21"/>
          <w:szCs w:val="20"/>
        </w:rPr>
        <w:t>元的初始面值发售，在市场波动等因素的影响下，基金投资仍有可能出现亏损或基金净值仍有可能低于初始面值，并在少数极端市场情况下存在损失全部本金的风险。</w:t>
      </w:r>
    </w:p>
    <w:p w:rsidR="0011730D" w:rsidRDefault="00C01B90">
      <w:pPr>
        <w:pStyle w:val="a8"/>
        <w:spacing w:before="0" w:beforeAutospacing="0" w:after="0" w:afterAutospacing="0" w:line="360" w:lineRule="auto"/>
        <w:ind w:firstLine="426"/>
        <w:contextualSpacing/>
        <w:rPr>
          <w:rFonts w:ascii="Times New Roman" w:cs="Times New Roman"/>
          <w:kern w:val="2"/>
          <w:sz w:val="21"/>
          <w:szCs w:val="20"/>
        </w:rPr>
      </w:pPr>
      <w:r>
        <w:rPr>
          <w:rFonts w:ascii="Times New Roman" w:cs="Times New Roman" w:hint="eastAsia"/>
          <w:kern w:val="2"/>
          <w:sz w:val="21"/>
          <w:szCs w:val="20"/>
        </w:rPr>
        <w:t>投资人应当通过基金管理人或基金管理人指定的具有基金销售业务资格的其他机构购买和赎回基金，本基金销售机构名单详见基金管理人网站公示信息或</w:t>
      </w:r>
      <w:r>
        <w:rPr>
          <w:rFonts w:ascii="Times New Roman" w:cs="Times New Roman"/>
          <w:kern w:val="2"/>
          <w:sz w:val="21"/>
          <w:szCs w:val="20"/>
        </w:rPr>
        <w:t>管理人</w:t>
      </w:r>
      <w:r>
        <w:rPr>
          <w:rFonts w:ascii="Times New Roman" w:cs="Times New Roman" w:hint="eastAsia"/>
          <w:kern w:val="2"/>
          <w:sz w:val="21"/>
          <w:szCs w:val="20"/>
        </w:rPr>
        <w:t>公告。</w:t>
      </w: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3" w:name="_Toc346624922"/>
      <w:r>
        <w:rPr>
          <w:rFonts w:ascii="Times New Roman" w:eastAsia="宋体" w:hAnsi="Times New Roman"/>
          <w:kern w:val="44"/>
          <w:sz w:val="24"/>
          <w:szCs w:val="24"/>
        </w:rPr>
        <w:br w:type="page"/>
      </w:r>
      <w:r>
        <w:rPr>
          <w:rFonts w:ascii="Times New Roman" w:eastAsia="宋体" w:hAnsi="Times New Roman" w:hint="eastAsia"/>
          <w:kern w:val="44"/>
          <w:sz w:val="24"/>
          <w:szCs w:val="24"/>
        </w:rPr>
        <w:t>本次发售基本情况</w:t>
      </w:r>
      <w:bookmarkEnd w:id="313"/>
    </w:p>
    <w:p w:rsidR="0011730D" w:rsidRDefault="00C01B90">
      <w:pPr>
        <w:numPr>
          <w:ilvl w:val="0"/>
          <w:numId w:val="3"/>
        </w:numPr>
        <w:tabs>
          <w:tab w:val="left" w:pos="1134"/>
        </w:tabs>
        <w:adjustRightInd w:val="0"/>
        <w:spacing w:line="360" w:lineRule="auto"/>
        <w:ind w:hanging="198"/>
        <w:contextualSpacing/>
        <w:textAlignment w:val="baseline"/>
        <w:rPr>
          <w:b/>
        </w:rPr>
      </w:pPr>
      <w:r>
        <w:rPr>
          <w:rFonts w:hint="eastAsia"/>
          <w:b/>
        </w:rPr>
        <w:t>基金名称</w:t>
      </w:r>
    </w:p>
    <w:p w:rsidR="0011730D" w:rsidRDefault="00C01B90">
      <w:pPr>
        <w:pStyle w:val="ac"/>
        <w:tabs>
          <w:tab w:val="left" w:pos="624"/>
          <w:tab w:val="left" w:pos="1134"/>
        </w:tabs>
        <w:adjustRightInd w:val="0"/>
        <w:spacing w:line="360" w:lineRule="auto"/>
        <w:ind w:left="624" w:firstLineChars="0" w:firstLine="0"/>
        <w:contextualSpacing/>
        <w:textAlignment w:val="baseline"/>
      </w:pPr>
      <w:r>
        <w:t>中银先锋半导体混合型发起式证券投资基金</w:t>
      </w:r>
    </w:p>
    <w:p w:rsidR="0011730D" w:rsidRDefault="0011730D">
      <w:pPr>
        <w:tabs>
          <w:tab w:val="left" w:pos="624"/>
          <w:tab w:val="left" w:pos="1134"/>
        </w:tabs>
        <w:adjustRightInd w:val="0"/>
        <w:spacing w:line="360" w:lineRule="auto"/>
        <w:ind w:left="624"/>
        <w:contextualSpacing/>
        <w:textAlignment w:val="baseline"/>
        <w:rPr>
          <w:b/>
        </w:rPr>
      </w:pPr>
    </w:p>
    <w:p w:rsidR="0011730D" w:rsidRDefault="00C01B90">
      <w:pPr>
        <w:numPr>
          <w:ilvl w:val="0"/>
          <w:numId w:val="3"/>
        </w:numPr>
        <w:tabs>
          <w:tab w:val="left" w:pos="1134"/>
        </w:tabs>
        <w:adjustRightInd w:val="0"/>
        <w:spacing w:line="360" w:lineRule="auto"/>
        <w:ind w:hanging="198"/>
        <w:contextualSpacing/>
        <w:textAlignment w:val="baseline"/>
        <w:rPr>
          <w:b/>
        </w:rPr>
      </w:pPr>
      <w:r>
        <w:rPr>
          <w:rFonts w:hint="eastAsia"/>
          <w:b/>
        </w:rPr>
        <w:t>认购期间基金代码及简称</w:t>
      </w:r>
    </w:p>
    <w:p w:rsidR="0011730D" w:rsidRDefault="00C01B90">
      <w:pPr>
        <w:tabs>
          <w:tab w:val="left" w:pos="624"/>
          <w:tab w:val="left" w:pos="1134"/>
        </w:tabs>
        <w:adjustRightInd w:val="0"/>
        <w:spacing w:line="360" w:lineRule="auto"/>
        <w:ind w:left="624"/>
        <w:contextualSpacing/>
        <w:textAlignment w:val="baseline"/>
        <w:rPr>
          <w:b/>
        </w:rPr>
      </w:pPr>
      <w:r>
        <w:rPr>
          <w:rFonts w:hint="eastAsia"/>
        </w:rPr>
        <w:t>基金代码：</w:t>
      </w:r>
      <w:r>
        <w:t>A</w:t>
      </w:r>
      <w:r>
        <w:t>类基金份额</w:t>
      </w:r>
      <w:r>
        <w:t>026658,C</w:t>
      </w:r>
      <w:r>
        <w:t>类基金份额</w:t>
      </w:r>
      <w:r>
        <w:t>026659</w:t>
      </w:r>
    </w:p>
    <w:p w:rsidR="0011730D" w:rsidRDefault="00C01B90">
      <w:pPr>
        <w:tabs>
          <w:tab w:val="left" w:pos="624"/>
          <w:tab w:val="left" w:pos="1134"/>
        </w:tabs>
        <w:adjustRightInd w:val="0"/>
        <w:spacing w:line="360" w:lineRule="auto"/>
        <w:ind w:left="624"/>
        <w:contextualSpacing/>
        <w:textAlignment w:val="baseline"/>
        <w:rPr>
          <w:b/>
        </w:rPr>
      </w:pPr>
      <w:r>
        <w:rPr>
          <w:rFonts w:hint="eastAsia"/>
        </w:rPr>
        <w:t>基金简称：</w:t>
      </w:r>
      <w:r>
        <w:t>中银先锋半导体混合发起</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基金类别</w:t>
      </w:r>
    </w:p>
    <w:p w:rsidR="0011730D" w:rsidRDefault="00C01B90">
      <w:pPr>
        <w:tabs>
          <w:tab w:val="left" w:pos="624"/>
          <w:tab w:val="left" w:pos="1134"/>
        </w:tabs>
        <w:adjustRightInd w:val="0"/>
        <w:spacing w:line="360" w:lineRule="auto"/>
        <w:ind w:left="624"/>
        <w:contextualSpacing/>
        <w:textAlignment w:val="baseline"/>
      </w:pPr>
      <w:r>
        <w:t>混合型</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基金运作方式</w:t>
      </w:r>
    </w:p>
    <w:p w:rsidR="0011730D" w:rsidRDefault="00C01B90">
      <w:pPr>
        <w:tabs>
          <w:tab w:val="left" w:pos="624"/>
          <w:tab w:val="left" w:pos="1134"/>
        </w:tabs>
        <w:adjustRightInd w:val="0"/>
        <w:spacing w:line="360" w:lineRule="auto"/>
        <w:ind w:left="624"/>
        <w:contextualSpacing/>
        <w:textAlignment w:val="baseline"/>
      </w:pPr>
      <w:r>
        <w:t>契约型开放式</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基金存续期限</w:t>
      </w:r>
    </w:p>
    <w:p w:rsidR="0011730D" w:rsidRDefault="00C01B90">
      <w:pPr>
        <w:tabs>
          <w:tab w:val="left" w:pos="624"/>
          <w:tab w:val="left" w:pos="1134"/>
        </w:tabs>
        <w:adjustRightInd w:val="0"/>
        <w:spacing w:line="360" w:lineRule="auto"/>
        <w:ind w:left="624"/>
        <w:contextualSpacing/>
        <w:textAlignment w:val="baseline"/>
      </w:pPr>
      <w:r>
        <w:t>不定期</w:t>
      </w:r>
    </w:p>
    <w:p w:rsidR="0011730D" w:rsidRDefault="0011730D">
      <w:pPr>
        <w:spacing w:line="360" w:lineRule="auto"/>
        <w:ind w:firstLineChars="200" w:firstLine="422"/>
        <w:contextualSpacing/>
        <w:rPr>
          <w:b/>
        </w:rPr>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基金份额面值</w:t>
      </w:r>
    </w:p>
    <w:p w:rsidR="0011730D" w:rsidRDefault="00C01B90">
      <w:pPr>
        <w:tabs>
          <w:tab w:val="left" w:pos="624"/>
          <w:tab w:val="left" w:pos="1134"/>
        </w:tabs>
        <w:adjustRightInd w:val="0"/>
        <w:spacing w:line="360" w:lineRule="auto"/>
        <w:ind w:left="624"/>
        <w:contextualSpacing/>
        <w:textAlignment w:val="baseline"/>
      </w:pPr>
      <w:r>
        <w:rPr>
          <w:rFonts w:hint="eastAsia"/>
        </w:rPr>
        <w:t>本基金基金份额发售面值为人民币</w:t>
      </w:r>
      <w:r>
        <w:t>1.00</w:t>
      </w:r>
      <w:r>
        <w:t>元</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rFonts w:hint="eastAsia"/>
          <w:b/>
        </w:rPr>
        <w:t>基金的投资目标</w:t>
      </w:r>
    </w:p>
    <w:p w:rsidR="0011730D" w:rsidRDefault="00C01B90">
      <w:pPr>
        <w:tabs>
          <w:tab w:val="left" w:pos="624"/>
          <w:tab w:val="left" w:pos="1134"/>
        </w:tabs>
        <w:adjustRightInd w:val="0"/>
        <w:spacing w:line="360" w:lineRule="auto"/>
        <w:ind w:firstLineChars="200" w:firstLine="420"/>
        <w:contextualSpacing/>
        <w:textAlignment w:val="baseline"/>
      </w:pPr>
      <w:r>
        <w:t>本基金主要投资于先锋半导体主题相关的资产，力争为基金份额持有人获得超越业绩比较基准的收益。</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投资范围</w:t>
      </w:r>
    </w:p>
    <w:p w:rsidR="0011730D" w:rsidRDefault="00C01B90">
      <w:pPr>
        <w:spacing w:line="360" w:lineRule="auto"/>
        <w:ind w:firstLine="420"/>
        <w:textAlignment w:val="baseline"/>
      </w:pPr>
      <w:r>
        <w:t>本基金的投资范围为具有良好流动性的金融工具，包括国内依法发行上市的股票（含主板、创业板及其他经中国证监会允许上市的股票、存托凭证）、港股通标的股票、债券（包括国债、央行票据、金融债券、企业债券、公司债券、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rsidR="0011730D" w:rsidRDefault="00C01B90">
      <w:pPr>
        <w:spacing w:line="360" w:lineRule="auto"/>
        <w:ind w:firstLine="420"/>
        <w:textAlignment w:val="baseline"/>
      </w:pPr>
      <w:r>
        <w:t>如法律法规或监管机构以后允许基金投资其他品种，基金管理人在履行适当程序后，可以将其纳入投资范围。</w:t>
      </w:r>
    </w:p>
    <w:p w:rsidR="0011730D" w:rsidRDefault="00C01B90">
      <w:pPr>
        <w:spacing w:line="360" w:lineRule="auto"/>
        <w:ind w:firstLine="420"/>
        <w:textAlignment w:val="baseline"/>
      </w:pPr>
      <w:r>
        <w:t>本基金股票及存托凭证投资占基金资产的比例范围为</w:t>
      </w:r>
      <w:r>
        <w:t>60%-95%</w:t>
      </w:r>
      <w:r>
        <w:t>（其中投资于港股通标的股票占股票资产的比例不超过</w:t>
      </w:r>
      <w:r>
        <w:t>50%</w:t>
      </w:r>
      <w:r>
        <w:t>），其中投资于先锋半导体主题股票的比例不低于非现金基金资产的</w:t>
      </w:r>
      <w:r>
        <w:t>80%</w:t>
      </w:r>
      <w:r>
        <w:t>。每个交易日日终在扣除股指期货、国债期货和股票期权合约需缴纳的交易保证金后，本基金保留的现金或投资于到期日在一年以内的政府债券的比例合计不低于基金资产净值的</w:t>
      </w:r>
      <w:r>
        <w:t>5%</w:t>
      </w:r>
      <w:r>
        <w:t>。其中现金不包括结算备付金、存出保证金、应收申购款等。</w:t>
      </w:r>
    </w:p>
    <w:p w:rsidR="0011730D" w:rsidRDefault="00C01B90">
      <w:pPr>
        <w:spacing w:line="360" w:lineRule="auto"/>
        <w:ind w:firstLine="420"/>
        <w:textAlignment w:val="baseline"/>
      </w:pPr>
      <w:r>
        <w:t>如果法律法规或中国证监会变更投资品种的投资比例限制，基金管理人在履行适当程序后，可以调整上述投资品种的投资比例。</w:t>
      </w:r>
    </w:p>
    <w:p w:rsidR="0011730D" w:rsidRDefault="0011730D">
      <w:pPr>
        <w:spacing w:line="360" w:lineRule="auto"/>
        <w:ind w:firstLineChars="200" w:firstLine="420"/>
        <w:contextualSpacing/>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募集对象</w:t>
      </w:r>
    </w:p>
    <w:p w:rsidR="0011730D" w:rsidRDefault="00C01B90">
      <w:pPr>
        <w:tabs>
          <w:tab w:val="left" w:pos="624"/>
          <w:tab w:val="left" w:pos="1134"/>
        </w:tabs>
        <w:adjustRightInd w:val="0"/>
        <w:spacing w:line="360" w:lineRule="auto"/>
        <w:ind w:firstLineChars="200" w:firstLine="420"/>
        <w:contextualSpacing/>
        <w:textAlignment w:val="baseline"/>
      </w:pPr>
      <w:r>
        <w:t>符合法律法规规定的可投资于证券投资基金的个人投资者、机构投资者、合格境外投资者、发起资金提供方以及法律法规或中国证监会允许购买证券投资基金的其他投资人。</w:t>
      </w:r>
    </w:p>
    <w:p w:rsidR="0011730D" w:rsidRDefault="0011730D">
      <w:pPr>
        <w:tabs>
          <w:tab w:val="left" w:pos="624"/>
        </w:tabs>
        <w:adjustRightInd w:val="0"/>
        <w:spacing w:line="360" w:lineRule="auto"/>
        <w:ind w:firstLineChars="200" w:firstLine="422"/>
        <w:contextualSpacing/>
        <w:textAlignment w:val="baseline"/>
        <w:rPr>
          <w:b/>
          <w:bCs/>
          <w:szCs w:val="21"/>
        </w:rPr>
      </w:pPr>
    </w:p>
    <w:p w:rsidR="0011730D" w:rsidRDefault="00C01B90">
      <w:pPr>
        <w:numPr>
          <w:ilvl w:val="0"/>
          <w:numId w:val="3"/>
        </w:numPr>
        <w:tabs>
          <w:tab w:val="left" w:pos="1134"/>
        </w:tabs>
        <w:adjustRightInd w:val="0"/>
        <w:spacing w:line="360" w:lineRule="auto"/>
        <w:ind w:hanging="198"/>
        <w:contextualSpacing/>
        <w:textAlignment w:val="baseline"/>
        <w:rPr>
          <w:b/>
        </w:rPr>
      </w:pPr>
      <w:r>
        <w:rPr>
          <w:b/>
        </w:rPr>
        <w:t>基金份额类别</w:t>
      </w:r>
    </w:p>
    <w:p w:rsidR="0011730D" w:rsidRDefault="00C01B90">
      <w:pPr>
        <w:spacing w:line="360" w:lineRule="auto"/>
        <w:ind w:firstLine="420"/>
        <w:textAlignment w:val="baseline"/>
      </w:pPr>
      <w:r>
        <w:t>本基金按照收费方式的不同将本基金分为</w:t>
      </w:r>
      <w:r>
        <w:t>A</w:t>
      </w:r>
      <w:r>
        <w:t>类、</w:t>
      </w:r>
      <w:r>
        <w:t>C</w:t>
      </w:r>
      <w:r>
        <w:t>类两类基金份额。在投资者认购</w:t>
      </w:r>
      <w:r>
        <w:t>/</w:t>
      </w:r>
      <w:r>
        <w:t>申购时收取认购</w:t>
      </w:r>
      <w:r>
        <w:t>/</w:t>
      </w:r>
      <w:r>
        <w:t>申购费用，但不从本类别基金资产中计提销售服务费的，称为</w:t>
      </w:r>
      <w:r>
        <w:t>A</w:t>
      </w:r>
      <w:r>
        <w:t>类基金份额，其中，通过基金管理人认购</w:t>
      </w:r>
      <w:r>
        <w:t>/</w:t>
      </w:r>
      <w:r>
        <w:t>申购</w:t>
      </w:r>
      <w:r>
        <w:t>A</w:t>
      </w:r>
      <w:r>
        <w:t>类基金份额的不收取认购</w:t>
      </w:r>
      <w:r>
        <w:t>/</w:t>
      </w:r>
      <w:r>
        <w:t>申购费用；在投资者认购</w:t>
      </w:r>
      <w:r>
        <w:t>/</w:t>
      </w:r>
      <w:r>
        <w:t>申购时不收取认购</w:t>
      </w:r>
      <w:r>
        <w:t>/</w:t>
      </w:r>
      <w:r>
        <w:t>申购费用，而是从本类别基金资产中计提销售服务费的，称为</w:t>
      </w:r>
      <w:r>
        <w:t>C</w:t>
      </w:r>
      <w:r>
        <w:t>类基金份额，其中，通过基金管理人认购</w:t>
      </w:r>
      <w:r>
        <w:t>/</w:t>
      </w:r>
      <w:r>
        <w:t>申购</w:t>
      </w:r>
      <w:r>
        <w:t>C</w:t>
      </w:r>
      <w:r>
        <w:t>类基金份额的不收取销售服务费；投资者持续持有期限超过一年的</w:t>
      </w:r>
      <w:r>
        <w:t>C</w:t>
      </w:r>
      <w:r>
        <w:t>类基金份额，不再继续收取销售服务费。两类基金份额单独设置基金代码，本基金</w:t>
      </w:r>
      <w:r>
        <w:t>A</w:t>
      </w:r>
      <w:r>
        <w:t>类基金份额和</w:t>
      </w:r>
      <w:r>
        <w:t>C</w:t>
      </w:r>
      <w:r>
        <w:t>类基金份额将分别计算基金份额净值并分别公告，计算公式为计算日各类别基金资产净值除以计算日该类别基金份额总数。相关规则详见基金管理人的相关公告及更新的招募说明书。</w:t>
      </w:r>
    </w:p>
    <w:p w:rsidR="0011730D" w:rsidRDefault="00C01B90">
      <w:pPr>
        <w:spacing w:line="360" w:lineRule="auto"/>
        <w:ind w:firstLine="420"/>
        <w:textAlignment w:val="baseline"/>
      </w:pPr>
      <w:r>
        <w:t>根据基金销售情况，基金管理人可在不违反法律法规规定及基金合同约定且对已有基金份额持有人利益无实质性不利影响的情况下，经与基金托管人协商一致，在履行适当程序后增加新的基金份额类别、调整现有基金份额类别收费方式或者停止现有基金份额类别的销售等，无需召开基金份额持有人大会，但基金管理人需及时公告。</w:t>
      </w:r>
      <w:r>
        <w:t xml:space="preserve"> </w:t>
      </w:r>
    </w:p>
    <w:p w:rsidR="0011730D" w:rsidRDefault="00C01B90">
      <w:pPr>
        <w:spacing w:line="360" w:lineRule="auto"/>
        <w:ind w:firstLine="420"/>
        <w:textAlignment w:val="baseline"/>
      </w:pPr>
      <w:r>
        <w:t>投资者可自行选择认购</w:t>
      </w:r>
      <w:r>
        <w:t>/</w:t>
      </w:r>
      <w:r>
        <w:t>申购基金份额类别。</w:t>
      </w:r>
    </w:p>
    <w:p w:rsidR="0011730D" w:rsidRDefault="0011730D">
      <w:pPr>
        <w:spacing w:line="360" w:lineRule="auto"/>
        <w:ind w:firstLineChars="200" w:firstLine="420"/>
        <w:contextualSpacing/>
        <w:rPr>
          <w:bCs/>
          <w:szCs w:val="21"/>
        </w:rPr>
      </w:pPr>
    </w:p>
    <w:p w:rsidR="0011730D" w:rsidRDefault="00C01B90">
      <w:pPr>
        <w:numPr>
          <w:ilvl w:val="0"/>
          <w:numId w:val="3"/>
        </w:numPr>
        <w:tabs>
          <w:tab w:val="left" w:pos="1134"/>
          <w:tab w:val="left" w:pos="1418"/>
        </w:tabs>
        <w:adjustRightInd w:val="0"/>
        <w:spacing w:line="360" w:lineRule="auto"/>
        <w:ind w:hanging="198"/>
        <w:contextualSpacing/>
        <w:textAlignment w:val="baseline"/>
        <w:rPr>
          <w:b/>
        </w:rPr>
      </w:pPr>
      <w:r>
        <w:rPr>
          <w:b/>
        </w:rPr>
        <w:t>最低募集份额总额</w:t>
      </w:r>
    </w:p>
    <w:p w:rsidR="0011730D" w:rsidRDefault="00C01B90">
      <w:pPr>
        <w:tabs>
          <w:tab w:val="left" w:pos="624"/>
          <w:tab w:val="left" w:pos="1134"/>
        </w:tabs>
        <w:adjustRightInd w:val="0"/>
        <w:spacing w:line="360" w:lineRule="auto"/>
        <w:ind w:firstLineChars="200" w:firstLine="420"/>
        <w:contextualSpacing/>
        <w:textAlignment w:val="baseline"/>
      </w:pPr>
      <w:r>
        <w:t>本基金的最低募集份额总额为</w:t>
      </w:r>
      <w:r>
        <w:t>1000</w:t>
      </w:r>
      <w:r>
        <w:t>万份。</w:t>
      </w:r>
    </w:p>
    <w:p w:rsidR="0011730D" w:rsidRDefault="0011730D">
      <w:pPr>
        <w:spacing w:line="360" w:lineRule="auto"/>
        <w:ind w:firstLineChars="200" w:firstLine="420"/>
        <w:contextualSpacing/>
      </w:pPr>
    </w:p>
    <w:p w:rsidR="0011730D" w:rsidRDefault="00C01B90">
      <w:pPr>
        <w:numPr>
          <w:ilvl w:val="0"/>
          <w:numId w:val="3"/>
        </w:numPr>
        <w:tabs>
          <w:tab w:val="left" w:pos="1134"/>
          <w:tab w:val="left" w:pos="1418"/>
        </w:tabs>
        <w:adjustRightInd w:val="0"/>
        <w:spacing w:line="360" w:lineRule="auto"/>
        <w:ind w:hanging="198"/>
        <w:contextualSpacing/>
        <w:textAlignment w:val="baseline"/>
        <w:rPr>
          <w:b/>
        </w:rPr>
      </w:pPr>
      <w:r>
        <w:rPr>
          <w:b/>
        </w:rPr>
        <w:t>发售时间安排</w:t>
      </w:r>
    </w:p>
    <w:p w:rsidR="0011730D" w:rsidRDefault="00C01B90">
      <w:pPr>
        <w:spacing w:line="360" w:lineRule="auto"/>
        <w:ind w:firstLineChars="200" w:firstLine="420"/>
        <w:contextualSpacing/>
      </w:pPr>
      <w:r>
        <w:t>本基金募集期为</w:t>
      </w:r>
      <w:r>
        <w:t>2026</w:t>
      </w:r>
      <w:r>
        <w:t>年</w:t>
      </w:r>
      <w:r>
        <w:t>1</w:t>
      </w:r>
      <w:r>
        <w:t>月</w:t>
      </w:r>
      <w:r>
        <w:t>13</w:t>
      </w:r>
      <w:r>
        <w:t>日。</w:t>
      </w:r>
    </w:p>
    <w:p w:rsidR="0011730D" w:rsidRDefault="00C01B90">
      <w:pPr>
        <w:spacing w:line="360" w:lineRule="auto"/>
        <w:ind w:firstLineChars="200" w:firstLine="420"/>
        <w:contextualSpacing/>
      </w:pPr>
      <w:r>
        <w:t>基金管理人可综合各种情况对募集期限做适当调整，但整个募集期限自基金份额发售之日起不超过三个月。</w:t>
      </w:r>
    </w:p>
    <w:p w:rsidR="0011730D" w:rsidRDefault="0011730D">
      <w:pPr>
        <w:spacing w:line="360" w:lineRule="auto"/>
        <w:ind w:firstLineChars="200" w:firstLine="420"/>
        <w:contextualSpacing/>
      </w:pP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4" w:name="_Toc346624923"/>
      <w:r>
        <w:rPr>
          <w:rFonts w:ascii="Times New Roman" w:eastAsia="宋体" w:hAnsi="Times New Roman"/>
          <w:kern w:val="44"/>
          <w:sz w:val="24"/>
          <w:szCs w:val="24"/>
        </w:rPr>
        <w:t>发售方式与相关规定</w:t>
      </w:r>
      <w:bookmarkEnd w:id="314"/>
    </w:p>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b/>
        </w:rPr>
        <w:t>发售方式</w:t>
      </w:r>
    </w:p>
    <w:p w:rsidR="0011730D" w:rsidRDefault="00C01B90">
      <w:pPr>
        <w:spacing w:line="360" w:lineRule="auto"/>
        <w:ind w:firstLineChars="200" w:firstLine="420"/>
        <w:contextualSpacing/>
      </w:pPr>
      <w:r>
        <w:rPr>
          <w:rFonts w:hint="eastAsia"/>
          <w:szCs w:val="21"/>
        </w:rPr>
        <w:t>通过各基金销售网点</w:t>
      </w:r>
      <w:r>
        <w:rPr>
          <w:rFonts w:hint="eastAsia"/>
        </w:rPr>
        <w:t>公开发售。</w:t>
      </w:r>
    </w:p>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rFonts w:hint="eastAsia"/>
          <w:b/>
        </w:rPr>
        <w:t>认购程序</w:t>
      </w:r>
    </w:p>
    <w:p w:rsidR="0011730D" w:rsidRDefault="00C01B90">
      <w:pPr>
        <w:adjustRightInd w:val="0"/>
        <w:spacing w:line="360" w:lineRule="auto"/>
        <w:ind w:firstLineChars="200" w:firstLine="420"/>
        <w:contextualSpacing/>
        <w:textAlignment w:val="baseline"/>
      </w:pPr>
      <w:r>
        <w:rPr>
          <w:rFonts w:hint="eastAsia"/>
        </w:rPr>
        <w:t>投资人认购时间安排，认购时应提交的文件和办理的手续，可咨询销售机构各基金销售网点的经办人员。</w:t>
      </w:r>
    </w:p>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rFonts w:hint="eastAsia"/>
          <w:b/>
        </w:rPr>
        <w:t>认购方式及确认</w:t>
      </w:r>
    </w:p>
    <w:p w:rsidR="0011730D" w:rsidRDefault="00C01B90">
      <w:pPr>
        <w:numPr>
          <w:ilvl w:val="0"/>
          <w:numId w:val="5"/>
        </w:numPr>
        <w:adjustRightInd w:val="0"/>
        <w:spacing w:line="360" w:lineRule="auto"/>
        <w:ind w:left="0" w:firstLine="420"/>
        <w:contextualSpacing/>
        <w:textAlignment w:val="baseline"/>
      </w:pPr>
      <w:r>
        <w:rPr>
          <w:rFonts w:hint="eastAsia"/>
        </w:rPr>
        <w:t>本基金的认购采用金额认购方式。</w:t>
      </w:r>
    </w:p>
    <w:p w:rsidR="0011730D" w:rsidRDefault="00C01B90">
      <w:pPr>
        <w:numPr>
          <w:ilvl w:val="0"/>
          <w:numId w:val="5"/>
        </w:numPr>
        <w:adjustRightInd w:val="0"/>
        <w:spacing w:line="360" w:lineRule="auto"/>
        <w:ind w:left="0" w:firstLine="420"/>
        <w:contextualSpacing/>
        <w:textAlignment w:val="baseline"/>
      </w:pPr>
      <w:r>
        <w:rPr>
          <w:rFonts w:hint="eastAsia"/>
        </w:rPr>
        <w:t>基金销售机构对认购申请的受理并不代表该申请一定成功，而仅代表销售机构确实接收到认购申请。认购的确认以登记机构的确认结果为准。投资者可在基金合同生效后到各销售网点或本公司客户服务中心查询认购申请的受理情况。</w:t>
      </w:r>
    </w:p>
    <w:p w:rsidR="0011730D" w:rsidRDefault="00C01B90">
      <w:pPr>
        <w:numPr>
          <w:ilvl w:val="0"/>
          <w:numId w:val="5"/>
        </w:numPr>
        <w:adjustRightInd w:val="0"/>
        <w:spacing w:line="360" w:lineRule="auto"/>
        <w:ind w:left="0" w:firstLine="420"/>
        <w:contextualSpacing/>
        <w:textAlignment w:val="baseline"/>
      </w:pPr>
      <w:r>
        <w:rPr>
          <w:rFonts w:hint="eastAsia"/>
        </w:rPr>
        <w:t>基金投资人在募集期内可以多次认购，认购一经受理不得撤销。</w:t>
      </w:r>
    </w:p>
    <w:p w:rsidR="0011730D" w:rsidRDefault="00C01B90">
      <w:pPr>
        <w:numPr>
          <w:ilvl w:val="0"/>
          <w:numId w:val="5"/>
        </w:numPr>
        <w:adjustRightInd w:val="0"/>
        <w:spacing w:line="360" w:lineRule="auto"/>
        <w:ind w:left="0" w:firstLine="420"/>
        <w:contextualSpacing/>
        <w:textAlignment w:val="baseline"/>
      </w:pPr>
      <w:r>
        <w:rPr>
          <w:rFonts w:hint="eastAsia"/>
        </w:rPr>
        <w:t>若投资人的认购申请被确认无效，基金管理人应当将投资人认购金额本金足额退还投资者。</w:t>
      </w:r>
    </w:p>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rFonts w:hint="eastAsia"/>
          <w:b/>
        </w:rPr>
        <w:t>认购费率</w:t>
      </w:r>
    </w:p>
    <w:p w:rsidR="0011730D" w:rsidRDefault="00C01B90">
      <w:pPr>
        <w:spacing w:line="360" w:lineRule="auto"/>
        <w:ind w:firstLine="420"/>
        <w:textAlignment w:val="baseline"/>
      </w:pPr>
      <w:r>
        <w:t>投资人认购本基金</w:t>
      </w:r>
      <w:r>
        <w:t>A</w:t>
      </w:r>
      <w:r>
        <w:t>类基金份额收取认购费用，认购本基金</w:t>
      </w:r>
      <w:r>
        <w:t>C</w:t>
      </w:r>
      <w:r>
        <w:t>类基金份额不收取认购费用，而是从本类别基金资产中计提销售服务费。本基金</w:t>
      </w:r>
      <w:r>
        <w:t>A</w:t>
      </w:r>
      <w:r>
        <w:t>类基金份额的认购费用不列入基金财产，主要用于基金的市场推广、销售、登记等募集期间发生的各项费用。本基金</w:t>
      </w:r>
      <w:r>
        <w:t>A</w:t>
      </w:r>
      <w:r>
        <w:t>类基金份额的认购费率如下：</w:t>
      </w:r>
    </w:p>
    <w:p w:rsidR="0011730D" w:rsidRDefault="00C01B90">
      <w:pPr>
        <w:spacing w:line="360" w:lineRule="auto"/>
        <w:ind w:firstLine="420"/>
        <w:textAlignment w:val="baseline"/>
      </w:pPr>
      <w:r>
        <w:t>投资者通过基金管理人认购本基金</w:t>
      </w:r>
      <w:r>
        <w:t>A</w:t>
      </w:r>
      <w:r>
        <w:t>类基金份额的，不收取认购费。</w:t>
      </w:r>
    </w:p>
    <w:tbl>
      <w:tblPr>
        <w:tblpPr w:leftFromText="180" w:rightFromText="180" w:vertAnchor="text" w:horzAnchor="page" w:tblpX="1801"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5"/>
        <w:gridCol w:w="2765"/>
        <w:gridCol w:w="2766"/>
      </w:tblGrid>
      <w:tr w:rsidR="0011730D">
        <w:tc>
          <w:tcPr>
            <w:tcW w:w="2765" w:type="dxa"/>
          </w:tcPr>
          <w:p w:rsidR="0011730D" w:rsidRDefault="00C01B90">
            <w:pPr>
              <w:tabs>
                <w:tab w:val="left" w:pos="0"/>
              </w:tabs>
              <w:spacing w:line="360" w:lineRule="auto"/>
              <w:contextualSpacing/>
              <w:rPr>
                <w:rFonts w:ascii="仿宋_GB2312" w:eastAsia="仿宋_GB2312" w:cs="宋体"/>
                <w:szCs w:val="21"/>
              </w:rPr>
            </w:pPr>
            <w:r>
              <w:rPr>
                <w:rFonts w:ascii="仿宋_GB2312" w:eastAsia="仿宋_GB2312" w:cs="宋体"/>
                <w:szCs w:val="21"/>
              </w:rPr>
              <w:t>份额类别</w:t>
            </w:r>
          </w:p>
        </w:tc>
        <w:tc>
          <w:tcPr>
            <w:tcW w:w="2765" w:type="dxa"/>
          </w:tcPr>
          <w:p w:rsidR="0011730D" w:rsidRDefault="00C01B90">
            <w:pPr>
              <w:tabs>
                <w:tab w:val="left" w:pos="0"/>
              </w:tabs>
              <w:spacing w:line="360" w:lineRule="auto"/>
              <w:contextualSpacing/>
              <w:rPr>
                <w:rFonts w:ascii="仿宋_GB2312" w:eastAsia="仿宋_GB2312" w:cs="宋体"/>
                <w:szCs w:val="21"/>
              </w:rPr>
            </w:pPr>
            <w:r>
              <w:rPr>
                <w:rFonts w:ascii="仿宋_GB2312" w:eastAsia="仿宋_GB2312" w:cs="宋体"/>
                <w:szCs w:val="21"/>
              </w:rPr>
              <w:t>单笔认购金额（</w:t>
            </w:r>
            <w:r>
              <w:rPr>
                <w:rFonts w:ascii="仿宋_GB2312" w:eastAsia="仿宋_GB2312" w:cs="宋体" w:hint="eastAsia"/>
                <w:szCs w:val="21"/>
              </w:rPr>
              <w:t>M</w:t>
            </w:r>
            <w:r>
              <w:rPr>
                <w:rFonts w:ascii="仿宋_GB2312" w:eastAsia="仿宋_GB2312" w:cs="宋体"/>
                <w:szCs w:val="21"/>
              </w:rPr>
              <w:t>）</w:t>
            </w:r>
          </w:p>
        </w:tc>
        <w:tc>
          <w:tcPr>
            <w:tcW w:w="2766" w:type="dxa"/>
          </w:tcPr>
          <w:p w:rsidR="0011730D" w:rsidRDefault="00C01B90">
            <w:pPr>
              <w:tabs>
                <w:tab w:val="left" w:pos="0"/>
              </w:tabs>
              <w:spacing w:line="360" w:lineRule="auto"/>
              <w:contextualSpacing/>
              <w:rPr>
                <w:rFonts w:ascii="仿宋_GB2312" w:eastAsia="仿宋_GB2312" w:cs="宋体"/>
                <w:szCs w:val="21"/>
              </w:rPr>
            </w:pPr>
            <w:r>
              <w:rPr>
                <w:rFonts w:ascii="仿宋_GB2312" w:eastAsia="仿宋_GB2312" w:cs="宋体"/>
                <w:szCs w:val="21"/>
              </w:rPr>
              <w:t>认购费率</w:t>
            </w:r>
          </w:p>
        </w:tc>
      </w:tr>
      <w:tr w:rsidR="0011730D">
        <w:tc>
          <w:tcPr>
            <w:tcW w:w="2765" w:type="dxa"/>
          </w:tcPr>
          <w:p w:rsidR="0011730D" w:rsidRDefault="00C01B90">
            <w:pPr>
              <w:spacing w:line="360" w:lineRule="auto"/>
              <w:jc w:val="left"/>
            </w:pPr>
            <w:r>
              <w:rPr>
                <w:rFonts w:ascii="仿宋_GB2312" w:eastAsia="仿宋_GB2312" w:cs="宋体"/>
                <w:position w:val="-1"/>
              </w:rPr>
              <w:t>A类</w:t>
            </w:r>
          </w:p>
        </w:tc>
        <w:tc>
          <w:tcPr>
            <w:tcW w:w="2765" w:type="dxa"/>
          </w:tcPr>
          <w:p w:rsidR="0011730D" w:rsidRDefault="00C01B90">
            <w:pPr>
              <w:spacing w:line="360" w:lineRule="auto"/>
              <w:jc w:val="left"/>
            </w:pPr>
            <w:r>
              <w:rPr>
                <w:rFonts w:ascii="仿宋_GB2312" w:eastAsia="仿宋_GB2312" w:cs="宋体"/>
                <w:position w:val="-1"/>
              </w:rPr>
              <w:t>M&lt;500万元</w:t>
            </w:r>
          </w:p>
        </w:tc>
        <w:tc>
          <w:tcPr>
            <w:tcW w:w="2766" w:type="dxa"/>
          </w:tcPr>
          <w:p w:rsidR="0011730D" w:rsidRDefault="00C01B90">
            <w:pPr>
              <w:spacing w:line="360" w:lineRule="auto"/>
              <w:jc w:val="left"/>
            </w:pPr>
            <w:r>
              <w:rPr>
                <w:rFonts w:ascii="仿宋_GB2312" w:eastAsia="仿宋_GB2312" w:cs="宋体"/>
                <w:position w:val="-1"/>
              </w:rPr>
              <w:t>0.80%</w:t>
            </w:r>
          </w:p>
        </w:tc>
      </w:tr>
      <w:tr w:rsidR="0011730D">
        <w:tc>
          <w:tcPr>
            <w:tcW w:w="2765" w:type="dxa"/>
          </w:tcPr>
          <w:p w:rsidR="0011730D" w:rsidRDefault="00C01B90">
            <w:pPr>
              <w:spacing w:line="360" w:lineRule="auto"/>
              <w:jc w:val="left"/>
            </w:pPr>
            <w:r>
              <w:rPr>
                <w:rFonts w:ascii="仿宋_GB2312" w:eastAsia="仿宋_GB2312" w:cs="宋体"/>
                <w:position w:val="-1"/>
              </w:rPr>
              <w:t>A类</w:t>
            </w:r>
          </w:p>
        </w:tc>
        <w:tc>
          <w:tcPr>
            <w:tcW w:w="2765" w:type="dxa"/>
          </w:tcPr>
          <w:p w:rsidR="0011730D" w:rsidRDefault="00C01B90">
            <w:pPr>
              <w:spacing w:line="360" w:lineRule="auto"/>
              <w:jc w:val="left"/>
            </w:pPr>
            <w:r>
              <w:rPr>
                <w:rFonts w:ascii="仿宋_GB2312" w:eastAsia="仿宋_GB2312" w:cs="宋体"/>
                <w:position w:val="-1"/>
              </w:rPr>
              <w:t>M</w:t>
            </w:r>
            <w:r>
              <w:rPr>
                <w:rFonts w:ascii="仿宋_GB2312" w:eastAsia="仿宋_GB2312" w:cs="宋体"/>
                <w:position w:val="-1"/>
              </w:rPr>
              <w:t>≥</w:t>
            </w:r>
            <w:r>
              <w:rPr>
                <w:rFonts w:ascii="仿宋_GB2312" w:eastAsia="仿宋_GB2312" w:cs="宋体"/>
                <w:position w:val="-1"/>
              </w:rPr>
              <w:t>500万元</w:t>
            </w:r>
          </w:p>
        </w:tc>
        <w:tc>
          <w:tcPr>
            <w:tcW w:w="2766" w:type="dxa"/>
          </w:tcPr>
          <w:p w:rsidR="0011730D" w:rsidRDefault="00C01B90">
            <w:pPr>
              <w:spacing w:line="360" w:lineRule="auto"/>
              <w:jc w:val="left"/>
            </w:pPr>
            <w:r>
              <w:rPr>
                <w:rFonts w:ascii="仿宋_GB2312" w:eastAsia="仿宋_GB2312" w:cs="宋体"/>
                <w:position w:val="-1"/>
              </w:rPr>
              <w:t>1000元/笔</w:t>
            </w:r>
          </w:p>
        </w:tc>
      </w:tr>
    </w:tbl>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rFonts w:hint="eastAsia"/>
          <w:b/>
        </w:rPr>
        <w:t>认购份额的计算</w:t>
      </w:r>
    </w:p>
    <w:p w:rsidR="0011730D" w:rsidRDefault="00C01B90">
      <w:pPr>
        <w:spacing w:line="360" w:lineRule="auto"/>
        <w:textAlignment w:val="baseline"/>
      </w:pPr>
      <w:r>
        <w:t>（</w:t>
      </w:r>
      <w:r>
        <w:t>1</w:t>
      </w:r>
      <w:r>
        <w:t>）认购本基金</w:t>
      </w:r>
      <w:r>
        <w:t>A</w:t>
      </w:r>
      <w:r>
        <w:t>类基金份额的计算方式</w:t>
      </w:r>
    </w:p>
    <w:p w:rsidR="0011730D" w:rsidRDefault="00C01B90">
      <w:pPr>
        <w:spacing w:line="360" w:lineRule="auto"/>
        <w:textAlignment w:val="baseline"/>
      </w:pPr>
      <w:r>
        <w:t>认购费用采用比例费率时，本基金认购份额的计算方法如下：</w:t>
      </w:r>
    </w:p>
    <w:p w:rsidR="0011730D" w:rsidRDefault="00C01B90">
      <w:pPr>
        <w:spacing w:line="360" w:lineRule="auto"/>
        <w:textAlignment w:val="baseline"/>
      </w:pPr>
      <w:r>
        <w:t>净认购金额</w:t>
      </w:r>
      <w:r>
        <w:t>=</w:t>
      </w:r>
      <w:r>
        <w:t>认购金额</w:t>
      </w:r>
      <w:r>
        <w:t>/</w:t>
      </w:r>
      <w:r>
        <w:t>（</w:t>
      </w:r>
      <w:r>
        <w:t>1+</w:t>
      </w:r>
      <w:r>
        <w:t>认购费率）</w:t>
      </w:r>
    </w:p>
    <w:p w:rsidR="0011730D" w:rsidRDefault="00C01B90">
      <w:pPr>
        <w:spacing w:line="360" w:lineRule="auto"/>
        <w:textAlignment w:val="baseline"/>
      </w:pPr>
      <w:r>
        <w:t>认购费用</w:t>
      </w:r>
      <w:r>
        <w:t>=</w:t>
      </w:r>
      <w:r>
        <w:t>认购金额</w:t>
      </w:r>
      <w:r>
        <w:t>-</w:t>
      </w:r>
      <w:r>
        <w:t>净认购金额</w:t>
      </w:r>
    </w:p>
    <w:p w:rsidR="0011730D" w:rsidRDefault="00C01B90">
      <w:pPr>
        <w:spacing w:line="360" w:lineRule="auto"/>
        <w:textAlignment w:val="baseline"/>
      </w:pPr>
      <w:r>
        <w:t>认购份额</w:t>
      </w:r>
      <w:r>
        <w:t>=</w:t>
      </w:r>
      <w:r>
        <w:t>（净认购金额</w:t>
      </w:r>
      <w:r>
        <w:t>+</w:t>
      </w:r>
      <w:r>
        <w:t>认购利息）</w:t>
      </w:r>
      <w:r>
        <w:t>/</w:t>
      </w:r>
      <w:r>
        <w:t>基金份额发售面值</w:t>
      </w:r>
    </w:p>
    <w:p w:rsidR="0011730D" w:rsidRDefault="00C01B90">
      <w:pPr>
        <w:spacing w:line="360" w:lineRule="auto"/>
        <w:textAlignment w:val="baseline"/>
      </w:pPr>
      <w:r>
        <w:t>认购费用采用固定金额时，本基金认购份额的计算方法如下：</w:t>
      </w:r>
    </w:p>
    <w:p w:rsidR="0011730D" w:rsidRDefault="00C01B90">
      <w:pPr>
        <w:spacing w:line="360" w:lineRule="auto"/>
        <w:textAlignment w:val="baseline"/>
      </w:pPr>
      <w:r>
        <w:t>认购费用</w:t>
      </w:r>
      <w:r>
        <w:t>=</w:t>
      </w:r>
      <w:r>
        <w:t>固定金额</w:t>
      </w:r>
    </w:p>
    <w:p w:rsidR="0011730D" w:rsidRDefault="00C01B90">
      <w:pPr>
        <w:spacing w:line="360" w:lineRule="auto"/>
        <w:textAlignment w:val="baseline"/>
      </w:pPr>
      <w:r>
        <w:t>净认购金额</w:t>
      </w:r>
      <w:r>
        <w:t>=</w:t>
      </w:r>
      <w:r>
        <w:t>认购金额</w:t>
      </w:r>
      <w:r>
        <w:t>-</w:t>
      </w:r>
      <w:r>
        <w:t>认购费用</w:t>
      </w:r>
    </w:p>
    <w:p w:rsidR="0011730D" w:rsidRDefault="00C01B90">
      <w:pPr>
        <w:spacing w:line="360" w:lineRule="auto"/>
        <w:textAlignment w:val="baseline"/>
      </w:pPr>
      <w:r>
        <w:t>认购份额</w:t>
      </w:r>
      <w:r>
        <w:t>=</w:t>
      </w:r>
      <w:r>
        <w:t>（净认购金额</w:t>
      </w:r>
      <w:r>
        <w:t>+</w:t>
      </w:r>
      <w:r>
        <w:t>认购利息）</w:t>
      </w:r>
      <w:r>
        <w:t>/</w:t>
      </w:r>
      <w:r>
        <w:t>基金份额发售面值</w:t>
      </w:r>
    </w:p>
    <w:p w:rsidR="0011730D" w:rsidRDefault="00C01B90">
      <w:pPr>
        <w:spacing w:line="360" w:lineRule="auto"/>
        <w:textAlignment w:val="baseline"/>
      </w:pPr>
      <w:r>
        <w:t>认购份额的计算保留到小数点后</w:t>
      </w:r>
      <w:r>
        <w:t>2</w:t>
      </w:r>
      <w:r>
        <w:t>位，小数点</w:t>
      </w:r>
      <w:r>
        <w:t>2</w:t>
      </w:r>
      <w:r>
        <w:t>位以后的部分四舍五入，由此误差产生的收益或损失由基金财产承担。有效认购款项在募集期间产生的利息将折算为基金份额归基金份额持有人所有，其中利息转份额的具体数额以登记机构的记录为准。认购利息保留到小数点后</w:t>
      </w:r>
      <w:r>
        <w:t>2</w:t>
      </w:r>
      <w:r>
        <w:t>位，小数点后</w:t>
      </w:r>
      <w:r>
        <w:t>2</w:t>
      </w:r>
      <w:r>
        <w:t>位以后部分舍去，由此产生的收益或损失由基金财产承担。</w:t>
      </w:r>
    </w:p>
    <w:p w:rsidR="0011730D" w:rsidRDefault="00C01B90">
      <w:pPr>
        <w:spacing w:line="360" w:lineRule="auto"/>
        <w:textAlignment w:val="baseline"/>
      </w:pPr>
      <w:r>
        <w:t>例：某投资人投资</w:t>
      </w:r>
      <w:r>
        <w:t>10,000</w:t>
      </w:r>
      <w:r>
        <w:t>元通过代销机构认购本基金</w:t>
      </w:r>
      <w:r>
        <w:t>A</w:t>
      </w:r>
      <w:r>
        <w:t>类基金份额，如果认购期内认购资金获得的利息为</w:t>
      </w:r>
      <w:r>
        <w:t>5</w:t>
      </w:r>
      <w:r>
        <w:t>元，则其可得到的</w:t>
      </w:r>
      <w:r>
        <w:t>A</w:t>
      </w:r>
      <w:r>
        <w:t>类基金份额计算如下：</w:t>
      </w:r>
    </w:p>
    <w:p w:rsidR="0011730D" w:rsidRDefault="00C01B90">
      <w:pPr>
        <w:spacing w:line="360" w:lineRule="auto"/>
        <w:textAlignment w:val="baseline"/>
      </w:pPr>
      <w:r>
        <w:t>净认购金额</w:t>
      </w:r>
      <w:r>
        <w:t>=10,000/</w:t>
      </w:r>
      <w:r>
        <w:t>（</w:t>
      </w:r>
      <w:r>
        <w:t>1+0.80%</w:t>
      </w:r>
      <w:r>
        <w:t>）</w:t>
      </w:r>
      <w:r>
        <w:t>=9,920.63</w:t>
      </w:r>
      <w:r>
        <w:t>元</w:t>
      </w:r>
    </w:p>
    <w:p w:rsidR="0011730D" w:rsidRDefault="00C01B90">
      <w:pPr>
        <w:spacing w:line="360" w:lineRule="auto"/>
        <w:textAlignment w:val="baseline"/>
      </w:pPr>
      <w:r>
        <w:t>认购费用</w:t>
      </w:r>
      <w:r>
        <w:t>=10,000-9,920.63=79.37</w:t>
      </w:r>
      <w:r>
        <w:t>元</w:t>
      </w:r>
    </w:p>
    <w:p w:rsidR="0011730D" w:rsidRDefault="00C01B90">
      <w:pPr>
        <w:spacing w:line="360" w:lineRule="auto"/>
        <w:textAlignment w:val="baseline"/>
      </w:pPr>
      <w:r>
        <w:t>认购份额</w:t>
      </w:r>
      <w:r>
        <w:t>=</w:t>
      </w:r>
      <w:r>
        <w:t>（</w:t>
      </w:r>
      <w:r>
        <w:t>9,920.63+5</w:t>
      </w:r>
      <w:r>
        <w:t>）</w:t>
      </w:r>
      <w:r>
        <w:t>/1.00=9,925.63</w:t>
      </w:r>
      <w:r>
        <w:t>份</w:t>
      </w:r>
    </w:p>
    <w:p w:rsidR="0011730D" w:rsidRDefault="00C01B90">
      <w:pPr>
        <w:spacing w:line="360" w:lineRule="auto"/>
        <w:textAlignment w:val="baseline"/>
      </w:pPr>
      <w:r>
        <w:t>即投资人通过代销机构投资</w:t>
      </w:r>
      <w:r>
        <w:t>10,000</w:t>
      </w:r>
      <w:r>
        <w:t>元认购本基金</w:t>
      </w:r>
      <w:r>
        <w:t>A</w:t>
      </w:r>
      <w:r>
        <w:t>类基金份额，加上认购资金在认购期内获得的利息，可得到</w:t>
      </w:r>
      <w:r>
        <w:t>9,925.63</w:t>
      </w:r>
      <w:r>
        <w:t>份</w:t>
      </w:r>
      <w:r>
        <w:t>A</w:t>
      </w:r>
      <w:r>
        <w:t>类基金份额。</w:t>
      </w:r>
    </w:p>
    <w:p w:rsidR="0011730D" w:rsidRDefault="00C01B90">
      <w:pPr>
        <w:spacing w:line="360" w:lineRule="auto"/>
        <w:textAlignment w:val="baseline"/>
      </w:pPr>
      <w:r>
        <w:t>（</w:t>
      </w:r>
      <w:r>
        <w:t>2</w:t>
      </w:r>
      <w:r>
        <w:t>）认购本基金</w:t>
      </w:r>
      <w:r>
        <w:t>C</w:t>
      </w:r>
      <w:r>
        <w:t>类基金份额的计算方式</w:t>
      </w:r>
    </w:p>
    <w:p w:rsidR="0011730D" w:rsidRDefault="00C01B90">
      <w:pPr>
        <w:spacing w:line="360" w:lineRule="auto"/>
        <w:textAlignment w:val="baseline"/>
      </w:pPr>
      <w:r>
        <w:t>C</w:t>
      </w:r>
      <w:r>
        <w:t>类基金份额不收取认购费，而是从本类别基金资产中计提销售服务费。</w:t>
      </w:r>
    </w:p>
    <w:p w:rsidR="0011730D" w:rsidRDefault="00C01B90">
      <w:pPr>
        <w:spacing w:line="360" w:lineRule="auto"/>
        <w:textAlignment w:val="baseline"/>
      </w:pPr>
      <w:r>
        <w:t>认购份额＝（认购金额＋认购利息）</w:t>
      </w:r>
      <w:r>
        <w:t>/</w:t>
      </w:r>
      <w:r>
        <w:t>基金份额发售面值</w:t>
      </w:r>
    </w:p>
    <w:p w:rsidR="0011730D" w:rsidRDefault="00C01B90">
      <w:pPr>
        <w:spacing w:line="360" w:lineRule="auto"/>
        <w:textAlignment w:val="baseline"/>
      </w:pPr>
      <w:r>
        <w:t>认购份额的计算保留到小数点后</w:t>
      </w:r>
      <w:r>
        <w:t>2</w:t>
      </w:r>
      <w:r>
        <w:t>位，小数点</w:t>
      </w:r>
      <w:r>
        <w:t>2</w:t>
      </w:r>
      <w:r>
        <w:t>位以后的部分四舍五入，由此误差产生的收益或损失由基金财产承担。有效认购款项在募集期间产生的利息将折算为基金份额归基金份额持有人所有，其中利息转份额的具体数额以登记机构的记录为准。认购利息保留到小数点后</w:t>
      </w:r>
      <w:r>
        <w:t>2</w:t>
      </w:r>
      <w:r>
        <w:t>位，小数点后</w:t>
      </w:r>
      <w:r>
        <w:t>2</w:t>
      </w:r>
      <w:r>
        <w:t>位以后部分舍去，由此产生的收益或损失由基金财产承担。</w:t>
      </w:r>
    </w:p>
    <w:p w:rsidR="0011730D" w:rsidRDefault="00C01B90">
      <w:pPr>
        <w:spacing w:line="360" w:lineRule="auto"/>
        <w:textAlignment w:val="baseline"/>
      </w:pPr>
      <w:r>
        <w:t>例：某投资人投资</w:t>
      </w:r>
      <w:r>
        <w:t>10,000</w:t>
      </w:r>
      <w:r>
        <w:t>元认购本基金</w:t>
      </w:r>
      <w:r>
        <w:t>C</w:t>
      </w:r>
      <w:r>
        <w:t>类基金份额，如果认购期内认购资金获得的利息为</w:t>
      </w:r>
      <w:r>
        <w:t>5</w:t>
      </w:r>
      <w:r>
        <w:t>元，则其可得到的</w:t>
      </w:r>
      <w:r>
        <w:t>C</w:t>
      </w:r>
      <w:r>
        <w:t>类基金份额计算如下：</w:t>
      </w:r>
    </w:p>
    <w:p w:rsidR="0011730D" w:rsidRDefault="00C01B90">
      <w:pPr>
        <w:spacing w:line="360" w:lineRule="auto"/>
        <w:textAlignment w:val="baseline"/>
      </w:pPr>
      <w:r>
        <w:t>认购份额＝（</w:t>
      </w:r>
      <w:r>
        <w:t>10,000</w:t>
      </w:r>
      <w:r>
        <w:t>＋</w:t>
      </w:r>
      <w:r>
        <w:t>5</w:t>
      </w:r>
      <w:r>
        <w:t>）</w:t>
      </w:r>
      <w:r>
        <w:t>/1.00=10,005.00</w:t>
      </w:r>
      <w:r>
        <w:t>份</w:t>
      </w:r>
    </w:p>
    <w:p w:rsidR="0011730D" w:rsidRDefault="00C01B90">
      <w:pPr>
        <w:spacing w:line="360" w:lineRule="auto"/>
        <w:textAlignment w:val="baseline"/>
      </w:pPr>
      <w:r>
        <w:t>即：投资人投资</w:t>
      </w:r>
      <w:r>
        <w:t>10,000</w:t>
      </w:r>
      <w:r>
        <w:t>元认购本基金</w:t>
      </w:r>
      <w:r>
        <w:t>C</w:t>
      </w:r>
      <w:r>
        <w:t>类基金份额，加上认购资金在认购期内获得的利息，可得到</w:t>
      </w:r>
      <w:r>
        <w:t>10,005.00</w:t>
      </w:r>
      <w:r>
        <w:t>份</w:t>
      </w:r>
      <w:r>
        <w:t>C</w:t>
      </w:r>
      <w:r>
        <w:t>类基金份额。</w:t>
      </w:r>
    </w:p>
    <w:p w:rsidR="0011730D" w:rsidRDefault="0011730D">
      <w:pPr>
        <w:autoSpaceDE w:val="0"/>
        <w:autoSpaceDN w:val="0"/>
        <w:spacing w:line="360" w:lineRule="auto"/>
        <w:ind w:firstLineChars="200" w:firstLine="420"/>
        <w:contextualSpacing/>
        <w:textAlignment w:val="bottom"/>
        <w:rPr>
          <w:color w:val="000000"/>
          <w:szCs w:val="21"/>
        </w:rPr>
      </w:pPr>
    </w:p>
    <w:p w:rsidR="0011730D" w:rsidRDefault="00C01B90">
      <w:pPr>
        <w:numPr>
          <w:ilvl w:val="0"/>
          <w:numId w:val="4"/>
        </w:numPr>
        <w:tabs>
          <w:tab w:val="left" w:pos="900"/>
          <w:tab w:val="left" w:pos="1134"/>
        </w:tabs>
        <w:adjustRightInd w:val="0"/>
        <w:spacing w:line="360" w:lineRule="auto"/>
        <w:ind w:hanging="198"/>
        <w:contextualSpacing/>
        <w:textAlignment w:val="baseline"/>
        <w:rPr>
          <w:b/>
        </w:rPr>
      </w:pPr>
      <w:r>
        <w:rPr>
          <w:b/>
        </w:rPr>
        <w:t>认购的方式及确认</w:t>
      </w:r>
    </w:p>
    <w:p w:rsidR="0011730D" w:rsidRDefault="00C01B90">
      <w:pPr>
        <w:numPr>
          <w:ilvl w:val="0"/>
          <w:numId w:val="6"/>
        </w:numPr>
        <w:adjustRightInd w:val="0"/>
        <w:spacing w:line="360" w:lineRule="auto"/>
        <w:ind w:left="0" w:firstLine="420"/>
        <w:contextualSpacing/>
        <w:textAlignment w:val="baseline"/>
      </w:pPr>
      <w:r>
        <w:t>投资者认购时，需按销售机构规定的方式全额缴款。</w:t>
      </w:r>
    </w:p>
    <w:p w:rsidR="0011730D" w:rsidRDefault="00C01B90">
      <w:pPr>
        <w:numPr>
          <w:ilvl w:val="0"/>
          <w:numId w:val="6"/>
        </w:numPr>
        <w:adjustRightInd w:val="0"/>
        <w:spacing w:line="360" w:lineRule="auto"/>
        <w:ind w:left="0" w:firstLine="420"/>
        <w:contextualSpacing/>
        <w:textAlignment w:val="baseline"/>
      </w:pPr>
      <w:r>
        <w:t>投资者在募集期内可以多次认购基金份额，认购费按每笔认购申请单独计算。认购申请一经受理不得撤销。</w:t>
      </w:r>
    </w:p>
    <w:p w:rsidR="0011730D" w:rsidRDefault="00C01B90">
      <w:pPr>
        <w:numPr>
          <w:ilvl w:val="0"/>
          <w:numId w:val="6"/>
        </w:numPr>
        <w:adjustRightInd w:val="0"/>
        <w:spacing w:line="360" w:lineRule="auto"/>
        <w:ind w:left="0" w:firstLine="420"/>
        <w:contextualSpacing/>
        <w:textAlignment w:val="baseline"/>
      </w:pPr>
      <w:r>
        <w:t>当日（</w:t>
      </w:r>
      <w:r>
        <w:t>T</w:t>
      </w:r>
      <w:r>
        <w:t>日）在规定时间内提交的申请认购本基金基金份额的投资者，通常可在申请日（</w:t>
      </w:r>
      <w:r>
        <w:t>T</w:t>
      </w:r>
      <w:r>
        <w:t>日）后的第</w:t>
      </w:r>
      <w:r>
        <w:t>2</w:t>
      </w:r>
      <w:r>
        <w:t>个工作日（</w:t>
      </w:r>
      <w:r>
        <w:t>T+2</w:t>
      </w:r>
      <w:r>
        <w:t>）后（包括该日）到网点查询交易情况，但此确认是对认购申请的确认，认购份额的最终结果要待基金合同生效后才能够确认。</w:t>
      </w:r>
    </w:p>
    <w:p w:rsidR="0011730D" w:rsidRDefault="00C01B90">
      <w:pPr>
        <w:numPr>
          <w:ilvl w:val="0"/>
          <w:numId w:val="6"/>
        </w:numPr>
        <w:adjustRightInd w:val="0"/>
        <w:spacing w:line="360" w:lineRule="auto"/>
        <w:ind w:left="0" w:firstLine="420"/>
        <w:contextualSpacing/>
        <w:textAlignment w:val="baseline"/>
      </w:pPr>
      <w:r>
        <w:t>在基金募集期内，投资者可多次认购基金份额。投资者通过基金管理人电子直销平台认购本基金份额时，首次认购最低金额为人民币</w:t>
      </w:r>
      <w:r>
        <w:t>1</w:t>
      </w:r>
      <w:r>
        <w:t>元，追加认购最低金额为人民币</w:t>
      </w:r>
      <w:r>
        <w:t>1</w:t>
      </w:r>
      <w:r>
        <w:t>元；通过基金管理人直销中心柜台认购本基金份额时，首次认购最低金额为人民币</w:t>
      </w:r>
      <w:r>
        <w:t>10000</w:t>
      </w:r>
      <w:r>
        <w:t>元，追加认购最低金额为人民币</w:t>
      </w:r>
      <w:r>
        <w:t>1000</w:t>
      </w:r>
      <w:r>
        <w:t>元；通过代销机构认购本基金份额时，首次认购最低金额为人民币</w:t>
      </w:r>
      <w:r>
        <w:t>1</w:t>
      </w:r>
      <w:r>
        <w:t>元（含认购费，下同），追加认购最低金额为人民币</w:t>
      </w:r>
      <w:r>
        <w:t>1</w:t>
      </w:r>
      <w:r>
        <w:t>元。</w:t>
      </w:r>
    </w:p>
    <w:p w:rsidR="0011730D" w:rsidRDefault="00C01B90">
      <w:pPr>
        <w:numPr>
          <w:ilvl w:val="0"/>
          <w:numId w:val="6"/>
        </w:numPr>
        <w:adjustRightInd w:val="0"/>
        <w:spacing w:line="360" w:lineRule="auto"/>
        <w:ind w:left="0" w:firstLine="420"/>
        <w:contextualSpacing/>
        <w:textAlignment w:val="baseline"/>
      </w:pPr>
      <w:r>
        <w:t>募集期间有权设置投资者单个账户持有基金份额的比例和最高认购金额限制。如本基金单个投资人（基金管理人、基金管理人高级管理人员或基金经理等人员作为发起资金提供方除外）累计认购的基金份额数达到或者超过基金总份额的</w:t>
      </w:r>
      <w:r>
        <w:t>50%</w:t>
      </w:r>
      <w:r>
        <w:t>，基金管理人可以采取比例确认等方式对该投资人的认购申请进行限制。基金管理人接受某笔或者某些认购申请有可能导致单一投资者变相规避前述</w:t>
      </w:r>
      <w:r>
        <w:t>50%</w:t>
      </w:r>
      <w:r>
        <w:t>比例要求的，基金管理人有权拒绝该等全部或者部分认购申请。投资人认购的基金份额数以基金合同生效后登记机构的确认为准。</w:t>
      </w:r>
    </w:p>
    <w:p w:rsidR="0011730D" w:rsidRDefault="0011730D">
      <w:pPr>
        <w:autoSpaceDE w:val="0"/>
        <w:autoSpaceDN w:val="0"/>
        <w:spacing w:line="360" w:lineRule="auto"/>
        <w:ind w:firstLineChars="200" w:firstLine="420"/>
        <w:contextualSpacing/>
        <w:textAlignment w:val="bottom"/>
        <w:rPr>
          <w:szCs w:val="21"/>
        </w:rPr>
      </w:pP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5" w:name="_Toc346624924"/>
      <w:r>
        <w:rPr>
          <w:rFonts w:ascii="Times New Roman" w:eastAsia="宋体" w:hAnsi="Times New Roman" w:hint="eastAsia"/>
          <w:kern w:val="44"/>
          <w:sz w:val="24"/>
          <w:szCs w:val="24"/>
        </w:rPr>
        <w:t>开户及认购程序</w:t>
      </w:r>
      <w:bookmarkEnd w:id="315"/>
    </w:p>
    <w:p w:rsidR="0011730D" w:rsidRDefault="00C01B90">
      <w:pPr>
        <w:tabs>
          <w:tab w:val="left" w:pos="0"/>
        </w:tabs>
        <w:adjustRightInd w:val="0"/>
        <w:spacing w:line="360" w:lineRule="auto"/>
        <w:contextualSpacing/>
        <w:textAlignment w:val="baseline"/>
      </w:pPr>
      <w:r>
        <w:t>（一）通过本公司直销中心柜台办理开户和认购程序</w:t>
      </w:r>
      <w:r>
        <w:br/>
        <w:t>1.</w:t>
      </w:r>
      <w:r>
        <w:t>本公司直销中心柜台联系方式</w:t>
      </w:r>
      <w:r>
        <w:br/>
      </w:r>
      <w:r>
        <w:t>地址：上海市浦东新区银城中路</w:t>
      </w:r>
      <w:r>
        <w:t>200</w:t>
      </w:r>
      <w:r>
        <w:t>号中银大厦</w:t>
      </w:r>
      <w:r>
        <w:t>26</w:t>
      </w:r>
      <w:r>
        <w:t>楼</w:t>
      </w:r>
      <w:r>
        <w:br/>
      </w:r>
      <w:r>
        <w:t>客户服务电话：</w:t>
      </w:r>
      <w:r>
        <w:t>021-38834788</w:t>
      </w:r>
      <w:r>
        <w:t>，</w:t>
      </w:r>
      <w:r>
        <w:t>400-888-5566</w:t>
      </w:r>
      <w:r>
        <w:br/>
      </w:r>
      <w:r>
        <w:t>电子信箱：</w:t>
      </w:r>
      <w:r>
        <w:t>clientservice@bocim.com</w:t>
      </w:r>
      <w:r>
        <w:br/>
      </w:r>
      <w:r>
        <w:t>联系人：曹卿</w:t>
      </w:r>
      <w:r>
        <w:br/>
        <w:t>2.</w:t>
      </w:r>
      <w:r>
        <w:t>开户和认购办理时间：基金发售日的</w:t>
      </w:r>
      <w:r>
        <w:t xml:space="preserve"> 9:00-17:00</w:t>
      </w:r>
      <w:r>
        <w:t>（周六、周日和法定节假日不受理）。</w:t>
      </w:r>
      <w:r>
        <w:br/>
        <w:t>3.</w:t>
      </w:r>
      <w:r>
        <w:t>开户和认购的程序</w:t>
      </w:r>
      <w:r>
        <w:br/>
      </w:r>
      <w:r>
        <w:t>（</w:t>
      </w:r>
      <w:r>
        <w:t>1</w:t>
      </w:r>
      <w:r>
        <w:t>）申请开户时须递交以下申请材料：</w:t>
      </w:r>
      <w:r>
        <w:br/>
      </w:r>
      <w:r>
        <w:t>个人投资者</w:t>
      </w:r>
      <w:r>
        <w:br/>
        <w:t xml:space="preserve">  1)</w:t>
      </w:r>
      <w:r>
        <w:t>填妥的经本人签字确认的《基金账户业务申请表</w:t>
      </w:r>
      <w:r>
        <w:t>-</w:t>
      </w:r>
      <w:r>
        <w:t>个人投资者》；</w:t>
      </w:r>
      <w:r>
        <w:br/>
        <w:t xml:space="preserve">  2)</w:t>
      </w:r>
      <w:r>
        <w:t>预留印鉴；</w:t>
      </w:r>
      <w:r>
        <w:br/>
        <w:t xml:space="preserve">  3)</w:t>
      </w:r>
      <w:r>
        <w:t>本人有效身份证件原件及复印件；</w:t>
      </w:r>
      <w:r>
        <w:br/>
        <w:t xml:space="preserve">  4)</w:t>
      </w:r>
      <w:r>
        <w:t>预留银行账户信息证明复印件；</w:t>
      </w:r>
      <w:r>
        <w:br/>
        <w:t xml:space="preserve">  5)</w:t>
      </w:r>
      <w:r>
        <w:t>填妥的经本人签字确认的《风险承受能力调查问卷</w:t>
      </w:r>
      <w:r>
        <w:t>-</w:t>
      </w:r>
      <w:r>
        <w:t>个人投资者》；</w:t>
      </w:r>
      <w:r>
        <w:br/>
        <w:t xml:space="preserve">  6)</w:t>
      </w:r>
      <w:r>
        <w:t>填妥的经本人签字确认的《个人税收居民身份声明文件》；</w:t>
      </w:r>
      <w:r>
        <w:br/>
        <w:t xml:space="preserve">  7)</w:t>
      </w:r>
      <w:r>
        <w:t>个人投资者开户原则上须本人亲自办理，如委托他人代办的，还需提供委托代办书、代办人的有效身份证明文件及复印件；</w:t>
      </w:r>
      <w:r>
        <w:br/>
        <w:t xml:space="preserve">  8)</w:t>
      </w:r>
      <w:r>
        <w:t>基金管理人要求提供的其他必要材料。</w:t>
      </w:r>
      <w:r>
        <w:br/>
      </w:r>
      <w:r>
        <w:t>机构投资者</w:t>
      </w:r>
      <w:r>
        <w:br/>
        <w:t xml:space="preserve">  1)</w:t>
      </w:r>
      <w:r>
        <w:t>填妥的加盖公章和法定代表人签章的《基金账户业务申请表</w:t>
      </w:r>
      <w:r>
        <w:t>-</w:t>
      </w:r>
      <w:r>
        <w:t>机构投资者》；</w:t>
      </w:r>
      <w:r>
        <w:br/>
        <w:t xml:space="preserve">  2)</w:t>
      </w:r>
      <w:r>
        <w:t>有效企业营业执照复印件（加盖公章）或有效注册登记证书复印件（加盖公章）；</w:t>
      </w:r>
      <w:r>
        <w:br/>
        <w:t xml:space="preserve">  3)</w:t>
      </w:r>
      <w:r>
        <w:t>基金业务授权委托书（加盖公章和法定代表人或其授权代表签章）；</w:t>
      </w:r>
      <w:r>
        <w:br/>
        <w:t xml:space="preserve">  4)</w:t>
      </w:r>
      <w:r>
        <w:t>《基金业务印鉴卡</w:t>
      </w:r>
      <w:r>
        <w:t>-</w:t>
      </w:r>
      <w:r>
        <w:t>机构投资者》一式三份；</w:t>
      </w:r>
      <w:r>
        <w:br/>
        <w:t xml:space="preserve">  5)</w:t>
      </w:r>
      <w:r>
        <w:t>法定代表人或其授权代表有效身份证件复印件（加盖公章）；</w:t>
      </w:r>
      <w:r>
        <w:br/>
        <w:t xml:space="preserve">  6)</w:t>
      </w:r>
      <w:r>
        <w:t>授权经办人有效身份证件复印件（加盖公章）；</w:t>
      </w:r>
      <w:r>
        <w:br/>
        <w:t xml:space="preserve">  7)</w:t>
      </w:r>
      <w:r>
        <w:t>预留银行账户信息证明复印件（加盖公章）；</w:t>
      </w:r>
      <w:r>
        <w:br/>
        <w:t xml:space="preserve">  8)</w:t>
      </w:r>
      <w:r>
        <w:t>填妥并加盖预留印鉴的《风险承受能力调查问卷</w:t>
      </w:r>
      <w:r>
        <w:t>-</w:t>
      </w:r>
      <w:r>
        <w:t>机构投资者》；</w:t>
      </w:r>
      <w:r>
        <w:br/>
        <w:t xml:space="preserve">  9)</w:t>
      </w:r>
      <w:r>
        <w:t>填妥并加盖预留印鉴的《机构税收居民身份声明文件》、《控制人税收居民身份声明文件》；</w:t>
      </w:r>
      <w:r>
        <w:br/>
        <w:t xml:space="preserve">  10)</w:t>
      </w:r>
      <w:r>
        <w:t>填妥并加盖预留印鉴的《机构投资者</w:t>
      </w:r>
      <w:r>
        <w:t>-</w:t>
      </w:r>
      <w:r>
        <w:t>受益所有人信息表》；</w:t>
      </w:r>
      <w:r>
        <w:br/>
        <w:t xml:space="preserve">  11)</w:t>
      </w:r>
      <w:r>
        <w:t>基金管理人要求提供的其他必要材料。</w:t>
      </w:r>
      <w:r>
        <w:br/>
      </w:r>
      <w:r>
        <w:t>（</w:t>
      </w:r>
      <w:r>
        <w:t>2</w:t>
      </w:r>
      <w:r>
        <w:t>）申请认购时须提交下列材料：</w:t>
      </w:r>
      <w:r>
        <w:br/>
      </w:r>
      <w:r>
        <w:t>个人投资者</w:t>
      </w:r>
      <w:r>
        <w:br/>
        <w:t xml:space="preserve">  1)</w:t>
      </w:r>
      <w:r>
        <w:t>填妥的经本人签字或盖章确认的《基金交易业务申请表》；</w:t>
      </w:r>
      <w:r>
        <w:br/>
        <w:t xml:space="preserve">  2)</w:t>
      </w:r>
      <w:r>
        <w:t>本人有效身份证件原件及复印件；</w:t>
      </w:r>
      <w:r>
        <w:br/>
        <w:t xml:space="preserve">  3)</w:t>
      </w:r>
      <w:r>
        <w:t>银行付款凭证</w:t>
      </w:r>
      <w:r>
        <w:t>/</w:t>
      </w:r>
      <w:r>
        <w:t>划款回单联复印件；</w:t>
      </w:r>
      <w:r>
        <w:br/>
        <w:t xml:space="preserve">  4)</w:t>
      </w:r>
      <w:r>
        <w:t>基金管理人要求提供的其他必要材料。</w:t>
      </w:r>
      <w:r>
        <w:br/>
      </w:r>
      <w:r>
        <w:t>委托他人代办的，还需提供委托代办书、代办人的有效身份证明文件及复印件。</w:t>
      </w:r>
      <w:r>
        <w:br/>
      </w:r>
      <w:r>
        <w:t>机构投资者</w:t>
      </w:r>
      <w:r>
        <w:br/>
        <w:t xml:space="preserve">  1)</w:t>
      </w:r>
      <w:r>
        <w:t>填妥的《开放式基金交易业务申请表》（加盖预留印鉴）；</w:t>
      </w:r>
      <w:r>
        <w:br/>
        <w:t xml:space="preserve">  2)</w:t>
      </w:r>
      <w:r>
        <w:t>经办人有效身份证件；</w:t>
      </w:r>
      <w:r>
        <w:br/>
        <w:t xml:space="preserve">  3)</w:t>
      </w:r>
      <w:r>
        <w:t>银行付款凭证</w:t>
      </w:r>
      <w:r>
        <w:t>/</w:t>
      </w:r>
      <w:r>
        <w:t>划款回单联复印件；</w:t>
      </w:r>
      <w:r>
        <w:br/>
        <w:t xml:space="preserve">  4)</w:t>
      </w:r>
      <w:r>
        <w:t>基金管理人要求提供的其他必要材料。</w:t>
      </w:r>
      <w:r>
        <w:br/>
      </w:r>
      <w:r>
        <w:t>（</w:t>
      </w:r>
      <w:r>
        <w:t>3</w:t>
      </w:r>
      <w:r>
        <w:t>）认购资金的划拨</w:t>
      </w:r>
      <w:r>
        <w:br/>
      </w:r>
      <w:r>
        <w:t>投资者在办理认购前应将足额认购资金划入本公司指定的下述任意一直销专户：</w:t>
      </w:r>
      <w:r>
        <w:br/>
        <w:t xml:space="preserve">  1)</w:t>
      </w:r>
      <w:r>
        <w:t>账户名称：中银基金管理有限公司</w:t>
      </w:r>
      <w:r>
        <w:br/>
      </w:r>
      <w:r>
        <w:t>账号：</w:t>
      </w:r>
      <w:r>
        <w:t>455959213743</w:t>
      </w:r>
      <w:r>
        <w:br/>
      </w:r>
      <w:r>
        <w:t>开户银行：中国银行上海市分行中银大厦支行</w:t>
      </w:r>
      <w:r>
        <w:br/>
        <w:t xml:space="preserve">  2)</w:t>
      </w:r>
      <w:r>
        <w:t>账户名称：中银基金管理有限公司</w:t>
      </w:r>
      <w:r>
        <w:br/>
      </w:r>
      <w:r>
        <w:t>账号：</w:t>
      </w:r>
      <w:r>
        <w:t>1001190729013313658</w:t>
      </w:r>
      <w:r>
        <w:br/>
      </w:r>
      <w:r>
        <w:t>开户银行：中国工商银行上海市分行第二营业部</w:t>
      </w:r>
      <w:r>
        <w:br/>
        <w:t xml:space="preserve">  3)</w:t>
      </w:r>
      <w:r>
        <w:t>账户名称：中银基金管理有限公司</w:t>
      </w:r>
      <w:r>
        <w:br/>
      </w:r>
      <w:r>
        <w:t>账号：</w:t>
      </w:r>
      <w:r>
        <w:t>31001520313050004241</w:t>
      </w:r>
      <w:r>
        <w:br/>
      </w:r>
      <w:r>
        <w:t>开户银行：中国建设银行上海市浦东分行</w:t>
      </w:r>
      <w:r>
        <w:br/>
        <w:t xml:space="preserve">  4)</w:t>
      </w:r>
      <w:r>
        <w:t>账户名称：中银基金管理有限公司</w:t>
      </w:r>
      <w:r>
        <w:br/>
      </w:r>
      <w:r>
        <w:t>账号：</w:t>
      </w:r>
      <w:r>
        <w:t>310066577018150068030</w:t>
      </w:r>
      <w:r>
        <w:br/>
      </w:r>
      <w:r>
        <w:t>开户银行：交通银行上海市交银大厦支行</w:t>
      </w:r>
      <w:r>
        <w:br/>
        <w:t xml:space="preserve">  5)</w:t>
      </w:r>
      <w:r>
        <w:t>账户名称：中银基金管理有限公司</w:t>
      </w:r>
      <w:r>
        <w:br/>
      </w:r>
      <w:r>
        <w:t>账号：</w:t>
      </w:r>
      <w:r>
        <w:t>216200100101424181</w:t>
      </w:r>
      <w:r>
        <w:br/>
      </w:r>
      <w:r>
        <w:t>开户银行：兴业银行上海分行营业部</w:t>
      </w:r>
      <w:r>
        <w:br/>
        <w:t>4.</w:t>
      </w:r>
      <w:r>
        <w:t>注意事项</w:t>
      </w:r>
      <w:r>
        <w:br/>
        <w:t xml:space="preserve">  (1)</w:t>
      </w:r>
      <w:r>
        <w:t>本直销中心柜台不受理投资者以现金方式提出的认购申请；</w:t>
      </w:r>
      <w:r>
        <w:br/>
        <w:t xml:space="preserve">  (2)</w:t>
      </w:r>
      <w:r>
        <w:t>投资者开立基金账户的当天可申请认购，但认购的有效要以基金账户开立成功为前提；</w:t>
      </w:r>
      <w:r>
        <w:br/>
        <w:t xml:space="preserve">  (3)</w:t>
      </w:r>
      <w:r>
        <w:t>投资者开户时须预留银行账户，该银行账户作为投资者赎回、分红、退款的结算账户。银行账户的户名应与投资者基金账户的户名一致；</w:t>
      </w:r>
      <w:r>
        <w:br/>
        <w:t xml:space="preserve">  (4)</w:t>
      </w:r>
      <w:r>
        <w:t>投资者应在提交认购申请的当日</w:t>
      </w:r>
      <w:r>
        <w:t>17:00</w:t>
      </w:r>
      <w:r>
        <w:t>前将足额认购资金划至本公司直销专户；</w:t>
      </w:r>
      <w:r>
        <w:br/>
        <w:t xml:space="preserve">  (5)</w:t>
      </w:r>
      <w:r>
        <w:t>如投资者已划付认购资金，但逾期未办理开户、认购手续的，视同认购无效；</w:t>
      </w:r>
      <w:r>
        <w:br/>
        <w:t xml:space="preserve">  (6)</w:t>
      </w:r>
      <w:r>
        <w:t>投资者</w:t>
      </w:r>
      <w:r>
        <w:t>T</w:t>
      </w:r>
      <w:r>
        <w:t>日提交的开户和认购申请，可于</w:t>
      </w:r>
      <w:r>
        <w:t>T</w:t>
      </w:r>
      <w:r>
        <w:t>＋</w:t>
      </w:r>
      <w:r>
        <w:t>2</w:t>
      </w:r>
      <w:r>
        <w:t>日到本公司直销中心柜台查询确认结果，或通过本公司客户服务中心、本公司网站查询；</w:t>
      </w:r>
      <w:r>
        <w:br/>
        <w:t xml:space="preserve">  (7)</w:t>
      </w:r>
      <w:r>
        <w:t>直销中心柜台办理地址：上海市浦东新区银城中路</w:t>
      </w:r>
      <w:r>
        <w:t>200</w:t>
      </w:r>
      <w:r>
        <w:t>号中银大厦</w:t>
      </w:r>
      <w:r>
        <w:t>26</w:t>
      </w:r>
      <w:r>
        <w:t>楼。</w:t>
      </w:r>
      <w:r>
        <w:br/>
      </w:r>
      <w:r>
        <w:t>（二）通过本公司电子直销平台办理开户和认购程序</w:t>
      </w:r>
      <w:r>
        <w:br/>
        <w:t>1.</w:t>
      </w:r>
      <w:r>
        <w:t>本公司电子直销平台使用及联系方式</w:t>
      </w:r>
      <w:r>
        <w:br/>
      </w:r>
      <w:r>
        <w:t>本公司电子直销平台包括：</w:t>
      </w:r>
      <w:r>
        <w:br/>
      </w:r>
      <w:r>
        <w:t>中银基金官方网站（</w:t>
      </w:r>
      <w:r>
        <w:t>www.bocim.com</w:t>
      </w:r>
      <w:r>
        <w:t>）</w:t>
      </w:r>
      <w:r>
        <w:br/>
      </w:r>
      <w:r>
        <w:t>中银基金官方微信服务号（在微信中搜索公众号</w:t>
      </w:r>
      <w:r>
        <w:t>“</w:t>
      </w:r>
      <w:r>
        <w:t>中银基金</w:t>
      </w:r>
      <w:r>
        <w:t>”</w:t>
      </w:r>
      <w:r>
        <w:t>并选择关注）</w:t>
      </w:r>
      <w:r>
        <w:br/>
      </w:r>
      <w:r>
        <w:t>中银基金官方</w:t>
      </w:r>
      <w:r>
        <w:t>APP</w:t>
      </w:r>
      <w:r>
        <w:t>客户端（在各大手机应用商城搜索</w:t>
      </w:r>
      <w:r>
        <w:t>“</w:t>
      </w:r>
      <w:r>
        <w:t>中银基金</w:t>
      </w:r>
      <w:r>
        <w:t>”</w:t>
      </w:r>
      <w:r>
        <w:t>下载安装）</w:t>
      </w:r>
      <w:r>
        <w:br/>
      </w:r>
      <w:r>
        <w:t>客户服务电话：</w:t>
      </w:r>
      <w:r>
        <w:t>021-3883 4788</w:t>
      </w:r>
      <w:r>
        <w:t>，</w:t>
      </w:r>
      <w:r>
        <w:t xml:space="preserve"> 400-888-5566</w:t>
      </w:r>
      <w:r>
        <w:br/>
      </w:r>
      <w:r>
        <w:t>电子信箱：</w:t>
      </w:r>
      <w:r>
        <w:t>clientservice@bocim.com</w:t>
      </w:r>
      <w:r>
        <w:br/>
      </w:r>
      <w:r>
        <w:t>联系人：朱凯</w:t>
      </w:r>
      <w:r>
        <w:br/>
        <w:t xml:space="preserve">2.  </w:t>
      </w:r>
      <w:r>
        <w:t>开户和认购的时间</w:t>
      </w:r>
      <w:r>
        <w:br/>
      </w:r>
      <w:r>
        <w:t>（</w:t>
      </w:r>
      <w:r>
        <w:t>1</w:t>
      </w:r>
      <w:r>
        <w:t>）开户时间：电子直销平台</w:t>
      </w:r>
      <w:r>
        <w:t>24</w:t>
      </w:r>
      <w:r>
        <w:t>小时（周六、周日和法定节假日照常受理）接受个人投资者开户业务，发售期间基金交易日</w:t>
      </w:r>
      <w:r>
        <w:t>16:00</w:t>
      </w:r>
      <w:r>
        <w:t>之后提交的开户申请于下一交易日受理。</w:t>
      </w:r>
      <w:r>
        <w:br/>
      </w:r>
      <w:r>
        <w:t>（</w:t>
      </w:r>
      <w:r>
        <w:t>2</w:t>
      </w:r>
      <w:r>
        <w:t>）认购时间：电子直销平台在基金发售时段内</w:t>
      </w:r>
      <w:r>
        <w:t>24</w:t>
      </w:r>
      <w:r>
        <w:t>小时（周六、周日和法定节假日照常受理）接受个人投资者提交的认购申请，基金交易日</w:t>
      </w:r>
      <w:r>
        <w:t>16:00</w:t>
      </w:r>
      <w:r>
        <w:t>之后提交的认购申请于下一交易日受理，募集期最后一日</w:t>
      </w:r>
      <w:r>
        <w:t>16:00</w:t>
      </w:r>
      <w:r>
        <w:t>结束认购。</w:t>
      </w:r>
      <w:r>
        <w:br/>
        <w:t>3.</w:t>
      </w:r>
      <w:r>
        <w:t>开户和认购的程序</w:t>
      </w:r>
      <w:r>
        <w:br/>
      </w:r>
      <w:r>
        <w:t>可通过中银基金管理有限公司网站</w:t>
      </w:r>
      <w:r>
        <w:t>http://www.bocim.com</w:t>
      </w:r>
      <w:r>
        <w:t>点击网上交易进行开户和认购程序，具体网上直销开户及认购程序可参见网站相关说明。微信端点击</w:t>
      </w:r>
      <w:r>
        <w:t>“</w:t>
      </w:r>
      <w:r>
        <w:t>开户</w:t>
      </w:r>
      <w:r>
        <w:t>/</w:t>
      </w:r>
      <w:r>
        <w:t>绑定</w:t>
      </w:r>
      <w:r>
        <w:t>”</w:t>
      </w:r>
      <w:r>
        <w:t>、</w:t>
      </w:r>
      <w:r>
        <w:t>APP</w:t>
      </w:r>
      <w:r>
        <w:t>端登陆主页面点击</w:t>
      </w:r>
      <w:r>
        <w:t>“</w:t>
      </w:r>
      <w:r>
        <w:t>注册</w:t>
      </w:r>
      <w:r>
        <w:t>”</w:t>
      </w:r>
      <w:r>
        <w:t>进行开户和认购程序。</w:t>
      </w:r>
      <w:r>
        <w:br/>
      </w:r>
      <w:r>
        <w:t>（三）通过其他销售机构办理开户和认购程序</w:t>
      </w:r>
      <w:r>
        <w:br/>
      </w:r>
      <w:r>
        <w:t>投资者可以通过本公告第六部分或者基金管理人网站公示所列的联系方式向相关销售机构咨询具体开户和认购程序。</w:t>
      </w:r>
    </w:p>
    <w:p w:rsidR="0011730D" w:rsidRDefault="0011730D">
      <w:pPr>
        <w:tabs>
          <w:tab w:val="left" w:pos="0"/>
        </w:tabs>
        <w:adjustRightInd w:val="0"/>
        <w:spacing w:line="360" w:lineRule="auto"/>
        <w:ind w:firstLineChars="202" w:firstLine="424"/>
        <w:contextualSpacing/>
        <w:textAlignment w:val="baseline"/>
      </w:pP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6" w:name="_Toc346624925"/>
      <w:r>
        <w:rPr>
          <w:rFonts w:ascii="Times New Roman" w:eastAsia="宋体" w:hAnsi="Times New Roman" w:hint="eastAsia"/>
          <w:kern w:val="44"/>
          <w:sz w:val="24"/>
          <w:szCs w:val="24"/>
        </w:rPr>
        <w:t>清算与交割</w:t>
      </w:r>
      <w:bookmarkEnd w:id="316"/>
    </w:p>
    <w:p w:rsidR="0011730D" w:rsidRDefault="00C01B90">
      <w:pPr>
        <w:spacing w:line="360" w:lineRule="auto"/>
        <w:ind w:firstLineChars="200" w:firstLine="420"/>
        <w:contextualSpacing/>
      </w:pPr>
      <w:r>
        <w:rPr>
          <w:rFonts w:hint="eastAsia"/>
          <w:bCs/>
          <w:szCs w:val="21"/>
        </w:rPr>
        <w:t>基金管理人应将基金募集期间募集的资金存入专门账户，在基金募集行为结束前，任何人不得动用。</w:t>
      </w:r>
      <w:r>
        <w:rPr>
          <w:rFonts w:hint="eastAsia"/>
        </w:rPr>
        <w:t>基金合同生效时，有效认购款项在募集期间产生的利息将折算为基金份额归基金份额持有人所有。</w:t>
      </w:r>
    </w:p>
    <w:p w:rsidR="0011730D" w:rsidRDefault="00C01B90">
      <w:pPr>
        <w:spacing w:line="360" w:lineRule="auto"/>
        <w:ind w:firstLineChars="200" w:firstLine="420"/>
        <w:contextualSpacing/>
      </w:pPr>
      <w:r>
        <w:rPr>
          <w:rFonts w:hint="eastAsia"/>
        </w:rPr>
        <w:t>本基金权益登记由基金份额登记机构在发售结束后完成。</w:t>
      </w:r>
    </w:p>
    <w:p w:rsidR="0011730D" w:rsidRDefault="0011730D">
      <w:pPr>
        <w:spacing w:line="360" w:lineRule="auto"/>
        <w:ind w:firstLineChars="200" w:firstLine="420"/>
        <w:contextualSpacing/>
      </w:pP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7" w:name="_Toc346624926"/>
      <w:r>
        <w:rPr>
          <w:rFonts w:ascii="Times New Roman" w:eastAsia="宋体" w:hAnsi="Times New Roman" w:hint="eastAsia"/>
          <w:kern w:val="44"/>
          <w:sz w:val="24"/>
          <w:szCs w:val="24"/>
        </w:rPr>
        <w:t>基金的备案</w:t>
      </w:r>
      <w:bookmarkEnd w:id="317"/>
    </w:p>
    <w:p w:rsidR="0011730D" w:rsidRDefault="00C01B90">
      <w:pPr>
        <w:numPr>
          <w:ilvl w:val="0"/>
          <w:numId w:val="7"/>
        </w:numPr>
        <w:tabs>
          <w:tab w:val="left" w:pos="1134"/>
        </w:tabs>
        <w:adjustRightInd w:val="0"/>
        <w:spacing w:line="360" w:lineRule="auto"/>
        <w:ind w:left="623" w:hanging="198"/>
        <w:contextualSpacing/>
        <w:textAlignment w:val="baseline"/>
        <w:rPr>
          <w:b/>
        </w:rPr>
      </w:pPr>
      <w:r>
        <w:rPr>
          <w:rFonts w:hint="eastAsia"/>
          <w:b/>
        </w:rPr>
        <w:t>基金备案的条件</w:t>
      </w:r>
    </w:p>
    <w:p w:rsidR="0011730D" w:rsidRDefault="00C01B90">
      <w:pPr>
        <w:spacing w:line="360" w:lineRule="auto"/>
        <w:ind w:firstLine="420"/>
      </w:pPr>
      <w:r>
        <w:t>本基金自基金份额发售之日起</w:t>
      </w:r>
      <w:r>
        <w:t>3</w:t>
      </w:r>
      <w:r>
        <w:t>个月内，在发起资金提供方认购本基金的金额不少于</w:t>
      </w:r>
      <w:r>
        <w:t>1000</w:t>
      </w:r>
      <w:r>
        <w:t>万元人民币，且承诺持有期限自基金合同生效日起不少于</w:t>
      </w:r>
      <w:r>
        <w:t>3</w:t>
      </w:r>
      <w:r>
        <w:t>年的条件下，基金募集期届满或基金管理人依据法律法规及招募说明书可以决定停止基金发售，并在</w:t>
      </w:r>
      <w:r>
        <w:t>10</w:t>
      </w:r>
      <w:r>
        <w:t>日内聘请法定验资机构验资，验资报告需对发起资金提供方及其持有份额进行专门说明。基金管理人自收到验资报告之日起</w:t>
      </w:r>
      <w:r>
        <w:t>10</w:t>
      </w:r>
      <w:r>
        <w:t>日内，向中国证监会办理基金备案手续。</w:t>
      </w:r>
    </w:p>
    <w:p w:rsidR="0011730D" w:rsidRDefault="00C01B90">
      <w:pPr>
        <w:spacing w:line="360" w:lineRule="auto"/>
        <w:ind w:firstLine="420"/>
      </w:pPr>
      <w: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1730D" w:rsidRDefault="0011730D">
      <w:pPr>
        <w:tabs>
          <w:tab w:val="left" w:pos="624"/>
          <w:tab w:val="left" w:pos="1134"/>
        </w:tabs>
        <w:adjustRightInd w:val="0"/>
        <w:spacing w:line="360" w:lineRule="auto"/>
        <w:contextualSpacing/>
        <w:textAlignment w:val="baseline"/>
        <w:rPr>
          <w:b/>
        </w:rPr>
      </w:pPr>
    </w:p>
    <w:p w:rsidR="0011730D" w:rsidRDefault="00C01B90">
      <w:pPr>
        <w:numPr>
          <w:ilvl w:val="0"/>
          <w:numId w:val="7"/>
        </w:numPr>
        <w:tabs>
          <w:tab w:val="left" w:pos="1134"/>
        </w:tabs>
        <w:adjustRightInd w:val="0"/>
        <w:spacing w:line="360" w:lineRule="auto"/>
        <w:ind w:left="623" w:hanging="198"/>
        <w:contextualSpacing/>
        <w:textAlignment w:val="baseline"/>
        <w:rPr>
          <w:b/>
        </w:rPr>
      </w:pPr>
      <w:r>
        <w:rPr>
          <w:rFonts w:hint="eastAsia"/>
          <w:b/>
          <w:szCs w:val="21"/>
        </w:rPr>
        <w:t>基金合同不能生效时募集资金的处理方式</w:t>
      </w:r>
    </w:p>
    <w:p w:rsidR="0011730D" w:rsidRDefault="00C01B90">
      <w:pPr>
        <w:spacing w:line="360" w:lineRule="auto"/>
        <w:ind w:firstLineChars="200" w:firstLine="420"/>
        <w:contextualSpacing/>
        <w:rPr>
          <w:bCs/>
          <w:szCs w:val="21"/>
        </w:rPr>
      </w:pPr>
      <w:r>
        <w:rPr>
          <w:rFonts w:hint="eastAsia"/>
          <w:bCs/>
          <w:szCs w:val="21"/>
        </w:rPr>
        <w:t>如果募集期限届满，未满足基金备案条件，基金管理人应当承担下列责任：</w:t>
      </w:r>
    </w:p>
    <w:p w:rsidR="0011730D" w:rsidRDefault="00C01B90">
      <w:pPr>
        <w:numPr>
          <w:ilvl w:val="0"/>
          <w:numId w:val="8"/>
        </w:numPr>
        <w:tabs>
          <w:tab w:val="left" w:pos="0"/>
        </w:tabs>
        <w:adjustRightInd w:val="0"/>
        <w:spacing w:line="360" w:lineRule="auto"/>
        <w:ind w:left="0" w:firstLineChars="202" w:firstLine="424"/>
        <w:contextualSpacing/>
        <w:textAlignment w:val="baseline"/>
      </w:pPr>
      <w:r>
        <w:rPr>
          <w:rFonts w:hint="eastAsia"/>
        </w:rPr>
        <w:t>以其固有财产承担因募集行为而产生的债务和费用；</w:t>
      </w:r>
    </w:p>
    <w:p w:rsidR="0011730D" w:rsidRDefault="00C01B90">
      <w:pPr>
        <w:numPr>
          <w:ilvl w:val="0"/>
          <w:numId w:val="8"/>
        </w:numPr>
        <w:tabs>
          <w:tab w:val="left" w:pos="0"/>
        </w:tabs>
        <w:adjustRightInd w:val="0"/>
        <w:spacing w:line="360" w:lineRule="auto"/>
        <w:ind w:left="0" w:firstLineChars="202" w:firstLine="424"/>
        <w:contextualSpacing/>
        <w:textAlignment w:val="baseline"/>
      </w:pPr>
      <w:r>
        <w:rPr>
          <w:rFonts w:hint="eastAsia"/>
        </w:rPr>
        <w:t>在基金募集期限届满后</w:t>
      </w:r>
      <w:r>
        <w:t>30</w:t>
      </w:r>
      <w:r>
        <w:rPr>
          <w:rFonts w:hint="eastAsia"/>
        </w:rPr>
        <w:t>日内返还投资者已缴纳的款项，并加计银行同期活期存款利息。</w:t>
      </w:r>
    </w:p>
    <w:p w:rsidR="0011730D" w:rsidRDefault="00C01B90">
      <w:pPr>
        <w:numPr>
          <w:ilvl w:val="0"/>
          <w:numId w:val="8"/>
        </w:numPr>
        <w:tabs>
          <w:tab w:val="left" w:pos="0"/>
        </w:tabs>
        <w:adjustRightInd w:val="0"/>
        <w:spacing w:line="360" w:lineRule="auto"/>
        <w:ind w:left="0" w:firstLineChars="202" w:firstLine="424"/>
        <w:contextualSpacing/>
        <w:textAlignment w:val="baseline"/>
      </w:pPr>
      <w:r>
        <w:rPr>
          <w:rFonts w:hint="eastAsia"/>
        </w:rPr>
        <w:t>如基金募集失败，基金管理人、基金托管人及销售机构不得请求报酬。基金管理人、基金托管人和销售机构为基金募集支付之一切费用应由各方各自承担。</w:t>
      </w:r>
    </w:p>
    <w:p w:rsidR="0011730D" w:rsidRDefault="00C01B90">
      <w:pPr>
        <w:numPr>
          <w:ilvl w:val="0"/>
          <w:numId w:val="7"/>
        </w:numPr>
        <w:tabs>
          <w:tab w:val="left" w:pos="1134"/>
        </w:tabs>
        <w:adjustRightInd w:val="0"/>
        <w:spacing w:line="360" w:lineRule="auto"/>
        <w:ind w:left="623" w:hanging="198"/>
        <w:contextualSpacing/>
        <w:textAlignment w:val="baseline"/>
        <w:rPr>
          <w:b/>
        </w:rPr>
      </w:pPr>
      <w:r>
        <w:rPr>
          <w:rFonts w:hint="eastAsia"/>
          <w:b/>
        </w:rPr>
        <w:t>基金存续期内的基金份额持有人数量和资产规模</w:t>
      </w:r>
    </w:p>
    <w:p w:rsidR="0011730D" w:rsidRDefault="00C01B90">
      <w:pPr>
        <w:spacing w:line="360" w:lineRule="auto"/>
        <w:ind w:firstLine="420"/>
        <w:textAlignment w:val="baseline"/>
      </w:pPr>
      <w:r>
        <w:t>《基金合同》生效满</w:t>
      </w:r>
      <w:r>
        <w:t>3</w:t>
      </w:r>
      <w:r>
        <w:t>年之日，若基金资产规模低于</w:t>
      </w:r>
      <w:r>
        <w:t>2</w:t>
      </w:r>
      <w:r>
        <w:t>亿元，基金合同应当终止，且不得通过召开基金份额持有人大会的方式延续。若届时的法律法规或中国证监会规定发生变化，上述终止规定被取消、更改或补充，则本基金可以参照届时有效的法律法规或中国证监会规定执行。</w:t>
      </w:r>
    </w:p>
    <w:p w:rsidR="0011730D" w:rsidRDefault="00C01B90">
      <w:pPr>
        <w:spacing w:line="360" w:lineRule="auto"/>
        <w:ind w:firstLine="420"/>
        <w:textAlignment w:val="baseline"/>
      </w:pPr>
      <w:r>
        <w:t>《基金合同》生效满</w:t>
      </w:r>
      <w:r>
        <w:t>3</w:t>
      </w:r>
      <w:r>
        <w:t>年后本基金继续存续的，连续</w:t>
      </w:r>
      <w:r>
        <w:t>20</w:t>
      </w:r>
      <w:r>
        <w:t>个工作日出现基金份额持有人数量不满</w:t>
      </w:r>
      <w:r>
        <w:t>200</w:t>
      </w:r>
      <w:r>
        <w:t>人或者基金资产净值低于</w:t>
      </w:r>
      <w:r>
        <w:t>5000</w:t>
      </w:r>
      <w:r>
        <w:t>万元情形的，基金管理人应当在定期报告中予以披露；连续</w:t>
      </w:r>
      <w:r>
        <w:t>50</w:t>
      </w:r>
      <w:r>
        <w:t>个工作日出现前述情形的，基金管理人应当按照《基金合同》的约定程序进行清算并终止《基金合同》，并向中国证监会报告，但不需要召开基金份额持有人大会。</w:t>
      </w:r>
    </w:p>
    <w:p w:rsidR="0011730D" w:rsidRDefault="00C01B90">
      <w:pPr>
        <w:spacing w:line="360" w:lineRule="auto"/>
        <w:ind w:firstLine="420"/>
        <w:textAlignment w:val="baseline"/>
      </w:pPr>
      <w:r>
        <w:t>法律法规或中国证监会另有规定时，从其规定。</w:t>
      </w:r>
    </w:p>
    <w:p w:rsidR="0011730D" w:rsidRDefault="0011730D">
      <w:pPr>
        <w:spacing w:line="360" w:lineRule="auto"/>
        <w:ind w:firstLineChars="200" w:firstLine="420"/>
        <w:contextualSpacing/>
        <w:rPr>
          <w:szCs w:val="21"/>
        </w:rPr>
      </w:pPr>
    </w:p>
    <w:p w:rsidR="0011730D" w:rsidRDefault="00C01B9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8" w:name="_Toc346624927"/>
      <w:r>
        <w:rPr>
          <w:rFonts w:ascii="Times New Roman" w:eastAsia="宋体" w:hAnsi="Times New Roman"/>
          <w:kern w:val="44"/>
          <w:sz w:val="24"/>
          <w:szCs w:val="24"/>
        </w:rPr>
        <w:t>本次基金发售当事人或中介机构</w:t>
      </w:r>
      <w:bookmarkEnd w:id="318"/>
    </w:p>
    <w:p w:rsidR="0011730D" w:rsidRDefault="00C01B90">
      <w:pPr>
        <w:numPr>
          <w:ilvl w:val="0"/>
          <w:numId w:val="9"/>
        </w:numPr>
        <w:adjustRightInd w:val="0"/>
        <w:spacing w:line="360" w:lineRule="auto"/>
        <w:ind w:hanging="198"/>
        <w:contextualSpacing/>
        <w:textAlignment w:val="baseline"/>
        <w:rPr>
          <w:b/>
        </w:rPr>
      </w:pPr>
      <w:r>
        <w:rPr>
          <w:rFonts w:hint="eastAsia"/>
          <w:b/>
        </w:rPr>
        <w:t>基金管理人</w:t>
      </w:r>
    </w:p>
    <w:p w:rsidR="0011730D" w:rsidRDefault="00C01B90">
      <w:pPr>
        <w:spacing w:line="360" w:lineRule="auto"/>
        <w:ind w:left="426"/>
      </w:pPr>
      <w:r>
        <w:t>名称：中银基金管理有限公司</w:t>
      </w:r>
      <w:r>
        <w:br/>
      </w:r>
      <w:r>
        <w:t>注册地址：</w:t>
      </w:r>
      <w:r>
        <w:t xml:space="preserve"> </w:t>
      </w:r>
      <w:r>
        <w:t>上海市浦东新区银城中路</w:t>
      </w:r>
      <w:r>
        <w:t>200</w:t>
      </w:r>
      <w:r>
        <w:t>号中银大厦</w:t>
      </w:r>
      <w:r>
        <w:t>45</w:t>
      </w:r>
      <w:r>
        <w:t>楼</w:t>
      </w:r>
      <w:r>
        <w:t xml:space="preserve"> </w:t>
      </w:r>
      <w:r>
        <w:br/>
      </w:r>
      <w:r>
        <w:t>办公地址：</w:t>
      </w:r>
      <w:r>
        <w:t xml:space="preserve"> </w:t>
      </w:r>
      <w:r>
        <w:t>上海市浦东新区银城中路</w:t>
      </w:r>
      <w:r>
        <w:t xml:space="preserve"> 200 </w:t>
      </w:r>
      <w:r>
        <w:t>号中银大厦</w:t>
      </w:r>
      <w:r>
        <w:t xml:space="preserve"> 10 </w:t>
      </w:r>
      <w:r>
        <w:t>楼、</w:t>
      </w:r>
      <w:r>
        <w:t xml:space="preserve">11 </w:t>
      </w:r>
      <w:r>
        <w:t>楼、</w:t>
      </w:r>
      <w:r>
        <w:t xml:space="preserve">26 </w:t>
      </w:r>
      <w:r>
        <w:t>楼、</w:t>
      </w:r>
      <w:r>
        <w:t xml:space="preserve">45 </w:t>
      </w:r>
      <w:r>
        <w:t>楼</w:t>
      </w:r>
      <w:r>
        <w:br/>
      </w:r>
      <w:r>
        <w:t>法定代表人：刘信群</w:t>
      </w:r>
      <w:r>
        <w:br/>
      </w:r>
      <w:r>
        <w:t>电话：（</w:t>
      </w:r>
      <w:r>
        <w:t>021</w:t>
      </w:r>
      <w:r>
        <w:t>）</w:t>
      </w:r>
      <w:r>
        <w:t>38848999</w:t>
      </w:r>
      <w:r>
        <w:br/>
      </w:r>
      <w:r>
        <w:t>传真：（</w:t>
      </w:r>
      <w:r>
        <w:t>021</w:t>
      </w:r>
      <w:r>
        <w:t>）</w:t>
      </w:r>
      <w:r>
        <w:t>50960970</w:t>
      </w:r>
      <w:r>
        <w:br/>
      </w:r>
      <w:r>
        <w:t>联系人：高爽秋</w:t>
      </w:r>
    </w:p>
    <w:p w:rsidR="0011730D" w:rsidRDefault="0011730D">
      <w:pPr>
        <w:spacing w:line="360" w:lineRule="auto"/>
        <w:ind w:firstLineChars="200" w:firstLine="420"/>
        <w:contextualSpacing/>
      </w:pPr>
    </w:p>
    <w:p w:rsidR="0011730D" w:rsidRDefault="00C01B90">
      <w:pPr>
        <w:numPr>
          <w:ilvl w:val="0"/>
          <w:numId w:val="9"/>
        </w:numPr>
        <w:adjustRightInd w:val="0"/>
        <w:spacing w:line="360" w:lineRule="auto"/>
        <w:ind w:left="623" w:hanging="198"/>
        <w:contextualSpacing/>
        <w:textAlignment w:val="baseline"/>
        <w:rPr>
          <w:b/>
        </w:rPr>
      </w:pPr>
      <w:r>
        <w:rPr>
          <w:rFonts w:hint="eastAsia"/>
          <w:b/>
        </w:rPr>
        <w:t>基金托管人</w:t>
      </w:r>
    </w:p>
    <w:p w:rsidR="0011730D" w:rsidRDefault="00C01B90">
      <w:pPr>
        <w:spacing w:line="360" w:lineRule="auto"/>
        <w:ind w:firstLineChars="200" w:firstLine="420"/>
        <w:rPr>
          <w:bCs/>
          <w:color w:val="000000"/>
          <w:szCs w:val="21"/>
        </w:rPr>
      </w:pPr>
      <w:r>
        <w:rPr>
          <w:rFonts w:hint="eastAsia"/>
          <w:bCs/>
          <w:color w:val="000000"/>
          <w:szCs w:val="21"/>
        </w:rPr>
        <w:t>名称：招商银行股份有限公司</w:t>
      </w:r>
    </w:p>
    <w:p w:rsidR="0011730D" w:rsidRDefault="00C01B90">
      <w:pPr>
        <w:spacing w:line="360" w:lineRule="auto"/>
        <w:ind w:firstLineChars="200" w:firstLine="420"/>
        <w:rPr>
          <w:bCs/>
          <w:color w:val="000000"/>
          <w:szCs w:val="21"/>
        </w:rPr>
      </w:pPr>
      <w:r>
        <w:rPr>
          <w:rFonts w:hint="eastAsia"/>
          <w:bCs/>
          <w:color w:val="000000"/>
          <w:szCs w:val="21"/>
        </w:rPr>
        <w:t>设立日期：</w:t>
      </w:r>
      <w:r>
        <w:rPr>
          <w:bCs/>
          <w:color w:val="000000"/>
          <w:szCs w:val="21"/>
        </w:rPr>
        <w:t>1987</w:t>
      </w:r>
      <w:r>
        <w:rPr>
          <w:rFonts w:hint="eastAsia"/>
          <w:bCs/>
          <w:color w:val="000000"/>
          <w:szCs w:val="21"/>
        </w:rPr>
        <w:t>年</w:t>
      </w:r>
      <w:r>
        <w:rPr>
          <w:bCs/>
          <w:color w:val="000000"/>
          <w:szCs w:val="21"/>
        </w:rPr>
        <w:t>4</w:t>
      </w:r>
      <w:r>
        <w:rPr>
          <w:rFonts w:hint="eastAsia"/>
          <w:bCs/>
          <w:color w:val="000000"/>
          <w:szCs w:val="21"/>
        </w:rPr>
        <w:t>月</w:t>
      </w:r>
      <w:r>
        <w:rPr>
          <w:bCs/>
          <w:color w:val="000000"/>
          <w:szCs w:val="21"/>
        </w:rPr>
        <w:t>8</w:t>
      </w:r>
      <w:r>
        <w:rPr>
          <w:rFonts w:hint="eastAsia"/>
          <w:bCs/>
          <w:color w:val="000000"/>
          <w:szCs w:val="21"/>
        </w:rPr>
        <w:t>日</w:t>
      </w:r>
    </w:p>
    <w:p w:rsidR="0011730D" w:rsidRDefault="00C01B90">
      <w:pPr>
        <w:spacing w:line="360" w:lineRule="auto"/>
        <w:ind w:firstLineChars="200" w:firstLine="420"/>
        <w:rPr>
          <w:bCs/>
          <w:color w:val="000000"/>
          <w:szCs w:val="21"/>
        </w:rPr>
      </w:pPr>
      <w:r>
        <w:rPr>
          <w:rFonts w:hint="eastAsia"/>
          <w:bCs/>
          <w:color w:val="000000"/>
          <w:szCs w:val="21"/>
        </w:rPr>
        <w:t>注册地址：深圳市深南大道</w:t>
      </w:r>
      <w:r>
        <w:rPr>
          <w:bCs/>
          <w:color w:val="000000"/>
          <w:szCs w:val="21"/>
        </w:rPr>
        <w:t>7088</w:t>
      </w:r>
      <w:r>
        <w:rPr>
          <w:rFonts w:hint="eastAsia"/>
          <w:bCs/>
          <w:color w:val="000000"/>
          <w:szCs w:val="21"/>
        </w:rPr>
        <w:t>号招商银行大厦</w:t>
      </w:r>
    </w:p>
    <w:p w:rsidR="0011730D" w:rsidRDefault="00C01B90">
      <w:pPr>
        <w:spacing w:line="360" w:lineRule="auto"/>
        <w:ind w:firstLineChars="200" w:firstLine="420"/>
        <w:rPr>
          <w:bCs/>
          <w:color w:val="000000"/>
          <w:szCs w:val="21"/>
        </w:rPr>
      </w:pPr>
      <w:r>
        <w:rPr>
          <w:rFonts w:hint="eastAsia"/>
          <w:bCs/>
          <w:color w:val="000000"/>
          <w:szCs w:val="21"/>
        </w:rPr>
        <w:t>办公地址：深圳市深南大道</w:t>
      </w:r>
      <w:r>
        <w:rPr>
          <w:bCs/>
          <w:color w:val="000000"/>
          <w:szCs w:val="21"/>
        </w:rPr>
        <w:t>7088</w:t>
      </w:r>
      <w:r>
        <w:rPr>
          <w:rFonts w:hint="eastAsia"/>
          <w:bCs/>
          <w:color w:val="000000"/>
          <w:szCs w:val="21"/>
        </w:rPr>
        <w:t>号招商银行大厦</w:t>
      </w:r>
    </w:p>
    <w:p w:rsidR="0011730D" w:rsidRDefault="00C01B90">
      <w:pPr>
        <w:spacing w:line="360" w:lineRule="auto"/>
        <w:ind w:firstLineChars="200" w:firstLine="420"/>
        <w:rPr>
          <w:bCs/>
          <w:color w:val="000000"/>
          <w:szCs w:val="21"/>
        </w:rPr>
      </w:pPr>
      <w:r>
        <w:rPr>
          <w:rFonts w:hint="eastAsia"/>
          <w:bCs/>
          <w:color w:val="000000"/>
          <w:szCs w:val="21"/>
        </w:rPr>
        <w:t>注册资本：</w:t>
      </w:r>
      <w:r>
        <w:rPr>
          <w:bCs/>
          <w:color w:val="000000"/>
          <w:szCs w:val="21"/>
        </w:rPr>
        <w:t>252.20</w:t>
      </w:r>
      <w:r>
        <w:rPr>
          <w:rFonts w:hint="eastAsia"/>
          <w:bCs/>
          <w:color w:val="000000"/>
          <w:szCs w:val="21"/>
        </w:rPr>
        <w:t>亿元</w:t>
      </w:r>
    </w:p>
    <w:p w:rsidR="0011730D" w:rsidRDefault="00C01B90">
      <w:pPr>
        <w:spacing w:line="360" w:lineRule="auto"/>
        <w:ind w:firstLineChars="200" w:firstLine="420"/>
        <w:rPr>
          <w:bCs/>
          <w:color w:val="000000"/>
          <w:szCs w:val="21"/>
        </w:rPr>
      </w:pPr>
      <w:r>
        <w:rPr>
          <w:rFonts w:hint="eastAsia"/>
          <w:bCs/>
          <w:color w:val="000000"/>
          <w:szCs w:val="21"/>
        </w:rPr>
        <w:t>法定代表人：缪建民</w:t>
      </w:r>
    </w:p>
    <w:p w:rsidR="0011730D" w:rsidRDefault="00C01B90">
      <w:pPr>
        <w:spacing w:line="360" w:lineRule="auto"/>
        <w:ind w:firstLineChars="200" w:firstLine="420"/>
        <w:rPr>
          <w:bCs/>
          <w:color w:val="000000"/>
          <w:szCs w:val="21"/>
        </w:rPr>
      </w:pPr>
      <w:r>
        <w:rPr>
          <w:rFonts w:hint="eastAsia"/>
          <w:bCs/>
          <w:color w:val="000000"/>
          <w:szCs w:val="21"/>
        </w:rPr>
        <w:t>行长：王良</w:t>
      </w:r>
    </w:p>
    <w:p w:rsidR="0011730D" w:rsidRDefault="00C01B90">
      <w:pPr>
        <w:spacing w:line="360" w:lineRule="auto"/>
        <w:ind w:firstLineChars="200" w:firstLine="420"/>
        <w:rPr>
          <w:bCs/>
          <w:color w:val="000000"/>
          <w:szCs w:val="21"/>
        </w:rPr>
      </w:pPr>
      <w:r>
        <w:rPr>
          <w:rFonts w:hint="eastAsia"/>
          <w:bCs/>
          <w:color w:val="000000"/>
          <w:szCs w:val="21"/>
        </w:rPr>
        <w:t>资产托管业务批准文号：证监基金字</w:t>
      </w:r>
      <w:r>
        <w:rPr>
          <w:bCs/>
          <w:color w:val="000000"/>
          <w:szCs w:val="21"/>
        </w:rPr>
        <w:t>[2002]83</w:t>
      </w:r>
      <w:r>
        <w:rPr>
          <w:rFonts w:hint="eastAsia"/>
          <w:bCs/>
          <w:color w:val="000000"/>
          <w:szCs w:val="21"/>
        </w:rPr>
        <w:t>号</w:t>
      </w:r>
    </w:p>
    <w:p w:rsidR="0011730D" w:rsidRDefault="00C01B90">
      <w:pPr>
        <w:spacing w:line="360" w:lineRule="auto"/>
        <w:ind w:firstLineChars="200" w:firstLine="420"/>
        <w:rPr>
          <w:bCs/>
          <w:color w:val="000000"/>
          <w:szCs w:val="21"/>
        </w:rPr>
      </w:pPr>
      <w:r>
        <w:rPr>
          <w:rFonts w:hint="eastAsia"/>
          <w:bCs/>
          <w:color w:val="000000"/>
          <w:szCs w:val="21"/>
        </w:rPr>
        <w:t>电话：</w:t>
      </w:r>
      <w:r>
        <w:rPr>
          <w:bCs/>
          <w:color w:val="000000"/>
          <w:szCs w:val="21"/>
        </w:rPr>
        <w:t>4006195555</w:t>
      </w:r>
    </w:p>
    <w:p w:rsidR="0011730D" w:rsidRDefault="00C01B90">
      <w:pPr>
        <w:spacing w:line="360" w:lineRule="auto"/>
        <w:ind w:firstLineChars="200" w:firstLine="420"/>
        <w:rPr>
          <w:bCs/>
          <w:color w:val="000000"/>
          <w:szCs w:val="21"/>
        </w:rPr>
      </w:pPr>
      <w:r>
        <w:rPr>
          <w:rFonts w:hint="eastAsia"/>
          <w:bCs/>
          <w:color w:val="000000"/>
          <w:szCs w:val="21"/>
        </w:rPr>
        <w:t>传真：</w:t>
      </w:r>
      <w:r>
        <w:rPr>
          <w:bCs/>
          <w:color w:val="000000"/>
          <w:szCs w:val="21"/>
        </w:rPr>
        <w:t>0755-83195201</w:t>
      </w:r>
    </w:p>
    <w:p w:rsidR="0011730D" w:rsidRDefault="00C01B90">
      <w:pPr>
        <w:spacing w:line="360" w:lineRule="auto"/>
        <w:ind w:leftChars="200" w:left="420"/>
      </w:pPr>
      <w:r>
        <w:rPr>
          <w:rFonts w:hint="eastAsia"/>
          <w:bCs/>
          <w:color w:val="000000"/>
          <w:szCs w:val="21"/>
        </w:rPr>
        <w:t>资产托管部信息披露负责人：张姗</w:t>
      </w:r>
    </w:p>
    <w:p w:rsidR="0011730D" w:rsidRDefault="0011730D">
      <w:pPr>
        <w:spacing w:line="360" w:lineRule="auto"/>
        <w:ind w:firstLineChars="200" w:firstLine="420"/>
      </w:pPr>
    </w:p>
    <w:p w:rsidR="0011730D" w:rsidRDefault="00C01B90">
      <w:pPr>
        <w:numPr>
          <w:ilvl w:val="0"/>
          <w:numId w:val="9"/>
        </w:numPr>
        <w:adjustRightInd w:val="0"/>
        <w:spacing w:line="360" w:lineRule="auto"/>
        <w:ind w:left="623" w:hanging="198"/>
        <w:contextualSpacing/>
        <w:textAlignment w:val="baseline"/>
        <w:rPr>
          <w:b/>
        </w:rPr>
      </w:pPr>
      <w:r>
        <w:rPr>
          <w:b/>
        </w:rPr>
        <w:t>销售机构</w:t>
      </w:r>
    </w:p>
    <w:p w:rsidR="0011730D" w:rsidRDefault="00C01B90">
      <w:pPr>
        <w:numPr>
          <w:ilvl w:val="0"/>
          <w:numId w:val="10"/>
        </w:numPr>
        <w:tabs>
          <w:tab w:val="left" w:pos="0"/>
        </w:tabs>
        <w:adjustRightInd w:val="0"/>
        <w:spacing w:line="360" w:lineRule="auto"/>
        <w:ind w:left="0" w:firstLine="426"/>
        <w:contextualSpacing/>
        <w:textAlignment w:val="baseline"/>
      </w:pPr>
      <w:r>
        <w:t>A</w:t>
      </w:r>
      <w:r>
        <w:t>类基金份额销售机构</w:t>
      </w:r>
    </w:p>
    <w:p w:rsidR="0011730D" w:rsidRDefault="00C01B90">
      <w:pPr>
        <w:tabs>
          <w:tab w:val="left" w:pos="0"/>
        </w:tabs>
        <w:adjustRightInd w:val="0"/>
        <w:spacing w:line="360" w:lineRule="auto"/>
        <w:ind w:left="426"/>
        <w:contextualSpacing/>
        <w:textAlignment w:val="baseline"/>
      </w:pPr>
      <w:r>
        <w:rPr>
          <w:rFonts w:hint="eastAsia"/>
        </w:rPr>
        <w:t>（</w:t>
      </w:r>
      <w:r>
        <w:rPr>
          <w:rFonts w:hint="eastAsia"/>
        </w:rPr>
        <w:t>1</w:t>
      </w:r>
      <w:r>
        <w:rPr>
          <w:rFonts w:hint="eastAsia"/>
        </w:rPr>
        <w:t>）直销机构</w:t>
      </w:r>
    </w:p>
    <w:p w:rsidR="0011730D" w:rsidRDefault="00C01B90">
      <w:pPr>
        <w:adjustRightInd w:val="0"/>
        <w:spacing w:line="360" w:lineRule="auto"/>
        <w:ind w:left="426"/>
        <w:contextualSpacing/>
        <w:textAlignment w:val="baseline"/>
      </w:pPr>
      <w:r>
        <w:t>名称：中银基金管理有限公司</w:t>
      </w:r>
      <w:r>
        <w:br/>
      </w:r>
      <w:r>
        <w:t>注册地址：</w:t>
      </w:r>
      <w:r>
        <w:t xml:space="preserve"> </w:t>
      </w:r>
      <w:r>
        <w:t>上海市浦东新区银城中路</w:t>
      </w:r>
      <w:r>
        <w:t>200</w:t>
      </w:r>
      <w:r>
        <w:t>号中银大厦</w:t>
      </w:r>
      <w:r>
        <w:t>45</w:t>
      </w:r>
      <w:r>
        <w:t>楼</w:t>
      </w:r>
      <w:r>
        <w:t xml:space="preserve"> </w:t>
      </w:r>
      <w:r>
        <w:br/>
      </w:r>
      <w:r>
        <w:t>办公地址：</w:t>
      </w:r>
      <w:r>
        <w:t xml:space="preserve"> </w:t>
      </w:r>
      <w:r>
        <w:t>上海市浦东新区银城中路</w:t>
      </w:r>
      <w:r>
        <w:t xml:space="preserve"> 200 </w:t>
      </w:r>
      <w:r>
        <w:t>号中银大厦</w:t>
      </w:r>
      <w:r>
        <w:t xml:space="preserve"> 10 </w:t>
      </w:r>
      <w:r>
        <w:t>楼、</w:t>
      </w:r>
      <w:r>
        <w:t xml:space="preserve">11 </w:t>
      </w:r>
      <w:r>
        <w:t>楼、</w:t>
      </w:r>
      <w:r>
        <w:t xml:space="preserve">26 </w:t>
      </w:r>
      <w:r>
        <w:t>楼、</w:t>
      </w:r>
      <w:r>
        <w:t xml:space="preserve">45 </w:t>
      </w:r>
      <w:r>
        <w:t>楼</w:t>
      </w:r>
      <w:r>
        <w:br/>
      </w:r>
      <w:r>
        <w:t>法定代表人：刘信群</w:t>
      </w:r>
      <w:r>
        <w:br/>
      </w:r>
      <w:r>
        <w:t>电话：（</w:t>
      </w:r>
      <w:r>
        <w:t>021</w:t>
      </w:r>
      <w:r>
        <w:t>）</w:t>
      </w:r>
      <w:r>
        <w:t>38848999</w:t>
      </w:r>
      <w:r>
        <w:br/>
      </w:r>
      <w:r>
        <w:t>传真：（</w:t>
      </w:r>
      <w:r>
        <w:t>021</w:t>
      </w:r>
      <w:r>
        <w:t>）</w:t>
      </w:r>
      <w:r>
        <w:t>50960970</w:t>
      </w:r>
      <w:r>
        <w:br/>
      </w:r>
      <w:r>
        <w:t>联系人：高爽秋</w:t>
      </w:r>
    </w:p>
    <w:p w:rsidR="0011730D" w:rsidRDefault="00C01B90">
      <w:pPr>
        <w:adjustRightInd w:val="0"/>
        <w:spacing w:line="360" w:lineRule="auto"/>
        <w:ind w:left="426"/>
        <w:contextualSpacing/>
        <w:textAlignment w:val="baseline"/>
      </w:pPr>
      <w:r>
        <w:t>1</w:t>
      </w:r>
      <w:r>
        <w:rPr>
          <w:rFonts w:hint="eastAsia"/>
        </w:rPr>
        <w:t>）</w:t>
      </w:r>
      <w:r>
        <w:tab/>
      </w:r>
      <w:r>
        <w:rPr>
          <w:rFonts w:hint="eastAsia"/>
        </w:rPr>
        <w:t>中银基金管理有限公司直销中心柜台</w:t>
      </w:r>
    </w:p>
    <w:p w:rsidR="0011730D" w:rsidRDefault="00C01B90">
      <w:pPr>
        <w:adjustRightInd w:val="0"/>
        <w:spacing w:line="360" w:lineRule="auto"/>
        <w:ind w:left="426"/>
        <w:contextualSpacing/>
        <w:textAlignment w:val="baseline"/>
      </w:pPr>
      <w:r>
        <w:t>地址：上海市浦东新区银城中路</w:t>
      </w:r>
      <w:r>
        <w:t>200</w:t>
      </w:r>
      <w:r>
        <w:t>号中银大厦</w:t>
      </w:r>
      <w:r>
        <w:t>26</w:t>
      </w:r>
      <w:r>
        <w:t>楼</w:t>
      </w:r>
      <w:r>
        <w:br/>
      </w:r>
      <w:r>
        <w:t>客户服务电话：</w:t>
      </w:r>
      <w:r>
        <w:t>021-3883 4788</w:t>
      </w:r>
      <w:r>
        <w:t>，</w:t>
      </w:r>
      <w:r>
        <w:t xml:space="preserve"> 400-888-5566</w:t>
      </w:r>
      <w:r>
        <w:br/>
      </w:r>
      <w:r>
        <w:t>电子信箱：</w:t>
      </w:r>
      <w:r>
        <w:t>clientservice@bocim.com</w:t>
      </w:r>
      <w:r>
        <w:br/>
      </w:r>
      <w:r>
        <w:t>联系人：曹卿</w:t>
      </w:r>
    </w:p>
    <w:p w:rsidR="0011730D" w:rsidRDefault="00C01B90">
      <w:pPr>
        <w:adjustRightInd w:val="0"/>
        <w:spacing w:line="360" w:lineRule="auto"/>
        <w:ind w:left="426"/>
        <w:contextualSpacing/>
        <w:textAlignment w:val="baseline"/>
      </w:pPr>
      <w:r>
        <w:t>2</w:t>
      </w:r>
      <w:r>
        <w:rPr>
          <w:rFonts w:hint="eastAsia"/>
        </w:rPr>
        <w:t>）</w:t>
      </w:r>
      <w:r>
        <w:tab/>
      </w:r>
      <w:r>
        <w:rPr>
          <w:rFonts w:hint="eastAsia"/>
        </w:rPr>
        <w:t>中银基金管理有限公司电子直销平台</w:t>
      </w:r>
    </w:p>
    <w:p w:rsidR="0011730D" w:rsidRDefault="00C01B90">
      <w:pPr>
        <w:adjustRightInd w:val="0"/>
        <w:spacing w:line="360" w:lineRule="auto"/>
        <w:ind w:left="426"/>
        <w:contextualSpacing/>
        <w:textAlignment w:val="baseline"/>
      </w:pPr>
      <w:r>
        <w:t>本公司电子直销平台包括：</w:t>
      </w:r>
      <w:r>
        <w:br/>
      </w:r>
      <w:r>
        <w:t>中银基金官方网站（</w:t>
      </w:r>
      <w:r>
        <w:t>www.bocim.com</w:t>
      </w:r>
      <w:r>
        <w:t>）</w:t>
      </w:r>
      <w:r>
        <w:br/>
      </w:r>
      <w:r>
        <w:t>中银基金官方微信服务号（在微信中搜索公众号</w:t>
      </w:r>
      <w:r>
        <w:t>“</w:t>
      </w:r>
      <w:r>
        <w:t>中银基金</w:t>
      </w:r>
      <w:r>
        <w:t>”</w:t>
      </w:r>
      <w:r>
        <w:t>并选择关注）</w:t>
      </w:r>
      <w:r>
        <w:br/>
      </w:r>
      <w:r>
        <w:t>中银基金官方</w:t>
      </w:r>
      <w:r>
        <w:t>APP</w:t>
      </w:r>
      <w:r>
        <w:t>客户端（在各大手机应用商城搜索</w:t>
      </w:r>
      <w:r>
        <w:t>“</w:t>
      </w:r>
      <w:r>
        <w:t>中银基金</w:t>
      </w:r>
      <w:r>
        <w:t>”</w:t>
      </w:r>
      <w:r>
        <w:t>下载安装）</w:t>
      </w:r>
      <w:r>
        <w:br/>
      </w:r>
      <w:r>
        <w:t>客户服务电话：</w:t>
      </w:r>
      <w:r>
        <w:t>021-3883 4788</w:t>
      </w:r>
      <w:r>
        <w:t>，</w:t>
      </w:r>
      <w:r>
        <w:t xml:space="preserve"> 400-888-5566</w:t>
      </w:r>
      <w:r>
        <w:br/>
      </w:r>
      <w:r>
        <w:t>电子信箱：</w:t>
      </w:r>
      <w:r>
        <w:t>clientservice@bocim.com</w:t>
      </w:r>
      <w:r>
        <w:br/>
      </w:r>
      <w:r>
        <w:t>联系人：朱凯</w:t>
      </w:r>
    </w:p>
    <w:p w:rsidR="0011730D" w:rsidRDefault="00C01B90">
      <w:pPr>
        <w:adjustRightInd w:val="0"/>
        <w:spacing w:line="360" w:lineRule="auto"/>
        <w:ind w:left="426"/>
        <w:contextualSpacing/>
        <w:textAlignment w:val="baseline"/>
      </w:pPr>
      <w:r>
        <w:rPr>
          <w:rFonts w:hint="eastAsia"/>
        </w:rPr>
        <w:t>（</w:t>
      </w:r>
      <w:r>
        <w:rPr>
          <w:rFonts w:hint="eastAsia"/>
        </w:rPr>
        <w:t>2</w:t>
      </w:r>
      <w:r>
        <w:rPr>
          <w:rFonts w:hint="eastAsia"/>
        </w:rPr>
        <w:t>）代销机构</w:t>
      </w:r>
    </w:p>
    <w:p w:rsidR="0011730D" w:rsidRDefault="00C01B90">
      <w:pPr>
        <w:tabs>
          <w:tab w:val="left" w:pos="0"/>
        </w:tabs>
        <w:spacing w:line="360" w:lineRule="auto"/>
        <w:ind w:leftChars="200" w:left="420"/>
        <w:contextualSpacing/>
      </w:pPr>
      <w:r>
        <w:t>1</w:t>
      </w:r>
      <w:r>
        <w:t>）蚂蚁（杭州）基金销售有限公司</w:t>
      </w:r>
    </w:p>
    <w:p w:rsidR="0011730D" w:rsidRDefault="00C01B90">
      <w:pPr>
        <w:tabs>
          <w:tab w:val="left" w:pos="0"/>
        </w:tabs>
        <w:spacing w:line="360" w:lineRule="auto"/>
        <w:ind w:leftChars="200" w:left="420"/>
        <w:contextualSpacing/>
      </w:pPr>
      <w:r>
        <w:t>公司网站：</w:t>
      </w:r>
      <w:r>
        <w:t xml:space="preserve">www.fund123.cn    </w:t>
      </w:r>
    </w:p>
    <w:p w:rsidR="0011730D" w:rsidRDefault="00C01B90">
      <w:pPr>
        <w:tabs>
          <w:tab w:val="left" w:pos="0"/>
        </w:tabs>
        <w:spacing w:line="360" w:lineRule="auto"/>
        <w:ind w:leftChars="200" w:left="420"/>
        <w:contextualSpacing/>
      </w:pPr>
      <w:r>
        <w:t>客服服务热线：</w:t>
      </w:r>
      <w:r>
        <w:t>95188-8</w:t>
      </w:r>
    </w:p>
    <w:p w:rsidR="0011730D" w:rsidRDefault="0011730D">
      <w:pPr>
        <w:tabs>
          <w:tab w:val="left" w:pos="0"/>
        </w:tabs>
        <w:spacing w:line="360" w:lineRule="auto"/>
        <w:ind w:leftChars="200" w:left="420"/>
        <w:contextualSpacing/>
      </w:pPr>
    </w:p>
    <w:p w:rsidR="0011730D" w:rsidRDefault="00C01B90">
      <w:pPr>
        <w:numPr>
          <w:ilvl w:val="0"/>
          <w:numId w:val="10"/>
        </w:numPr>
        <w:tabs>
          <w:tab w:val="left" w:pos="0"/>
        </w:tabs>
        <w:adjustRightInd w:val="0"/>
        <w:spacing w:line="360" w:lineRule="auto"/>
        <w:ind w:left="0" w:firstLine="426"/>
        <w:contextualSpacing/>
        <w:textAlignment w:val="baseline"/>
      </w:pPr>
      <w:r>
        <w:t>C</w:t>
      </w:r>
      <w:r>
        <w:t>类基金份额销售机构</w:t>
      </w:r>
    </w:p>
    <w:p w:rsidR="0011730D" w:rsidRDefault="00C01B90">
      <w:pPr>
        <w:tabs>
          <w:tab w:val="left" w:pos="0"/>
        </w:tabs>
        <w:spacing w:line="360" w:lineRule="auto"/>
        <w:ind w:leftChars="200" w:left="420"/>
        <w:contextualSpacing/>
      </w:pPr>
      <w:r>
        <w:t>1</w:t>
      </w:r>
      <w:r>
        <w:t>）蚂蚁（杭州）基金销售有限公司</w:t>
      </w:r>
    </w:p>
    <w:p w:rsidR="0011730D" w:rsidRDefault="00C01B90">
      <w:pPr>
        <w:tabs>
          <w:tab w:val="left" w:pos="0"/>
        </w:tabs>
        <w:spacing w:line="360" w:lineRule="auto"/>
        <w:ind w:leftChars="200" w:left="420"/>
        <w:contextualSpacing/>
      </w:pPr>
      <w:r>
        <w:t>公司网站：</w:t>
      </w:r>
      <w:r>
        <w:t xml:space="preserve">www.fund123.cn    </w:t>
      </w:r>
    </w:p>
    <w:p w:rsidR="0011730D" w:rsidRDefault="00C01B90">
      <w:pPr>
        <w:tabs>
          <w:tab w:val="left" w:pos="0"/>
        </w:tabs>
        <w:spacing w:line="360" w:lineRule="auto"/>
        <w:ind w:leftChars="200" w:left="420"/>
        <w:contextualSpacing/>
      </w:pPr>
      <w:r>
        <w:t>客服服务热线：</w:t>
      </w:r>
      <w:r>
        <w:t>95188-8</w:t>
      </w:r>
    </w:p>
    <w:p w:rsidR="0011730D" w:rsidRDefault="0011730D">
      <w:pPr>
        <w:tabs>
          <w:tab w:val="left" w:pos="0"/>
        </w:tabs>
        <w:spacing w:line="360" w:lineRule="auto"/>
        <w:ind w:firstLineChars="200" w:firstLine="420"/>
        <w:contextualSpacing/>
      </w:pPr>
    </w:p>
    <w:p w:rsidR="0011730D" w:rsidRDefault="00C01B90">
      <w:pPr>
        <w:tabs>
          <w:tab w:val="left" w:pos="0"/>
        </w:tabs>
        <w:spacing w:line="360" w:lineRule="auto"/>
        <w:ind w:firstLineChars="200" w:firstLine="420"/>
        <w:contextualSpacing/>
      </w:pPr>
      <w:r>
        <w:t>基金管理人可根据有关法律法规的要求，选择其它符合要求的机构销售本基金，并</w:t>
      </w:r>
      <w:r>
        <w:rPr>
          <w:kern w:val="0"/>
          <w:szCs w:val="21"/>
        </w:rPr>
        <w:t>在基金管理人网站公示</w:t>
      </w:r>
      <w:r>
        <w:t>。</w:t>
      </w:r>
    </w:p>
    <w:p w:rsidR="0011730D" w:rsidRDefault="0011730D">
      <w:pPr>
        <w:tabs>
          <w:tab w:val="left" w:pos="0"/>
        </w:tabs>
        <w:spacing w:line="360" w:lineRule="auto"/>
        <w:ind w:firstLineChars="200" w:firstLine="420"/>
        <w:contextualSpacing/>
      </w:pPr>
    </w:p>
    <w:p w:rsidR="0011730D" w:rsidRDefault="00C01B90">
      <w:pPr>
        <w:numPr>
          <w:ilvl w:val="0"/>
          <w:numId w:val="9"/>
        </w:numPr>
        <w:adjustRightInd w:val="0"/>
        <w:spacing w:line="360" w:lineRule="auto"/>
        <w:ind w:left="623" w:hanging="198"/>
        <w:contextualSpacing/>
        <w:textAlignment w:val="baseline"/>
        <w:rPr>
          <w:b/>
        </w:rPr>
      </w:pPr>
      <w:r>
        <w:rPr>
          <w:rFonts w:hint="eastAsia"/>
          <w:b/>
        </w:rPr>
        <w:t>登记机构</w:t>
      </w:r>
    </w:p>
    <w:p w:rsidR="0011730D" w:rsidRDefault="00C01B90">
      <w:pPr>
        <w:tabs>
          <w:tab w:val="left" w:pos="0"/>
        </w:tabs>
        <w:spacing w:line="360" w:lineRule="auto"/>
        <w:ind w:leftChars="200" w:left="420"/>
        <w:rPr>
          <w:szCs w:val="21"/>
        </w:rPr>
      </w:pPr>
      <w:r>
        <w:rPr>
          <w:szCs w:val="21"/>
        </w:rPr>
        <w:t>名称：中银基金管理有限公司</w:t>
      </w:r>
      <w:r>
        <w:rPr>
          <w:szCs w:val="21"/>
        </w:rPr>
        <w:br/>
      </w:r>
      <w:r>
        <w:rPr>
          <w:szCs w:val="21"/>
        </w:rPr>
        <w:t>注册地址：上海市浦东新区银城中路</w:t>
      </w:r>
      <w:r>
        <w:rPr>
          <w:szCs w:val="21"/>
        </w:rPr>
        <w:t>200</w:t>
      </w:r>
      <w:r>
        <w:rPr>
          <w:szCs w:val="21"/>
        </w:rPr>
        <w:t>号中银大厦</w:t>
      </w:r>
      <w:r>
        <w:rPr>
          <w:szCs w:val="21"/>
        </w:rPr>
        <w:t>45</w:t>
      </w:r>
      <w:r>
        <w:rPr>
          <w:szCs w:val="21"/>
        </w:rPr>
        <w:t>楼</w:t>
      </w:r>
      <w:r>
        <w:rPr>
          <w:szCs w:val="21"/>
        </w:rPr>
        <w:br/>
      </w:r>
      <w:r>
        <w:rPr>
          <w:szCs w:val="21"/>
        </w:rPr>
        <w:t>办公地址：上海市浦东新区银城中路</w:t>
      </w:r>
      <w:r>
        <w:rPr>
          <w:szCs w:val="21"/>
        </w:rPr>
        <w:t>200</w:t>
      </w:r>
      <w:r>
        <w:rPr>
          <w:szCs w:val="21"/>
        </w:rPr>
        <w:t>号中银大厦</w:t>
      </w:r>
      <w:r>
        <w:rPr>
          <w:szCs w:val="21"/>
        </w:rPr>
        <w:t>10</w:t>
      </w:r>
      <w:r>
        <w:rPr>
          <w:szCs w:val="21"/>
        </w:rPr>
        <w:t>楼、</w:t>
      </w:r>
      <w:r>
        <w:rPr>
          <w:szCs w:val="21"/>
        </w:rPr>
        <w:t>11</w:t>
      </w:r>
      <w:r>
        <w:rPr>
          <w:szCs w:val="21"/>
        </w:rPr>
        <w:t>楼、</w:t>
      </w:r>
      <w:r>
        <w:rPr>
          <w:szCs w:val="21"/>
        </w:rPr>
        <w:t>26</w:t>
      </w:r>
      <w:r>
        <w:rPr>
          <w:szCs w:val="21"/>
        </w:rPr>
        <w:t>楼、</w:t>
      </w:r>
      <w:r>
        <w:rPr>
          <w:szCs w:val="21"/>
        </w:rPr>
        <w:t>45</w:t>
      </w:r>
      <w:r>
        <w:rPr>
          <w:szCs w:val="21"/>
        </w:rPr>
        <w:t>楼</w:t>
      </w:r>
      <w:r>
        <w:rPr>
          <w:szCs w:val="21"/>
        </w:rPr>
        <w:br/>
      </w:r>
      <w:r>
        <w:rPr>
          <w:szCs w:val="21"/>
        </w:rPr>
        <w:t>法定代表人：刘信群</w:t>
      </w:r>
      <w:r>
        <w:rPr>
          <w:szCs w:val="21"/>
        </w:rPr>
        <w:br/>
      </w:r>
      <w:r>
        <w:rPr>
          <w:szCs w:val="21"/>
        </w:rPr>
        <w:t>电话：（</w:t>
      </w:r>
      <w:r>
        <w:rPr>
          <w:szCs w:val="21"/>
        </w:rPr>
        <w:t>021</w:t>
      </w:r>
      <w:r>
        <w:rPr>
          <w:szCs w:val="21"/>
        </w:rPr>
        <w:t>）</w:t>
      </w:r>
      <w:r>
        <w:t>38848999</w:t>
      </w:r>
      <w:r>
        <w:rPr>
          <w:szCs w:val="21"/>
        </w:rPr>
        <w:br/>
      </w:r>
      <w:r>
        <w:rPr>
          <w:szCs w:val="21"/>
        </w:rPr>
        <w:t>传真：（</w:t>
      </w:r>
      <w:r>
        <w:rPr>
          <w:szCs w:val="21"/>
        </w:rPr>
        <w:t>021</w:t>
      </w:r>
      <w:r>
        <w:rPr>
          <w:szCs w:val="21"/>
        </w:rPr>
        <w:t>）</w:t>
      </w:r>
      <w:r>
        <w:rPr>
          <w:szCs w:val="21"/>
        </w:rPr>
        <w:t>68871801</w:t>
      </w:r>
      <w:r>
        <w:rPr>
          <w:szCs w:val="21"/>
        </w:rPr>
        <w:br/>
      </w:r>
      <w:r>
        <w:rPr>
          <w:szCs w:val="21"/>
        </w:rPr>
        <w:t>联系人：乐妮</w:t>
      </w:r>
    </w:p>
    <w:p w:rsidR="0011730D" w:rsidRDefault="00C01B90">
      <w:pPr>
        <w:tabs>
          <w:tab w:val="left" w:pos="0"/>
        </w:tabs>
        <w:spacing w:line="360" w:lineRule="auto"/>
        <w:ind w:firstLineChars="200" w:firstLine="420"/>
        <w:contextualSpacing/>
        <w:rPr>
          <w:szCs w:val="21"/>
        </w:rPr>
      </w:pPr>
      <w:r>
        <w:rPr>
          <w:rFonts w:hint="eastAsia"/>
          <w:szCs w:val="21"/>
        </w:rPr>
        <w:t xml:space="preserve"> </w:t>
      </w:r>
    </w:p>
    <w:p w:rsidR="0011730D" w:rsidRDefault="00C01B90">
      <w:pPr>
        <w:numPr>
          <w:ilvl w:val="0"/>
          <w:numId w:val="9"/>
        </w:numPr>
        <w:tabs>
          <w:tab w:val="left" w:pos="1134"/>
        </w:tabs>
        <w:adjustRightInd w:val="0"/>
        <w:spacing w:line="360" w:lineRule="auto"/>
        <w:ind w:left="623" w:hanging="198"/>
        <w:contextualSpacing/>
        <w:textAlignment w:val="baseline"/>
        <w:rPr>
          <w:b/>
        </w:rPr>
      </w:pPr>
      <w:r>
        <w:rPr>
          <w:rFonts w:hint="eastAsia"/>
          <w:b/>
        </w:rPr>
        <w:t>律师事务所和经办律师</w:t>
      </w:r>
    </w:p>
    <w:p w:rsidR="0011730D" w:rsidRDefault="00C01B90">
      <w:pPr>
        <w:tabs>
          <w:tab w:val="left" w:pos="0"/>
        </w:tabs>
        <w:spacing w:line="360" w:lineRule="auto"/>
        <w:ind w:leftChars="200" w:left="420"/>
        <w:rPr>
          <w:szCs w:val="21"/>
        </w:rPr>
      </w:pPr>
      <w:bookmarkStart w:id="319" w:name="_Hlk120869939"/>
      <w:r>
        <w:rPr>
          <w:szCs w:val="21"/>
        </w:rPr>
        <w:t>名称：上海源泰律师事务所</w:t>
      </w:r>
      <w:r>
        <w:rPr>
          <w:szCs w:val="21"/>
        </w:rPr>
        <w:br/>
      </w:r>
      <w:r>
        <w:rPr>
          <w:szCs w:val="21"/>
        </w:rPr>
        <w:t>注册地址：上海市浦东新区浦东南路</w:t>
      </w:r>
      <w:r>
        <w:rPr>
          <w:szCs w:val="21"/>
        </w:rPr>
        <w:t xml:space="preserve"> 256 </w:t>
      </w:r>
      <w:r>
        <w:rPr>
          <w:szCs w:val="21"/>
        </w:rPr>
        <w:t>号华夏银行大厦</w:t>
      </w:r>
      <w:r>
        <w:rPr>
          <w:szCs w:val="21"/>
        </w:rPr>
        <w:t xml:space="preserve"> 14 </w:t>
      </w:r>
      <w:r>
        <w:rPr>
          <w:szCs w:val="21"/>
        </w:rPr>
        <w:t>楼</w:t>
      </w:r>
      <w:r>
        <w:rPr>
          <w:szCs w:val="21"/>
        </w:rPr>
        <w:br/>
      </w:r>
      <w:r>
        <w:rPr>
          <w:szCs w:val="21"/>
        </w:rPr>
        <w:t>负责人：廖海</w:t>
      </w:r>
      <w:r>
        <w:rPr>
          <w:szCs w:val="21"/>
        </w:rPr>
        <w:br/>
      </w:r>
      <w:r>
        <w:rPr>
          <w:szCs w:val="21"/>
        </w:rPr>
        <w:t>电话：（</w:t>
      </w:r>
      <w:r>
        <w:rPr>
          <w:szCs w:val="21"/>
        </w:rPr>
        <w:t>021</w:t>
      </w:r>
      <w:r>
        <w:rPr>
          <w:szCs w:val="21"/>
        </w:rPr>
        <w:t>）</w:t>
      </w:r>
      <w:r>
        <w:rPr>
          <w:szCs w:val="21"/>
        </w:rPr>
        <w:t>51150298</w:t>
      </w:r>
      <w:r>
        <w:rPr>
          <w:szCs w:val="21"/>
        </w:rPr>
        <w:br/>
      </w:r>
      <w:r>
        <w:rPr>
          <w:szCs w:val="21"/>
        </w:rPr>
        <w:t>传真：（</w:t>
      </w:r>
      <w:r>
        <w:rPr>
          <w:szCs w:val="21"/>
        </w:rPr>
        <w:t>021</w:t>
      </w:r>
      <w:r>
        <w:rPr>
          <w:szCs w:val="21"/>
        </w:rPr>
        <w:t>）</w:t>
      </w:r>
      <w:r>
        <w:rPr>
          <w:szCs w:val="21"/>
        </w:rPr>
        <w:t>51150398</w:t>
      </w:r>
      <w:r>
        <w:rPr>
          <w:szCs w:val="21"/>
        </w:rPr>
        <w:br/>
      </w:r>
      <w:r>
        <w:rPr>
          <w:szCs w:val="21"/>
        </w:rPr>
        <w:t>经办律师：刘佳、张雯倩</w:t>
      </w:r>
      <w:r>
        <w:rPr>
          <w:szCs w:val="21"/>
        </w:rPr>
        <w:br/>
      </w:r>
      <w:r>
        <w:rPr>
          <w:szCs w:val="21"/>
        </w:rPr>
        <w:t>联系人：刘佳</w:t>
      </w:r>
    </w:p>
    <w:bookmarkEnd w:id="319"/>
    <w:p w:rsidR="0011730D" w:rsidRDefault="0011730D">
      <w:pPr>
        <w:tabs>
          <w:tab w:val="left" w:pos="0"/>
        </w:tabs>
        <w:spacing w:line="360" w:lineRule="auto"/>
        <w:contextualSpacing/>
      </w:pPr>
    </w:p>
    <w:p w:rsidR="0011730D" w:rsidRDefault="00C01B90">
      <w:pPr>
        <w:numPr>
          <w:ilvl w:val="0"/>
          <w:numId w:val="9"/>
        </w:numPr>
        <w:tabs>
          <w:tab w:val="left" w:pos="1134"/>
        </w:tabs>
        <w:adjustRightInd w:val="0"/>
        <w:spacing w:line="360" w:lineRule="auto"/>
        <w:ind w:left="623" w:hanging="198"/>
        <w:contextualSpacing/>
        <w:textAlignment w:val="baseline"/>
        <w:rPr>
          <w:b/>
        </w:rPr>
      </w:pPr>
      <w:r>
        <w:rPr>
          <w:rFonts w:hint="eastAsia"/>
          <w:b/>
        </w:rPr>
        <w:t>会计师事务所和经办注册会计师</w:t>
      </w:r>
    </w:p>
    <w:p w:rsidR="0011730D" w:rsidRDefault="00C01B90">
      <w:pPr>
        <w:tabs>
          <w:tab w:val="left" w:pos="0"/>
        </w:tabs>
        <w:spacing w:line="360" w:lineRule="auto"/>
        <w:ind w:leftChars="200" w:left="420"/>
        <w:rPr>
          <w:szCs w:val="21"/>
        </w:rPr>
      </w:pPr>
      <w:r>
        <w:rPr>
          <w:szCs w:val="21"/>
        </w:rPr>
        <w:t>名称：安永华明会计师事务所（特殊普通合伙）</w:t>
      </w:r>
      <w:r>
        <w:rPr>
          <w:szCs w:val="21"/>
        </w:rPr>
        <w:br/>
      </w:r>
      <w:r>
        <w:rPr>
          <w:szCs w:val="21"/>
        </w:rPr>
        <w:t>住所：北京市东城区东长安街</w:t>
      </w:r>
      <w:r>
        <w:rPr>
          <w:szCs w:val="21"/>
        </w:rPr>
        <w:t xml:space="preserve"> 1 </w:t>
      </w:r>
      <w:r>
        <w:rPr>
          <w:szCs w:val="21"/>
        </w:rPr>
        <w:t>号东方广场安永大楼</w:t>
      </w:r>
      <w:r>
        <w:rPr>
          <w:szCs w:val="21"/>
        </w:rPr>
        <w:t xml:space="preserve"> 17 </w:t>
      </w:r>
      <w:r>
        <w:rPr>
          <w:szCs w:val="21"/>
        </w:rPr>
        <w:t>层</w:t>
      </w:r>
      <w:r>
        <w:rPr>
          <w:szCs w:val="21"/>
        </w:rPr>
        <w:br/>
      </w:r>
      <w:r>
        <w:rPr>
          <w:szCs w:val="21"/>
        </w:rPr>
        <w:t>办公地址：北京市东城区东长安街</w:t>
      </w:r>
      <w:r>
        <w:rPr>
          <w:szCs w:val="21"/>
        </w:rPr>
        <w:t xml:space="preserve"> 1 </w:t>
      </w:r>
      <w:r>
        <w:rPr>
          <w:szCs w:val="21"/>
        </w:rPr>
        <w:t>号东方广场安永大楼</w:t>
      </w:r>
      <w:r>
        <w:rPr>
          <w:szCs w:val="21"/>
        </w:rPr>
        <w:t xml:space="preserve"> 17 </w:t>
      </w:r>
      <w:r>
        <w:rPr>
          <w:szCs w:val="21"/>
        </w:rPr>
        <w:t>层</w:t>
      </w:r>
      <w:r>
        <w:rPr>
          <w:szCs w:val="21"/>
        </w:rPr>
        <w:br/>
      </w:r>
      <w:r>
        <w:rPr>
          <w:szCs w:val="21"/>
        </w:rPr>
        <w:t>执行事务合伙人：毛鞍宁</w:t>
      </w:r>
      <w:r>
        <w:rPr>
          <w:szCs w:val="21"/>
        </w:rPr>
        <w:br/>
      </w:r>
      <w:r>
        <w:rPr>
          <w:szCs w:val="21"/>
        </w:rPr>
        <w:t>电话：</w:t>
      </w:r>
      <w:r>
        <w:rPr>
          <w:szCs w:val="21"/>
        </w:rPr>
        <w:t>010-58153000</w:t>
      </w:r>
      <w:r>
        <w:rPr>
          <w:szCs w:val="21"/>
        </w:rPr>
        <w:br/>
      </w:r>
      <w:r>
        <w:rPr>
          <w:szCs w:val="21"/>
        </w:rPr>
        <w:t>传真：</w:t>
      </w:r>
      <w:r>
        <w:rPr>
          <w:szCs w:val="21"/>
        </w:rPr>
        <w:t>010-85188298</w:t>
      </w:r>
      <w:r>
        <w:rPr>
          <w:szCs w:val="21"/>
        </w:rPr>
        <w:br/>
      </w:r>
      <w:r>
        <w:rPr>
          <w:szCs w:val="21"/>
        </w:rPr>
        <w:t>业务联系人：许培菁</w:t>
      </w:r>
      <w:r>
        <w:rPr>
          <w:szCs w:val="21"/>
        </w:rPr>
        <w:br/>
      </w:r>
      <w:r>
        <w:rPr>
          <w:szCs w:val="21"/>
        </w:rPr>
        <w:t>经办会计师：许培菁、韩云</w:t>
      </w:r>
    </w:p>
    <w:p w:rsidR="0011730D" w:rsidRDefault="0011730D">
      <w:pPr>
        <w:spacing w:line="360" w:lineRule="auto"/>
        <w:ind w:firstLineChars="200" w:firstLine="420"/>
        <w:contextualSpacing/>
      </w:pPr>
    </w:p>
    <w:p w:rsidR="0011730D" w:rsidRDefault="00C01B90">
      <w:pPr>
        <w:spacing w:line="360" w:lineRule="auto"/>
        <w:ind w:leftChars="85" w:left="178" w:right="28" w:firstLineChars="258" w:firstLine="542"/>
        <w:contextualSpacing/>
        <w:jc w:val="right"/>
      </w:pPr>
      <w:r>
        <w:rPr>
          <w:rFonts w:hint="eastAsia"/>
        </w:rPr>
        <w:t>中银基金管理有限公司</w:t>
      </w:r>
    </w:p>
    <w:p w:rsidR="0011730D" w:rsidRDefault="00C01B90">
      <w:pPr>
        <w:spacing w:line="360" w:lineRule="auto"/>
        <w:contextualSpacing/>
        <w:jc w:val="right"/>
        <w:rPr>
          <w:b/>
          <w:bCs/>
          <w:sz w:val="28"/>
          <w:szCs w:val="28"/>
        </w:rPr>
      </w:pPr>
      <w:bookmarkStart w:id="320" w:name="_GoBack"/>
      <w:bookmarkStart w:id="321" w:name="_Toc346554653"/>
      <w:bookmarkStart w:id="322" w:name="_Toc346624928"/>
      <w:bookmarkEnd w:id="320"/>
      <w:r>
        <w:rPr>
          <w:szCs w:val="21"/>
        </w:rPr>
        <w:t>2026</w:t>
      </w:r>
      <w:r>
        <w:rPr>
          <w:szCs w:val="21"/>
        </w:rPr>
        <w:t>年</w:t>
      </w:r>
      <w:r>
        <w:rPr>
          <w:szCs w:val="21"/>
        </w:rPr>
        <w:t>1</w:t>
      </w:r>
      <w:r>
        <w:rPr>
          <w:szCs w:val="21"/>
        </w:rPr>
        <w:t>月</w:t>
      </w:r>
      <w:r>
        <w:rPr>
          <w:szCs w:val="21"/>
        </w:rPr>
        <w:t>10</w:t>
      </w:r>
      <w:r>
        <w:rPr>
          <w:szCs w:val="21"/>
        </w:rPr>
        <w:t>日</w:t>
      </w:r>
      <w:bookmarkEnd w:id="321"/>
      <w:bookmarkEnd w:id="322"/>
    </w:p>
    <w:sectPr w:rsidR="0011730D" w:rsidSect="003A0252">
      <w:headerReference w:type="default" r:id="rId7"/>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252" w:rsidRDefault="00C01B90">
      <w:r>
        <w:separator/>
      </w:r>
    </w:p>
  </w:endnote>
  <w:endnote w:type="continuationSeparator" w:id="0">
    <w:p w:rsidR="003A0252" w:rsidRDefault="00C01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0D" w:rsidRDefault="003A0252">
    <w:pPr>
      <w:pStyle w:val="a6"/>
      <w:jc w:val="center"/>
    </w:pPr>
    <w:r>
      <w:fldChar w:fldCharType="begin"/>
    </w:r>
    <w:r w:rsidR="00C01B90">
      <w:instrText>PAGE   \* MERGEFORMAT</w:instrText>
    </w:r>
    <w:r>
      <w:fldChar w:fldCharType="separate"/>
    </w:r>
    <w:r w:rsidR="00237D0B" w:rsidRPr="00237D0B">
      <w:rPr>
        <w:noProof/>
        <w:lang w:val="zh-CN"/>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252" w:rsidRDefault="00C01B90">
      <w:r>
        <w:separator/>
      </w:r>
    </w:p>
  </w:footnote>
  <w:footnote w:type="continuationSeparator" w:id="0">
    <w:p w:rsidR="003A0252" w:rsidRDefault="00C01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0D" w:rsidRDefault="0011730D">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E03"/>
    <w:multiLevelType w:val="multilevel"/>
    <w:tmpl w:val="00061E03"/>
    <w:lvl w:ilvl="0">
      <w:start w:val="1"/>
      <w:numFmt w:val="chineseCountingThousand"/>
      <w:lvlRestart w:val="0"/>
      <w:lvlText w:val="（%1）"/>
      <w:legacy w:legacy="1" w:legacySpace="0" w:legacyIndent="624"/>
      <w:lvlJc w:val="left"/>
      <w:pPr>
        <w:ind w:left="766" w:hanging="624"/>
      </w:pPr>
      <w:rPr>
        <w:rFonts w:hint="eastAsia"/>
        <w:b/>
      </w:rPr>
    </w:lvl>
    <w:lvl w:ilvl="1">
      <w:start w:val="1"/>
      <w:numFmt w:val="lowerLetter"/>
      <w:lvlText w:val="%2)"/>
      <w:legacy w:legacy="1" w:legacySpace="0" w:legacyIndent="420"/>
      <w:lvlJc w:val="left"/>
      <w:pPr>
        <w:ind w:left="982" w:hanging="420"/>
      </w:pPr>
    </w:lvl>
    <w:lvl w:ilvl="2">
      <w:start w:val="1"/>
      <w:numFmt w:val="lowerRoman"/>
      <w:lvlText w:val="%3."/>
      <w:legacy w:legacy="1" w:legacySpace="0" w:legacyIndent="420"/>
      <w:lvlJc w:val="right"/>
      <w:pPr>
        <w:ind w:left="1402" w:hanging="420"/>
      </w:pPr>
    </w:lvl>
    <w:lvl w:ilvl="3">
      <w:start w:val="1"/>
      <w:numFmt w:val="decimal"/>
      <w:lvlText w:val="%4."/>
      <w:legacy w:legacy="1" w:legacySpace="0" w:legacyIndent="420"/>
      <w:lvlJc w:val="left"/>
      <w:pPr>
        <w:ind w:left="1822" w:hanging="420"/>
      </w:pPr>
    </w:lvl>
    <w:lvl w:ilvl="4">
      <w:start w:val="1"/>
      <w:numFmt w:val="lowerLetter"/>
      <w:lvlText w:val="%5)"/>
      <w:legacy w:legacy="1" w:legacySpace="0" w:legacyIndent="420"/>
      <w:lvlJc w:val="left"/>
      <w:pPr>
        <w:ind w:left="2242" w:hanging="420"/>
      </w:pPr>
    </w:lvl>
    <w:lvl w:ilvl="5">
      <w:start w:val="1"/>
      <w:numFmt w:val="lowerRoman"/>
      <w:lvlText w:val="%6."/>
      <w:legacy w:legacy="1" w:legacySpace="0" w:legacyIndent="420"/>
      <w:lvlJc w:val="right"/>
      <w:pPr>
        <w:ind w:left="2662" w:hanging="420"/>
      </w:pPr>
    </w:lvl>
    <w:lvl w:ilvl="6">
      <w:start w:val="1"/>
      <w:numFmt w:val="decimal"/>
      <w:lvlText w:val="%7."/>
      <w:legacy w:legacy="1" w:legacySpace="0" w:legacyIndent="420"/>
      <w:lvlJc w:val="left"/>
      <w:pPr>
        <w:ind w:left="3082" w:hanging="420"/>
      </w:pPr>
    </w:lvl>
    <w:lvl w:ilvl="7">
      <w:start w:val="1"/>
      <w:numFmt w:val="lowerLetter"/>
      <w:lvlText w:val="%8)"/>
      <w:legacy w:legacy="1" w:legacySpace="0" w:legacyIndent="420"/>
      <w:lvlJc w:val="left"/>
      <w:pPr>
        <w:ind w:left="3502" w:hanging="420"/>
      </w:pPr>
    </w:lvl>
    <w:lvl w:ilvl="8">
      <w:start w:val="1"/>
      <w:numFmt w:val="lowerRoman"/>
      <w:lvlText w:val="%9."/>
      <w:legacy w:legacy="1" w:legacySpace="0" w:legacyIndent="420"/>
      <w:lvlJc w:val="right"/>
      <w:pPr>
        <w:ind w:left="3922" w:hanging="420"/>
      </w:pPr>
    </w:lvl>
  </w:abstractNum>
  <w:abstractNum w:abstractNumId="1">
    <w:nsid w:val="00794EEF"/>
    <w:multiLevelType w:val="multilevel"/>
    <w:tmpl w:val="00794EEF"/>
    <w:lvl w:ilvl="0">
      <w:start w:val="1"/>
      <w:numFmt w:val="decimal"/>
      <w:lvlRestart w:val="0"/>
      <w:lvlText w:val="%1."/>
      <w:legacy w:legacy="1" w:legacySpace="0" w:legacyIndent="624"/>
      <w:lvlJc w:val="left"/>
      <w:pPr>
        <w:ind w:left="624" w:hanging="624"/>
      </w:pPr>
      <w:rPr>
        <w:rFonts w:cs="Times New Roman" w:hint="eastAsia"/>
        <w:b w:val="0"/>
        <w:i w:val="0"/>
        <w:spacing w:val="20"/>
        <w:sz w:val="21"/>
        <w:szCs w:val="21"/>
      </w:rPr>
    </w:lvl>
    <w:lvl w:ilvl="1">
      <w:start w:val="1"/>
      <w:numFmt w:val="lowerLetter"/>
      <w:lvlText w:val="%2)"/>
      <w:legacy w:legacy="1" w:legacySpace="0" w:legacyIndent="420"/>
      <w:lvlJc w:val="left"/>
      <w:pPr>
        <w:ind w:left="840" w:hanging="420"/>
      </w:pPr>
      <w:rPr>
        <w:rFonts w:cs="Times New Roman"/>
      </w:rPr>
    </w:lvl>
    <w:lvl w:ilvl="2">
      <w:start w:val="1"/>
      <w:numFmt w:val="lowerRoman"/>
      <w:lvlText w:val="%3."/>
      <w:legacy w:legacy="1" w:legacySpace="0" w:legacyIndent="420"/>
      <w:lvlJc w:val="right"/>
      <w:pPr>
        <w:ind w:left="1260" w:hanging="420"/>
      </w:pPr>
      <w:rPr>
        <w:rFonts w:cs="Times New Roman"/>
      </w:rPr>
    </w:lvl>
    <w:lvl w:ilvl="3">
      <w:start w:val="1"/>
      <w:numFmt w:val="decimal"/>
      <w:lvlText w:val="%4."/>
      <w:legacy w:legacy="1" w:legacySpace="0" w:legacyIndent="420"/>
      <w:lvlJc w:val="left"/>
      <w:pPr>
        <w:ind w:left="1680" w:hanging="420"/>
      </w:pPr>
      <w:rPr>
        <w:rFonts w:cs="Times New Roman"/>
      </w:rPr>
    </w:lvl>
    <w:lvl w:ilvl="4">
      <w:start w:val="1"/>
      <w:numFmt w:val="lowerLetter"/>
      <w:lvlText w:val="%5)"/>
      <w:legacy w:legacy="1" w:legacySpace="0" w:legacyIndent="420"/>
      <w:lvlJc w:val="left"/>
      <w:pPr>
        <w:ind w:left="2100" w:hanging="420"/>
      </w:pPr>
      <w:rPr>
        <w:rFonts w:cs="Times New Roman"/>
      </w:rPr>
    </w:lvl>
    <w:lvl w:ilvl="5">
      <w:start w:val="1"/>
      <w:numFmt w:val="lowerRoman"/>
      <w:lvlText w:val="%6."/>
      <w:legacy w:legacy="1" w:legacySpace="0" w:legacyIndent="420"/>
      <w:lvlJc w:val="right"/>
      <w:pPr>
        <w:ind w:left="2520" w:hanging="420"/>
      </w:pPr>
      <w:rPr>
        <w:rFonts w:cs="Times New Roman"/>
      </w:rPr>
    </w:lvl>
    <w:lvl w:ilvl="6">
      <w:start w:val="1"/>
      <w:numFmt w:val="decimal"/>
      <w:lvlText w:val="%7."/>
      <w:legacy w:legacy="1" w:legacySpace="0" w:legacyIndent="420"/>
      <w:lvlJc w:val="left"/>
      <w:pPr>
        <w:ind w:left="2940" w:hanging="420"/>
      </w:pPr>
      <w:rPr>
        <w:rFonts w:cs="Times New Roman"/>
      </w:rPr>
    </w:lvl>
    <w:lvl w:ilvl="7">
      <w:start w:val="1"/>
      <w:numFmt w:val="lowerLetter"/>
      <w:lvlText w:val="%8)"/>
      <w:legacy w:legacy="1" w:legacySpace="0" w:legacyIndent="420"/>
      <w:lvlJc w:val="left"/>
      <w:pPr>
        <w:ind w:left="3360" w:hanging="420"/>
      </w:pPr>
      <w:rPr>
        <w:rFonts w:cs="Times New Roman"/>
      </w:rPr>
    </w:lvl>
    <w:lvl w:ilvl="8">
      <w:start w:val="1"/>
      <w:numFmt w:val="lowerRoman"/>
      <w:lvlText w:val="%9."/>
      <w:legacy w:legacy="1" w:legacySpace="0" w:legacyIndent="420"/>
      <w:lvlJc w:val="right"/>
      <w:pPr>
        <w:ind w:left="3780" w:hanging="420"/>
      </w:pPr>
      <w:rPr>
        <w:rFonts w:cs="Times New Roman"/>
      </w:rPr>
    </w:lvl>
  </w:abstractNum>
  <w:abstractNum w:abstractNumId="2">
    <w:nsid w:val="0CD46564"/>
    <w:multiLevelType w:val="multilevel"/>
    <w:tmpl w:val="0CD46564"/>
    <w:lvl w:ilvl="0">
      <w:start w:val="1"/>
      <w:numFmt w:val="chineseCountingThousand"/>
      <w:lvlRestart w:val="0"/>
      <w:lvlText w:val="（%1）"/>
      <w:legacy w:legacy="1" w:legacySpace="0" w:legacyIndent="624"/>
      <w:lvlJc w:val="left"/>
      <w:pPr>
        <w:ind w:left="624" w:hanging="624"/>
      </w:pPr>
      <w:rPr>
        <w:rFonts w:hint="eastAsia"/>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3">
    <w:nsid w:val="1B03074B"/>
    <w:multiLevelType w:val="multilevel"/>
    <w:tmpl w:val="1B03074B"/>
    <w:lvl w:ilvl="0">
      <w:start w:val="1"/>
      <w:numFmt w:val="decimal"/>
      <w:lvlRestart w:val="0"/>
      <w:lvlText w:val="%1."/>
      <w:legacy w:legacy="1" w:legacySpace="0" w:legacyIndent="624"/>
      <w:lvlJc w:val="left"/>
      <w:pPr>
        <w:ind w:left="624" w:hanging="624"/>
      </w:pPr>
      <w:rPr>
        <w:rFonts w:cs="Times New Roman" w:hint="eastAsia"/>
        <w:b w:val="0"/>
        <w:i w:val="0"/>
        <w:spacing w:val="20"/>
        <w:sz w:val="21"/>
        <w:szCs w:val="21"/>
      </w:rPr>
    </w:lvl>
    <w:lvl w:ilvl="1">
      <w:start w:val="1"/>
      <w:numFmt w:val="lowerLetter"/>
      <w:lvlText w:val="%2)"/>
      <w:legacy w:legacy="1" w:legacySpace="0" w:legacyIndent="420"/>
      <w:lvlJc w:val="left"/>
      <w:pPr>
        <w:ind w:left="840" w:hanging="420"/>
      </w:pPr>
      <w:rPr>
        <w:rFonts w:cs="Times New Roman"/>
      </w:rPr>
    </w:lvl>
    <w:lvl w:ilvl="2">
      <w:start w:val="1"/>
      <w:numFmt w:val="decimal"/>
      <w:lvlText w:val="（%3）"/>
      <w:legacy w:legacy="1" w:legacySpace="0" w:legacyIndent="720"/>
      <w:lvlJc w:val="left"/>
      <w:pPr>
        <w:ind w:left="1560" w:hanging="720"/>
      </w:pPr>
      <w:rPr>
        <w:rFonts w:hint="default"/>
      </w:rPr>
    </w:lvl>
    <w:lvl w:ilvl="3">
      <w:start w:val="1"/>
      <w:numFmt w:val="decimal"/>
      <w:lvlText w:val="%4）"/>
      <w:legacy w:legacy="1" w:legacySpace="0" w:legacyIndent="360"/>
      <w:lvlJc w:val="left"/>
      <w:pPr>
        <w:ind w:left="1620" w:hanging="360"/>
      </w:pPr>
      <w:rPr>
        <w:rFonts w:hint="default"/>
      </w:rPr>
    </w:lvl>
    <w:lvl w:ilvl="4">
      <w:start w:val="1"/>
      <w:numFmt w:val="lowerLetter"/>
      <w:lvlText w:val="%5)"/>
      <w:legacy w:legacy="1" w:legacySpace="0" w:legacyIndent="420"/>
      <w:lvlJc w:val="left"/>
      <w:pPr>
        <w:ind w:left="2100" w:hanging="420"/>
      </w:pPr>
      <w:rPr>
        <w:rFonts w:cs="Times New Roman"/>
      </w:rPr>
    </w:lvl>
    <w:lvl w:ilvl="5">
      <w:start w:val="1"/>
      <w:numFmt w:val="lowerRoman"/>
      <w:lvlText w:val="%6."/>
      <w:legacy w:legacy="1" w:legacySpace="0" w:legacyIndent="420"/>
      <w:lvlJc w:val="right"/>
      <w:pPr>
        <w:ind w:left="2520" w:hanging="420"/>
      </w:pPr>
      <w:rPr>
        <w:rFonts w:cs="Times New Roman"/>
      </w:rPr>
    </w:lvl>
    <w:lvl w:ilvl="6">
      <w:start w:val="1"/>
      <w:numFmt w:val="decimal"/>
      <w:lvlText w:val="%7."/>
      <w:legacy w:legacy="1" w:legacySpace="0" w:legacyIndent="420"/>
      <w:lvlJc w:val="left"/>
      <w:pPr>
        <w:ind w:left="2940" w:hanging="420"/>
      </w:pPr>
      <w:rPr>
        <w:rFonts w:cs="Times New Roman"/>
      </w:rPr>
    </w:lvl>
    <w:lvl w:ilvl="7">
      <w:start w:val="1"/>
      <w:numFmt w:val="lowerLetter"/>
      <w:lvlText w:val="%8)"/>
      <w:legacy w:legacy="1" w:legacySpace="0" w:legacyIndent="420"/>
      <w:lvlJc w:val="left"/>
      <w:pPr>
        <w:ind w:left="3360" w:hanging="420"/>
      </w:pPr>
      <w:rPr>
        <w:rFonts w:cs="Times New Roman"/>
      </w:rPr>
    </w:lvl>
    <w:lvl w:ilvl="8">
      <w:start w:val="1"/>
      <w:numFmt w:val="lowerRoman"/>
      <w:lvlText w:val="%9."/>
      <w:legacy w:legacy="1" w:legacySpace="0" w:legacyIndent="420"/>
      <w:lvlJc w:val="right"/>
      <w:pPr>
        <w:ind w:left="3780" w:hanging="420"/>
      </w:pPr>
      <w:rPr>
        <w:rFonts w:cs="Times New Roman"/>
      </w:rPr>
    </w:lvl>
  </w:abstractNum>
  <w:abstractNum w:abstractNumId="4">
    <w:nsid w:val="29B00E55"/>
    <w:multiLevelType w:val="multilevel"/>
    <w:tmpl w:val="29B00E55"/>
    <w:lvl w:ilvl="0">
      <w:start w:val="1"/>
      <w:numFmt w:val="chineseCountingThousand"/>
      <w:lvlRestart w:val="0"/>
      <w:lvlText w:val="（%1）"/>
      <w:legacy w:legacy="1" w:legacySpace="0" w:legacyIndent="624"/>
      <w:lvlJc w:val="left"/>
      <w:pPr>
        <w:ind w:left="1191" w:hanging="624"/>
      </w:pPr>
      <w:rPr>
        <w:rFonts w:hint="eastAsia"/>
      </w:rPr>
    </w:lvl>
    <w:lvl w:ilvl="1">
      <w:start w:val="1"/>
      <w:numFmt w:val="lowerLetter"/>
      <w:lvlText w:val="%2)"/>
      <w:legacy w:legacy="1" w:legacySpace="0" w:legacyIndent="420"/>
      <w:lvlJc w:val="left"/>
      <w:pPr>
        <w:ind w:left="1407" w:hanging="420"/>
      </w:pPr>
    </w:lvl>
    <w:lvl w:ilvl="2">
      <w:start w:val="1"/>
      <w:numFmt w:val="lowerRoman"/>
      <w:lvlText w:val="%3."/>
      <w:legacy w:legacy="1" w:legacySpace="0" w:legacyIndent="420"/>
      <w:lvlJc w:val="right"/>
      <w:pPr>
        <w:ind w:left="1827" w:hanging="420"/>
      </w:pPr>
    </w:lvl>
    <w:lvl w:ilvl="3">
      <w:start w:val="1"/>
      <w:numFmt w:val="decimal"/>
      <w:lvlText w:val="%4."/>
      <w:legacy w:legacy="1" w:legacySpace="0" w:legacyIndent="420"/>
      <w:lvlJc w:val="left"/>
      <w:pPr>
        <w:ind w:left="2247" w:hanging="420"/>
      </w:pPr>
    </w:lvl>
    <w:lvl w:ilvl="4">
      <w:start w:val="1"/>
      <w:numFmt w:val="lowerLetter"/>
      <w:lvlText w:val="%5)"/>
      <w:legacy w:legacy="1" w:legacySpace="0" w:legacyIndent="420"/>
      <w:lvlJc w:val="left"/>
      <w:pPr>
        <w:ind w:left="2667" w:hanging="420"/>
      </w:pPr>
    </w:lvl>
    <w:lvl w:ilvl="5">
      <w:start w:val="1"/>
      <w:numFmt w:val="lowerRoman"/>
      <w:lvlText w:val="%6."/>
      <w:legacy w:legacy="1" w:legacySpace="0" w:legacyIndent="420"/>
      <w:lvlJc w:val="right"/>
      <w:pPr>
        <w:ind w:left="3087" w:hanging="420"/>
      </w:pPr>
    </w:lvl>
    <w:lvl w:ilvl="6">
      <w:start w:val="1"/>
      <w:numFmt w:val="decimal"/>
      <w:lvlText w:val="%7."/>
      <w:legacy w:legacy="1" w:legacySpace="0" w:legacyIndent="420"/>
      <w:lvlJc w:val="left"/>
      <w:pPr>
        <w:ind w:left="3507" w:hanging="420"/>
      </w:pPr>
    </w:lvl>
    <w:lvl w:ilvl="7">
      <w:start w:val="1"/>
      <w:numFmt w:val="lowerLetter"/>
      <w:lvlText w:val="%8)"/>
      <w:legacy w:legacy="1" w:legacySpace="0" w:legacyIndent="420"/>
      <w:lvlJc w:val="left"/>
      <w:pPr>
        <w:ind w:left="3927" w:hanging="420"/>
      </w:pPr>
    </w:lvl>
    <w:lvl w:ilvl="8">
      <w:start w:val="1"/>
      <w:numFmt w:val="lowerRoman"/>
      <w:lvlText w:val="%9."/>
      <w:legacy w:legacy="1" w:legacySpace="0" w:legacyIndent="420"/>
      <w:lvlJc w:val="right"/>
      <w:pPr>
        <w:ind w:left="4347" w:hanging="420"/>
      </w:pPr>
    </w:lvl>
  </w:abstractNum>
  <w:abstractNum w:abstractNumId="5">
    <w:nsid w:val="29DD307B"/>
    <w:multiLevelType w:val="multilevel"/>
    <w:tmpl w:val="29DD307B"/>
    <w:lvl w:ilvl="0">
      <w:start w:val="1"/>
      <w:numFmt w:val="decimal"/>
      <w:lvlRestart w:val="0"/>
      <w:lvlText w:val="%1."/>
      <w:legacy w:legacy="1" w:legacySpace="0" w:legacyIndent="720"/>
      <w:lvlJc w:val="left"/>
      <w:pPr>
        <w:ind w:left="1140" w:hanging="720"/>
      </w:pPr>
      <w:rPr>
        <w:rFonts w:hint="eastAsia"/>
        <w:b w:val="0"/>
        <w:i w:val="0"/>
        <w:spacing w:val="20"/>
        <w:sz w:val="21"/>
        <w:szCs w:val="21"/>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6">
    <w:nsid w:val="2DA95D7C"/>
    <w:multiLevelType w:val="multilevel"/>
    <w:tmpl w:val="2DA95D7C"/>
    <w:lvl w:ilvl="0">
      <w:start w:val="6"/>
      <w:numFmt w:val="decimal"/>
      <w:lvlRestart w:val="0"/>
      <w:lvlText w:val="%1、"/>
      <w:legacy w:legacy="1" w:legacySpace="0" w:legacyIndent="360"/>
      <w:lvlJc w:val="left"/>
      <w:pPr>
        <w:ind w:left="780" w:hanging="360"/>
      </w:pPr>
      <w:rPr>
        <w:rFonts w:hint="default"/>
      </w:rPr>
    </w:lvl>
    <w:lvl w:ilvl="1">
      <w:start w:val="1"/>
      <w:numFmt w:val="chineseCountingThousand"/>
      <w:lvlText w:val="%2、"/>
      <w:legacy w:legacy="1" w:legacySpace="0" w:legacyIndent="420"/>
      <w:lvlJc w:val="left"/>
      <w:pPr>
        <w:ind w:left="1260" w:hanging="420"/>
      </w:pPr>
      <w:rPr>
        <w:sz w:val="24"/>
        <w:szCs w:val="24"/>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abstractNum w:abstractNumId="7">
    <w:nsid w:val="59107C9B"/>
    <w:multiLevelType w:val="multilevel"/>
    <w:tmpl w:val="59107C9B"/>
    <w:lvl w:ilvl="0">
      <w:start w:val="1"/>
      <w:numFmt w:val="decimal"/>
      <w:lvlRestart w:val="0"/>
      <w:suff w:val="space"/>
      <w:lvlText w:val="%1."/>
      <w:legacy w:legacy="1" w:legacySpace="0" w:legacyIndent="720"/>
      <w:lvlJc w:val="left"/>
      <w:pPr>
        <w:ind w:left="1140" w:hanging="720"/>
      </w:pPr>
      <w:rPr>
        <w:rFonts w:hint="eastAsia"/>
        <w:b w:val="0"/>
        <w:i w:val="0"/>
        <w:spacing w:val="20"/>
        <w:sz w:val="21"/>
        <w:szCs w:val="21"/>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8">
    <w:nsid w:val="75E17E53"/>
    <w:multiLevelType w:val="multilevel"/>
    <w:tmpl w:val="75E17E53"/>
    <w:lvl w:ilvl="0">
      <w:start w:val="1"/>
      <w:numFmt w:val="chineseCountingThousand"/>
      <w:lvlRestart w:val="0"/>
      <w:lvlText w:val="（%1）"/>
      <w:legacy w:legacy="1" w:legacySpace="0" w:legacyIndent="624"/>
      <w:lvlJc w:val="left"/>
      <w:pPr>
        <w:ind w:left="624" w:hanging="624"/>
      </w:pPr>
      <w:rPr>
        <w:rFonts w:hint="eastAsia"/>
        <w:b/>
      </w:rPr>
    </w:lvl>
    <w:lvl w:ilvl="1">
      <w:start w:val="1"/>
      <w:numFmt w:val="decimal"/>
      <w:lvlText w:val="%2."/>
      <w:legacy w:legacy="1" w:legacySpace="0" w:legacyIndent="360"/>
      <w:lvlJc w:val="left"/>
      <w:pPr>
        <w:ind w:left="780" w:hanging="360"/>
      </w:pPr>
      <w:rPr>
        <w:rFonts w:hint="default"/>
      </w:r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9">
    <w:nsid w:val="7C38435B"/>
    <w:multiLevelType w:val="multilevel"/>
    <w:tmpl w:val="7C38435B"/>
    <w:lvl w:ilvl="0">
      <w:start w:val="1"/>
      <w:numFmt w:val="decimal"/>
      <w:lvlRestart w:val="0"/>
      <w:lvlText w:val="%1."/>
      <w:legacy w:legacy="1" w:legacySpace="0" w:legacyIndent="624"/>
      <w:lvlJc w:val="left"/>
      <w:pPr>
        <w:ind w:left="624" w:hanging="624"/>
      </w:pPr>
      <w:rPr>
        <w:rFonts w:hint="eastAsia"/>
        <w:color w:val="auto"/>
      </w:rPr>
    </w:lvl>
    <w:lvl w:ilvl="1">
      <w:start w:val="1"/>
      <w:numFmt w:val="chineseCountingThousand"/>
      <w:lvlText w:val="%2"/>
      <w:legacy w:legacy="1" w:legacySpace="0" w:legacyIndent="624"/>
      <w:lvlJc w:val="left"/>
      <w:pPr>
        <w:ind w:left="624" w:hanging="624"/>
      </w:pPr>
      <w:rPr>
        <w:rFonts w:eastAsia="宋体" w:hint="eastAsia"/>
        <w:b/>
        <w:i w:val="0"/>
        <w:color w:val="auto"/>
        <w:sz w:val="24"/>
        <w:szCs w:val="24"/>
      </w:rPr>
    </w:lvl>
    <w:lvl w:ilvl="2">
      <w:start w:val="1"/>
      <w:numFmt w:val="chineseCountingThousand"/>
      <w:lvlText w:val="(%3)"/>
      <w:legacy w:legacy="1" w:legacySpace="0" w:legacyIndent="624"/>
      <w:lvlJc w:val="left"/>
      <w:pPr>
        <w:ind w:left="624" w:hanging="624"/>
      </w:pPr>
      <w:rPr>
        <w:rFonts w:hint="eastAsia"/>
        <w:b/>
        <w:i w:val="0"/>
        <w:sz w:val="21"/>
        <w:szCs w:val="21"/>
      </w:rPr>
    </w:lvl>
    <w:lvl w:ilvl="3">
      <w:start w:val="1"/>
      <w:numFmt w:val="decimal"/>
      <w:lvlText w:val="%4）"/>
      <w:legacy w:legacy="1" w:legacySpace="0" w:legacyIndent="360"/>
      <w:lvlJc w:val="left"/>
      <w:pPr>
        <w:ind w:left="786" w:hanging="360"/>
      </w:pPr>
      <w:rPr>
        <w:rFonts w:hint="default"/>
      </w:r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9"/>
  </w:num>
  <w:num w:numId="2">
    <w:abstractNumId w:val="6"/>
  </w:num>
  <w:num w:numId="3">
    <w:abstractNumId w:val="8"/>
  </w:num>
  <w:num w:numId="4">
    <w:abstractNumId w:val="0"/>
  </w:num>
  <w:num w:numId="5">
    <w:abstractNumId w:val="5"/>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11730D"/>
    <w:rsid w:val="0011730D"/>
    <w:rsid w:val="00237D0B"/>
    <w:rsid w:val="003A0252"/>
    <w:rsid w:val="00C01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0252"/>
    <w:pPr>
      <w:widowControl w:val="0"/>
      <w:jc w:val="both"/>
    </w:pPr>
    <w:rPr>
      <w:kern w:val="2"/>
      <w:sz w:val="21"/>
    </w:rPr>
  </w:style>
  <w:style w:type="paragraph" w:styleId="1">
    <w:name w:val="heading 1"/>
    <w:basedOn w:val="a"/>
    <w:next w:val="a"/>
    <w:rsid w:val="003A0252"/>
    <w:pPr>
      <w:autoSpaceDE w:val="0"/>
      <w:autoSpaceDN w:val="0"/>
      <w:adjustRightInd w:val="0"/>
      <w:spacing w:before="469" w:after="157"/>
      <w:jc w:val="left"/>
      <w:outlineLvl w:val="0"/>
    </w:pPr>
    <w:rPr>
      <w:rFonts w:ascii="宋体"/>
      <w:kern w:val="0"/>
      <w:sz w:val="20"/>
      <w:szCs w:val="24"/>
    </w:rPr>
  </w:style>
  <w:style w:type="paragraph" w:styleId="2">
    <w:name w:val="heading 2"/>
    <w:basedOn w:val="a"/>
    <w:next w:val="a"/>
    <w:rsid w:val="003A0252"/>
    <w:pPr>
      <w:keepNext/>
      <w:keepLines/>
      <w:spacing w:before="260" w:after="260" w:line="415" w:lineRule="auto"/>
      <w:outlineLvl w:val="1"/>
    </w:pPr>
    <w:rPr>
      <w:rFonts w:ascii="Arial" w:eastAsia="黑体" w:hAnsi="Arial"/>
      <w:b/>
      <w:kern w:val="0"/>
      <w:sz w:val="32"/>
    </w:rPr>
  </w:style>
  <w:style w:type="paragraph" w:styleId="3">
    <w:name w:val="heading 3"/>
    <w:basedOn w:val="a"/>
    <w:next w:val="a"/>
    <w:rsid w:val="003A025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3A0252"/>
    <w:pPr>
      <w:jc w:val="left"/>
    </w:pPr>
    <w:rPr>
      <w:kern w:val="0"/>
      <w:sz w:val="20"/>
    </w:rPr>
  </w:style>
  <w:style w:type="paragraph" w:styleId="a4">
    <w:name w:val="Date"/>
    <w:basedOn w:val="a"/>
    <w:next w:val="a"/>
    <w:rsid w:val="003A0252"/>
    <w:pPr>
      <w:ind w:leftChars="2500" w:left="2500"/>
    </w:pPr>
    <w:rPr>
      <w:kern w:val="0"/>
      <w:sz w:val="20"/>
    </w:rPr>
  </w:style>
  <w:style w:type="paragraph" w:styleId="20">
    <w:name w:val="Body Text Indent 2"/>
    <w:basedOn w:val="a"/>
    <w:rsid w:val="003A0252"/>
    <w:pPr>
      <w:spacing w:line="360" w:lineRule="auto"/>
      <w:ind w:firstLine="425"/>
    </w:pPr>
    <w:rPr>
      <w:kern w:val="0"/>
      <w:sz w:val="20"/>
      <w:lang w:val="zh-CN"/>
    </w:rPr>
  </w:style>
  <w:style w:type="paragraph" w:styleId="a5">
    <w:name w:val="Balloon Text"/>
    <w:basedOn w:val="a"/>
    <w:rsid w:val="003A0252"/>
    <w:rPr>
      <w:kern w:val="0"/>
      <w:sz w:val="18"/>
      <w:szCs w:val="18"/>
    </w:rPr>
  </w:style>
  <w:style w:type="paragraph" w:styleId="a6">
    <w:name w:val="footer"/>
    <w:basedOn w:val="a"/>
    <w:rsid w:val="003A0252"/>
    <w:pPr>
      <w:tabs>
        <w:tab w:val="center" w:pos="4153"/>
        <w:tab w:val="right" w:pos="8306"/>
      </w:tabs>
      <w:snapToGrid w:val="0"/>
      <w:jc w:val="left"/>
    </w:pPr>
    <w:rPr>
      <w:kern w:val="0"/>
      <w:sz w:val="18"/>
      <w:szCs w:val="18"/>
    </w:rPr>
  </w:style>
  <w:style w:type="paragraph" w:styleId="a7">
    <w:name w:val="header"/>
    <w:basedOn w:val="a"/>
    <w:rsid w:val="003A0252"/>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rsid w:val="003A0252"/>
    <w:pPr>
      <w:widowControl/>
      <w:spacing w:before="100" w:beforeAutospacing="1" w:after="100" w:afterAutospacing="1"/>
      <w:jc w:val="left"/>
    </w:pPr>
    <w:rPr>
      <w:rFonts w:ascii="宋体" w:cs="宋体"/>
      <w:kern w:val="0"/>
      <w:sz w:val="24"/>
      <w:szCs w:val="24"/>
    </w:rPr>
  </w:style>
  <w:style w:type="paragraph" w:styleId="a9">
    <w:name w:val="annotation subject"/>
    <w:basedOn w:val="a3"/>
    <w:next w:val="a3"/>
    <w:rsid w:val="003A0252"/>
    <w:rPr>
      <w:b/>
      <w:bCs/>
    </w:rPr>
  </w:style>
  <w:style w:type="character" w:styleId="aa">
    <w:name w:val="Hyperlink"/>
    <w:rsid w:val="003A0252"/>
    <w:rPr>
      <w:color w:val="0000FF"/>
      <w:u w:val="single"/>
    </w:rPr>
  </w:style>
  <w:style w:type="character" w:styleId="ab">
    <w:name w:val="annotation reference"/>
    <w:rsid w:val="003A0252"/>
    <w:rPr>
      <w:sz w:val="21"/>
      <w:szCs w:val="21"/>
    </w:rPr>
  </w:style>
  <w:style w:type="paragraph" w:customStyle="1" w:styleId="10">
    <w:name w:val="列出段落1"/>
    <w:basedOn w:val="a"/>
    <w:rsid w:val="003A0252"/>
    <w:pPr>
      <w:ind w:firstLineChars="200" w:firstLine="200"/>
    </w:pPr>
    <w:rPr>
      <w:rFonts w:ascii="Calibri" w:hAnsi="Calibri"/>
      <w:szCs w:val="22"/>
    </w:rPr>
  </w:style>
  <w:style w:type="paragraph" w:styleId="ac">
    <w:name w:val="List Paragraph"/>
    <w:basedOn w:val="a"/>
    <w:rsid w:val="003A0252"/>
    <w:pPr>
      <w:ind w:firstLineChars="200" w:firstLine="200"/>
    </w:pPr>
    <w:rPr>
      <w:szCs w:val="24"/>
    </w:rPr>
  </w:style>
  <w:style w:type="paragraph" w:customStyle="1" w:styleId="11">
    <w:name w:val="修订1"/>
    <w:rsid w:val="003A0252"/>
    <w:rPr>
      <w:kern w:val="2"/>
      <w:sz w:val="21"/>
    </w:rPr>
  </w:style>
  <w:style w:type="paragraph" w:customStyle="1" w:styleId="Default">
    <w:name w:val="Default"/>
    <w:rsid w:val="003A0252"/>
    <w:pPr>
      <w:widowControl w:val="0"/>
      <w:autoSpaceDE w:val="0"/>
      <w:autoSpaceDN w:val="0"/>
      <w:adjustRightInd w:val="0"/>
    </w:pPr>
    <w:rPr>
      <w:rFonts w:ascii="宋体" w:cs="宋体"/>
      <w:color w:val="000000"/>
      <w:sz w:val="24"/>
      <w:szCs w:val="24"/>
    </w:rPr>
  </w:style>
  <w:style w:type="paragraph" w:styleId="12">
    <w:name w:val="toc 1"/>
    <w:basedOn w:val="a"/>
    <w:next w:val="a"/>
    <w:autoRedefine/>
    <w:rsid w:val="003A0252"/>
  </w:style>
  <w:style w:type="paragraph" w:styleId="21">
    <w:name w:val="toc 2"/>
    <w:basedOn w:val="a"/>
    <w:next w:val="a"/>
    <w:autoRedefine/>
    <w:rsid w:val="003A0252"/>
    <w:pPr>
      <w:ind w:left="420"/>
    </w:pPr>
  </w:style>
  <w:style w:type="paragraph" w:styleId="30">
    <w:name w:val="toc 3"/>
    <w:basedOn w:val="a"/>
    <w:next w:val="a"/>
    <w:autoRedefine/>
    <w:rsid w:val="003A0252"/>
    <w:pPr>
      <w:ind w:left="840"/>
    </w:pPr>
  </w:style>
  <w:style w:type="paragraph" w:styleId="4">
    <w:name w:val="toc 4"/>
    <w:basedOn w:val="a"/>
    <w:next w:val="a"/>
    <w:autoRedefine/>
    <w:rsid w:val="003A0252"/>
    <w:pPr>
      <w:ind w:left="1260"/>
    </w:pPr>
  </w:style>
  <w:style w:type="paragraph" w:styleId="5">
    <w:name w:val="toc 5"/>
    <w:basedOn w:val="a"/>
    <w:next w:val="a"/>
    <w:autoRedefine/>
    <w:rsid w:val="003A0252"/>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10933</Characters>
  <Application>Microsoft Office Word</Application>
  <DocSecurity>4</DocSecurity>
  <Lines>91</Lines>
  <Paragraphs>25</Paragraphs>
  <ScaleCrop>false</ScaleCrop>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韩书宜</dc:creator>
  <cp:lastModifiedBy>ZHONGM</cp:lastModifiedBy>
  <cp:revision>2</cp:revision>
  <cp:lastPrinted>2020-02-26T09:33:00Z</cp:lastPrinted>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8E5BFEE1EB8C4C04831E55E078383468</vt:lpwstr>
  </property>
</Properties>
</file>