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44" w:rsidRDefault="0091564B">
      <w:pPr>
        <w:spacing w:line="312" w:lineRule="auto"/>
        <w:jc w:val="center"/>
        <w:rPr>
          <w:rFonts w:ascii="宋体" w:eastAsia="宋体" w:hAnsi="宋体"/>
          <w:b/>
          <w:bCs/>
          <w:sz w:val="28"/>
          <w:szCs w:val="28"/>
        </w:rPr>
      </w:pPr>
      <w:bookmarkStart w:id="0" w:name="_GoBack"/>
      <w:r>
        <w:rPr>
          <w:rFonts w:ascii="宋体" w:eastAsia="宋体" w:hAnsi="宋体" w:hint="eastAsia"/>
          <w:b/>
          <w:bCs/>
          <w:sz w:val="28"/>
          <w:szCs w:val="28"/>
        </w:rPr>
        <w:t>浙商基金</w:t>
      </w:r>
      <w:bookmarkEnd w:id="0"/>
      <w:r>
        <w:rPr>
          <w:rFonts w:ascii="宋体" w:eastAsia="宋体" w:hAnsi="宋体" w:hint="eastAsia"/>
          <w:b/>
          <w:bCs/>
          <w:sz w:val="28"/>
          <w:szCs w:val="28"/>
        </w:rPr>
        <w:t>管理有限公司关于更新基金产品风险等级划分的通知</w:t>
      </w:r>
    </w:p>
    <w:p w:rsidR="002A0144" w:rsidRDefault="002A0144">
      <w:pPr>
        <w:spacing w:line="312" w:lineRule="auto"/>
        <w:jc w:val="center"/>
        <w:rPr>
          <w:rFonts w:ascii="宋体" w:eastAsia="宋体" w:hAnsi="宋体"/>
          <w:b/>
          <w:bCs/>
          <w:sz w:val="28"/>
          <w:szCs w:val="28"/>
        </w:rPr>
      </w:pPr>
    </w:p>
    <w:p w:rsidR="002A0144" w:rsidRDefault="0091564B">
      <w:pPr>
        <w:spacing w:line="312" w:lineRule="auto"/>
        <w:ind w:firstLineChars="200" w:firstLine="480"/>
        <w:rPr>
          <w:rFonts w:ascii="宋体" w:eastAsia="宋体" w:hAnsi="宋体"/>
          <w:sz w:val="24"/>
          <w:szCs w:val="24"/>
        </w:rPr>
      </w:pPr>
      <w:r>
        <w:rPr>
          <w:rFonts w:ascii="宋体" w:eastAsia="宋体" w:hAnsi="宋体" w:hint="eastAsia"/>
          <w:sz w:val="24"/>
          <w:szCs w:val="24"/>
        </w:rPr>
        <w:t>根据《证券投资基金销售适用性指导意见》、《证券期货投资者适当性管理办法》及《基金募集机构投资者适当性管理实施指引（试行）》等相关法规规定，以及《浙商基金管理有限公司产品及服务风险等级划分办法》，浙商基金管理有限公司（以下简称“本公司”）将于</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1</w:t>
      </w:r>
      <w:r>
        <w:rPr>
          <w:rFonts w:ascii="宋体" w:eastAsia="宋体" w:hAnsi="宋体"/>
          <w:sz w:val="24"/>
          <w:szCs w:val="24"/>
        </w:rPr>
        <w:t>月</w:t>
      </w:r>
      <w:r>
        <w:rPr>
          <w:rFonts w:ascii="宋体" w:eastAsia="宋体" w:hAnsi="宋体"/>
          <w:sz w:val="24"/>
          <w:szCs w:val="24"/>
        </w:rPr>
        <w:t>9</w:t>
      </w:r>
      <w:r>
        <w:rPr>
          <w:rFonts w:ascii="宋体" w:eastAsia="宋体" w:hAnsi="宋体"/>
          <w:sz w:val="24"/>
          <w:szCs w:val="24"/>
        </w:rPr>
        <w:t>日更新旗下公募基金的风险等级</w:t>
      </w:r>
      <w:r>
        <w:rPr>
          <w:rFonts w:ascii="宋体" w:eastAsia="宋体" w:hAnsi="宋体" w:hint="eastAsia"/>
          <w:sz w:val="24"/>
          <w:szCs w:val="24"/>
        </w:rPr>
        <w:t>，更新后的基金产品风险等级清单见附件。</w:t>
      </w:r>
    </w:p>
    <w:p w:rsidR="002A0144" w:rsidRDefault="002A0144">
      <w:pPr>
        <w:spacing w:line="312" w:lineRule="auto"/>
        <w:ind w:firstLineChars="200" w:firstLine="480"/>
        <w:rPr>
          <w:rFonts w:ascii="宋体" w:eastAsia="宋体" w:hAnsi="宋体"/>
          <w:sz w:val="24"/>
          <w:szCs w:val="24"/>
        </w:rPr>
      </w:pPr>
    </w:p>
    <w:p w:rsidR="002A0144" w:rsidRDefault="0091564B">
      <w:pPr>
        <w:spacing w:line="312" w:lineRule="auto"/>
        <w:ind w:firstLineChars="200" w:firstLine="480"/>
        <w:rPr>
          <w:rFonts w:ascii="宋体" w:eastAsia="宋体" w:hAnsi="宋体"/>
          <w:sz w:val="24"/>
          <w:szCs w:val="24"/>
        </w:rPr>
      </w:pPr>
      <w:r>
        <w:rPr>
          <w:rFonts w:ascii="宋体" w:eastAsia="宋体" w:hAnsi="宋体" w:hint="eastAsia"/>
          <w:sz w:val="24"/>
          <w:szCs w:val="24"/>
        </w:rPr>
        <w:t>本公司提供的基金产品的风险等级，按照风险由低到高顺序，依次划分为：低风险</w:t>
      </w:r>
      <w:r>
        <w:rPr>
          <w:rFonts w:ascii="宋体" w:eastAsia="宋体" w:hAnsi="宋体"/>
          <w:sz w:val="24"/>
          <w:szCs w:val="24"/>
        </w:rPr>
        <w:t>、中低风险、中风险、中高风险、高风险五个等级。产品风险等级请见附件。</w:t>
      </w:r>
    </w:p>
    <w:p w:rsidR="002A0144" w:rsidRDefault="0091564B">
      <w:pPr>
        <w:spacing w:line="312" w:lineRule="auto"/>
        <w:ind w:firstLineChars="200" w:firstLine="480"/>
        <w:rPr>
          <w:rFonts w:ascii="宋体" w:eastAsia="宋体" w:hAnsi="宋体"/>
          <w:sz w:val="24"/>
          <w:szCs w:val="24"/>
        </w:rPr>
      </w:pPr>
      <w:r>
        <w:rPr>
          <w:rFonts w:ascii="宋体" w:eastAsia="宋体" w:hAnsi="宋体" w:hint="eastAsia"/>
          <w:sz w:val="24"/>
          <w:szCs w:val="24"/>
        </w:rPr>
        <w:t>本公司对旗下基金产品的风险等级划分享有最终解释权。</w:t>
      </w:r>
    </w:p>
    <w:p w:rsidR="002A0144" w:rsidRDefault="002A0144">
      <w:pPr>
        <w:spacing w:line="312" w:lineRule="auto"/>
        <w:ind w:firstLineChars="200" w:firstLine="480"/>
        <w:rPr>
          <w:rFonts w:ascii="宋体" w:eastAsia="宋体" w:hAnsi="宋体"/>
          <w:sz w:val="24"/>
          <w:szCs w:val="24"/>
        </w:rPr>
      </w:pPr>
    </w:p>
    <w:p w:rsidR="002A0144" w:rsidRDefault="0091564B">
      <w:pPr>
        <w:spacing w:line="312" w:lineRule="auto"/>
        <w:ind w:firstLineChars="200" w:firstLine="480"/>
        <w:rPr>
          <w:rFonts w:ascii="宋体" w:eastAsia="宋体" w:hAnsi="宋体"/>
          <w:sz w:val="24"/>
          <w:szCs w:val="24"/>
        </w:rPr>
      </w:pPr>
      <w:r>
        <w:rPr>
          <w:rFonts w:ascii="宋体" w:eastAsia="宋体" w:hAnsi="宋体" w:hint="eastAsia"/>
          <w:sz w:val="24"/>
          <w:szCs w:val="24"/>
        </w:rPr>
        <w:t>风险提示：</w:t>
      </w:r>
    </w:p>
    <w:p w:rsidR="002A0144" w:rsidRDefault="0091564B">
      <w:pPr>
        <w:spacing w:line="312"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sz w:val="24"/>
          <w:szCs w:val="24"/>
        </w:rPr>
        <w:t>、销售机构根据投资者适当性法律法规对基金进行风险评价，不同的销售机构采用的评价方法不同，因此不同销售机构对基金的风险等级评价结果可能存在不同。</w:t>
      </w:r>
    </w:p>
    <w:p w:rsidR="002A0144" w:rsidRDefault="0091564B">
      <w:pPr>
        <w:spacing w:line="312"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sz w:val="24"/>
          <w:szCs w:val="24"/>
        </w:rPr>
        <w:t>、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w:t>
      </w:r>
      <w:r>
        <w:rPr>
          <w:rFonts w:ascii="宋体" w:eastAsia="宋体" w:hAnsi="宋体"/>
          <w:sz w:val="24"/>
          <w:szCs w:val="24"/>
        </w:rPr>
        <w:t>配。</w:t>
      </w:r>
    </w:p>
    <w:p w:rsidR="002A0144" w:rsidRDefault="0091564B">
      <w:pPr>
        <w:spacing w:line="312"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sz w:val="24"/>
          <w:szCs w:val="24"/>
        </w:rPr>
        <w:t>、本公司承诺以诚实信用、勤勉尽责的原则管理和运用基金资产，但不保证基金一定盈利，也不保证最低收益。投资者投资于本公司管理的基金时应认真阅读各基金的基金合同、招募说明书等法律文件，了解所投资基金的风险收益特征及归属的风险等级，并根据自身风险承受能力选择适合自己的基金产品。敬请投资者注意投资风险。</w:t>
      </w:r>
    </w:p>
    <w:p w:rsidR="002A0144" w:rsidRDefault="002A0144">
      <w:pPr>
        <w:spacing w:line="312" w:lineRule="auto"/>
        <w:ind w:firstLineChars="200" w:firstLine="480"/>
        <w:rPr>
          <w:rFonts w:ascii="宋体" w:eastAsia="宋体" w:hAnsi="宋体"/>
          <w:sz w:val="24"/>
          <w:szCs w:val="24"/>
        </w:rPr>
      </w:pPr>
    </w:p>
    <w:p w:rsidR="002A0144" w:rsidRDefault="0091564B">
      <w:pPr>
        <w:spacing w:line="312" w:lineRule="auto"/>
        <w:ind w:firstLineChars="200" w:firstLine="480"/>
        <w:rPr>
          <w:rFonts w:ascii="宋体" w:eastAsia="宋体" w:hAnsi="宋体"/>
          <w:sz w:val="24"/>
          <w:szCs w:val="24"/>
        </w:rPr>
      </w:pPr>
      <w:r>
        <w:rPr>
          <w:rFonts w:ascii="宋体" w:eastAsia="宋体" w:hAnsi="宋体" w:hint="eastAsia"/>
          <w:sz w:val="24"/>
          <w:szCs w:val="24"/>
        </w:rPr>
        <w:t>特此通知。</w:t>
      </w:r>
    </w:p>
    <w:p w:rsidR="002A0144" w:rsidRDefault="002A0144">
      <w:pPr>
        <w:spacing w:line="312" w:lineRule="auto"/>
        <w:ind w:firstLineChars="200" w:firstLine="480"/>
        <w:rPr>
          <w:rFonts w:ascii="宋体" w:eastAsia="宋体" w:hAnsi="宋体"/>
          <w:sz w:val="24"/>
          <w:szCs w:val="24"/>
        </w:rPr>
      </w:pPr>
    </w:p>
    <w:p w:rsidR="002A0144" w:rsidRDefault="0091564B">
      <w:pPr>
        <w:spacing w:line="312" w:lineRule="auto"/>
        <w:jc w:val="right"/>
        <w:rPr>
          <w:rFonts w:ascii="宋体" w:eastAsia="宋体" w:hAnsi="宋体"/>
          <w:sz w:val="24"/>
          <w:szCs w:val="24"/>
        </w:rPr>
      </w:pPr>
      <w:r>
        <w:rPr>
          <w:rFonts w:ascii="宋体" w:eastAsia="宋体" w:hAnsi="宋体" w:hint="eastAsia"/>
          <w:sz w:val="24"/>
          <w:szCs w:val="24"/>
        </w:rPr>
        <w:t>浙商基金管理有限公司</w:t>
      </w:r>
    </w:p>
    <w:p w:rsidR="002A0144" w:rsidRDefault="0091564B">
      <w:pPr>
        <w:spacing w:line="312" w:lineRule="auto"/>
        <w:jc w:val="right"/>
        <w:rPr>
          <w:rFonts w:ascii="宋体" w:eastAsia="宋体" w:hAnsi="宋体"/>
          <w:sz w:val="24"/>
          <w:szCs w:val="24"/>
        </w:rPr>
      </w:pP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1</w:t>
      </w:r>
      <w:r>
        <w:rPr>
          <w:rFonts w:ascii="宋体" w:eastAsia="宋体" w:hAnsi="宋体"/>
          <w:sz w:val="24"/>
          <w:szCs w:val="24"/>
        </w:rPr>
        <w:t>月</w:t>
      </w:r>
      <w:r>
        <w:rPr>
          <w:rFonts w:ascii="宋体" w:eastAsia="宋体" w:hAnsi="宋体"/>
          <w:sz w:val="24"/>
          <w:szCs w:val="24"/>
        </w:rPr>
        <w:t>9</w:t>
      </w:r>
      <w:r>
        <w:rPr>
          <w:rFonts w:ascii="宋体" w:eastAsia="宋体" w:hAnsi="宋体"/>
          <w:sz w:val="24"/>
          <w:szCs w:val="24"/>
        </w:rPr>
        <w:t>日</w:t>
      </w:r>
    </w:p>
    <w:p w:rsidR="002A0144" w:rsidRDefault="002A0144">
      <w:pPr>
        <w:spacing w:line="312" w:lineRule="auto"/>
        <w:jc w:val="right"/>
        <w:rPr>
          <w:rFonts w:ascii="宋体" w:eastAsia="宋体" w:hAnsi="宋体"/>
          <w:sz w:val="24"/>
          <w:szCs w:val="24"/>
        </w:rPr>
      </w:pPr>
    </w:p>
    <w:p w:rsidR="002A0144" w:rsidRDefault="002A0144">
      <w:pPr>
        <w:spacing w:line="312" w:lineRule="auto"/>
        <w:jc w:val="right"/>
        <w:rPr>
          <w:rFonts w:ascii="宋体" w:eastAsia="宋体" w:hAnsi="宋体"/>
          <w:sz w:val="24"/>
          <w:szCs w:val="24"/>
        </w:rPr>
      </w:pPr>
    </w:p>
    <w:p w:rsidR="002A0144" w:rsidRDefault="0091564B">
      <w:pPr>
        <w:spacing w:line="312" w:lineRule="auto"/>
        <w:jc w:val="left"/>
        <w:rPr>
          <w:rFonts w:ascii="宋体" w:eastAsia="宋体" w:hAnsi="宋体"/>
          <w:sz w:val="24"/>
          <w:szCs w:val="24"/>
        </w:rPr>
      </w:pPr>
      <w:r>
        <w:rPr>
          <w:rFonts w:ascii="宋体" w:eastAsia="宋体" w:hAnsi="宋体" w:hint="eastAsia"/>
          <w:sz w:val="24"/>
          <w:szCs w:val="24"/>
        </w:rPr>
        <w:lastRenderedPageBreak/>
        <w:t>附件：浙商基金管理有限公司产品适当性风险等级划分一览表</w:t>
      </w:r>
    </w:p>
    <w:tbl>
      <w:tblPr>
        <w:tblStyle w:val="a7"/>
        <w:tblW w:w="10349" w:type="dxa"/>
        <w:jc w:val="center"/>
        <w:tblLayout w:type="fixed"/>
        <w:tblLook w:val="04A0"/>
      </w:tblPr>
      <w:tblGrid>
        <w:gridCol w:w="1413"/>
        <w:gridCol w:w="3685"/>
        <w:gridCol w:w="1843"/>
        <w:gridCol w:w="1843"/>
        <w:gridCol w:w="1565"/>
      </w:tblGrid>
      <w:tr w:rsidR="002A0144">
        <w:trPr>
          <w:trHeight w:val="294"/>
          <w:jc w:val="center"/>
        </w:trPr>
        <w:tc>
          <w:tcPr>
            <w:tcW w:w="1413" w:type="dxa"/>
            <w:shd w:val="clear" w:color="auto" w:fill="D9D9D9" w:themeFill="background1" w:themeFillShade="D9"/>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基金</w:t>
            </w:r>
            <w:r>
              <w:rPr>
                <w:rFonts w:ascii="宋体" w:eastAsia="宋体" w:hAnsi="宋体" w:cs="Arial"/>
                <w:sz w:val="20"/>
                <w:szCs w:val="20"/>
              </w:rPr>
              <w:t>代码</w:t>
            </w:r>
          </w:p>
        </w:tc>
        <w:tc>
          <w:tcPr>
            <w:tcW w:w="3685" w:type="dxa"/>
            <w:shd w:val="clear" w:color="auto" w:fill="D9D9D9" w:themeFill="background1" w:themeFillShade="D9"/>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基金</w:t>
            </w:r>
            <w:r>
              <w:rPr>
                <w:rFonts w:ascii="宋体" w:eastAsia="宋体" w:hAnsi="宋体" w:cs="Arial"/>
                <w:sz w:val="20"/>
                <w:szCs w:val="20"/>
              </w:rPr>
              <w:t>简称</w:t>
            </w:r>
          </w:p>
        </w:tc>
        <w:tc>
          <w:tcPr>
            <w:tcW w:w="1843" w:type="dxa"/>
            <w:shd w:val="clear" w:color="auto" w:fill="D9D9D9" w:themeFill="background1" w:themeFillShade="D9"/>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基金类型</w:t>
            </w:r>
          </w:p>
        </w:tc>
        <w:tc>
          <w:tcPr>
            <w:tcW w:w="1843" w:type="dxa"/>
            <w:shd w:val="clear" w:color="auto" w:fill="D9D9D9" w:themeFill="background1" w:themeFillShade="D9"/>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更新后风险等级</w:t>
            </w:r>
          </w:p>
        </w:tc>
        <w:tc>
          <w:tcPr>
            <w:tcW w:w="1565" w:type="dxa"/>
            <w:shd w:val="clear" w:color="auto" w:fill="D9D9D9" w:themeFill="background1" w:themeFillShade="D9"/>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较上年度变动</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002077</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浙商日添利</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货币市场型基金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低风险</w:t>
            </w:r>
          </w:p>
        </w:tc>
        <w:tc>
          <w:tcPr>
            <w:tcW w:w="156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002078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浙商日添利</w:t>
            </w:r>
            <w:r>
              <w:rPr>
                <w:rFonts w:ascii="宋体" w:eastAsia="宋体" w:hAnsi="宋体" w:cs="Arial"/>
                <w:sz w:val="20"/>
                <w:szCs w:val="20"/>
              </w:rPr>
              <w:t>B</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货币市场型基金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003874</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浙商日添金</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货币市场型基金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003875</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浙商日添金</w:t>
            </w:r>
            <w:r>
              <w:rPr>
                <w:rFonts w:ascii="宋体" w:eastAsia="宋体" w:hAnsi="宋体" w:cs="Arial"/>
                <w:sz w:val="20"/>
                <w:szCs w:val="20"/>
              </w:rPr>
              <w:t>B</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货币市场型基金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002279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浙商惠盈纯债</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008548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浙商惠盈纯债</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003220</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浙商惠利纯债</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022378</w:t>
            </w:r>
          </w:p>
        </w:tc>
        <w:tc>
          <w:tcPr>
            <w:tcW w:w="3685"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浙商惠利纯债</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003314</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浙商惠南纯债</w:t>
            </w:r>
            <w:r>
              <w:rPr>
                <w:rFonts w:ascii="宋体" w:eastAsia="宋体" w:hAnsi="宋体" w:cs="Arial" w:hint="eastAsia"/>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0</w:t>
            </w:r>
            <w:r>
              <w:rPr>
                <w:rFonts w:ascii="宋体" w:eastAsia="宋体" w:hAnsi="宋体" w:cs="Arial"/>
                <w:sz w:val="20"/>
                <w:szCs w:val="20"/>
              </w:rPr>
              <w:t>25241</w:t>
            </w:r>
          </w:p>
        </w:tc>
        <w:tc>
          <w:tcPr>
            <w:tcW w:w="3685"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浙商惠南纯债</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003549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浙商惠裕纯债</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017544</w:t>
            </w:r>
          </w:p>
        </w:tc>
        <w:tc>
          <w:tcPr>
            <w:tcW w:w="3685"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浙商惠裕纯债</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021165</w:t>
            </w:r>
          </w:p>
        </w:tc>
        <w:tc>
          <w:tcPr>
            <w:tcW w:w="3685"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浙商惠裕纯债</w:t>
            </w:r>
            <w:r>
              <w:rPr>
                <w:rFonts w:ascii="宋体" w:eastAsia="宋体" w:hAnsi="宋体" w:cs="Arial"/>
                <w:sz w:val="20"/>
                <w:szCs w:val="20"/>
              </w:rPr>
              <w:t>D</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中低风险</w:t>
            </w:r>
          </w:p>
        </w:tc>
        <w:tc>
          <w:tcPr>
            <w:tcW w:w="1565" w:type="dxa"/>
          </w:tcPr>
          <w:p w:rsidR="002A0144" w:rsidRDefault="002A0144">
            <w:pPr>
              <w:spacing w:line="264" w:lineRule="auto"/>
              <w:jc w:val="center"/>
              <w:rPr>
                <w:rFonts w:ascii="宋体" w:eastAsia="宋体" w:hAnsi="宋体" w:cs="Arial"/>
                <w:sz w:val="20"/>
                <w:szCs w:val="20"/>
              </w:rPr>
            </w:pP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006284</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浙商兴永</w:t>
            </w:r>
            <w:r>
              <w:rPr>
                <w:rFonts w:ascii="宋体" w:eastAsia="宋体" w:hAnsi="宋体" w:cs="Arial" w:hint="eastAsia"/>
                <w:sz w:val="20"/>
                <w:szCs w:val="20"/>
              </w:rPr>
              <w:t>三个月定期开放债券</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007179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浙商丰顺纯债</w:t>
            </w:r>
            <w:r>
              <w:rPr>
                <w:rFonts w:ascii="宋体" w:eastAsia="宋体" w:hAnsi="宋体" w:cs="Arial" w:hint="eastAsia"/>
                <w:sz w:val="20"/>
                <w:szCs w:val="20"/>
              </w:rPr>
              <w:t>债券</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007224</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浙商惠泉</w:t>
            </w:r>
            <w:r>
              <w:rPr>
                <w:rFonts w:ascii="宋体" w:eastAsia="宋体" w:hAnsi="宋体" w:cs="Arial"/>
                <w:sz w:val="20"/>
                <w:szCs w:val="20"/>
              </w:rPr>
              <w:t>3</w:t>
            </w:r>
            <w:r>
              <w:rPr>
                <w:rFonts w:ascii="宋体" w:eastAsia="宋体" w:hAnsi="宋体" w:cs="Arial"/>
                <w:sz w:val="20"/>
                <w:szCs w:val="20"/>
              </w:rPr>
              <w:t>个月定开</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007225</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浙商惠泉</w:t>
            </w:r>
            <w:r>
              <w:rPr>
                <w:rFonts w:ascii="宋体" w:eastAsia="宋体" w:hAnsi="宋体" w:cs="Arial"/>
                <w:sz w:val="20"/>
                <w:szCs w:val="20"/>
              </w:rPr>
              <w:t>3</w:t>
            </w:r>
            <w:r>
              <w:rPr>
                <w:rFonts w:ascii="宋体" w:eastAsia="宋体" w:hAnsi="宋体" w:cs="Arial"/>
                <w:sz w:val="20"/>
                <w:szCs w:val="20"/>
              </w:rPr>
              <w:t>个月定开</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007459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浙商惠睿纯债</w:t>
            </w:r>
            <w:r>
              <w:rPr>
                <w:rFonts w:ascii="宋体" w:eastAsia="宋体" w:hAnsi="宋体" w:cs="Arial" w:hint="eastAsia"/>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0</w:t>
            </w:r>
            <w:r>
              <w:rPr>
                <w:rFonts w:ascii="宋体" w:eastAsia="宋体" w:hAnsi="宋体" w:cs="Arial"/>
                <w:sz w:val="20"/>
                <w:szCs w:val="20"/>
              </w:rPr>
              <w:t>25240</w:t>
            </w:r>
          </w:p>
        </w:tc>
        <w:tc>
          <w:tcPr>
            <w:tcW w:w="3685"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浙商惠睿纯债</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007587</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浙商丰裕纯债</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007588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浙商丰裕纯债</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008505</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浙商中短债</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008506</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浙商中短债</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020595</w:t>
            </w:r>
          </w:p>
        </w:tc>
        <w:tc>
          <w:tcPr>
            <w:tcW w:w="3685"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浙商中短债</w:t>
            </w:r>
            <w:r>
              <w:rPr>
                <w:rFonts w:ascii="宋体" w:eastAsia="宋体" w:hAnsi="宋体" w:cs="Arial"/>
                <w:sz w:val="20"/>
                <w:szCs w:val="20"/>
              </w:rPr>
              <w:t>D</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中低风险</w:t>
            </w:r>
          </w:p>
        </w:tc>
        <w:tc>
          <w:tcPr>
            <w:tcW w:w="1565" w:type="dxa"/>
          </w:tcPr>
          <w:p w:rsidR="002A0144" w:rsidRDefault="002A0144">
            <w:pPr>
              <w:spacing w:line="264" w:lineRule="auto"/>
              <w:jc w:val="center"/>
              <w:rPr>
                <w:rFonts w:ascii="宋体" w:eastAsia="宋体" w:hAnsi="宋体" w:cs="Arial"/>
                <w:sz w:val="20"/>
                <w:szCs w:val="20"/>
              </w:rPr>
            </w:pP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009679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浙商惠隆</w:t>
            </w:r>
            <w:r>
              <w:rPr>
                <w:rFonts w:ascii="宋体" w:eastAsia="宋体" w:hAnsi="宋体" w:cs="Arial"/>
                <w:sz w:val="20"/>
                <w:szCs w:val="20"/>
              </w:rPr>
              <w:t>39</w:t>
            </w:r>
            <w:r>
              <w:rPr>
                <w:rFonts w:ascii="宋体" w:eastAsia="宋体" w:hAnsi="宋体" w:cs="Arial"/>
                <w:sz w:val="20"/>
                <w:szCs w:val="20"/>
              </w:rPr>
              <w:t>个月定开</w:t>
            </w:r>
            <w:r>
              <w:rPr>
                <w:rFonts w:ascii="宋体" w:eastAsia="宋体" w:hAnsi="宋体" w:cs="Arial" w:hint="eastAsia"/>
                <w:sz w:val="20"/>
                <w:szCs w:val="20"/>
              </w:rPr>
              <w:t>债</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013231</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浙商智多盈</w:t>
            </w:r>
            <w:r>
              <w:rPr>
                <w:rFonts w:ascii="宋体" w:eastAsia="宋体" w:hAnsi="宋体" w:cs="Arial" w:hint="eastAsia"/>
                <w:sz w:val="20"/>
                <w:szCs w:val="20"/>
              </w:rPr>
              <w:t>债券</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013232</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浙商智多盈</w:t>
            </w:r>
            <w:r>
              <w:rPr>
                <w:rFonts w:ascii="宋体" w:eastAsia="宋体" w:hAnsi="宋体" w:cs="Arial" w:hint="eastAsia"/>
                <w:sz w:val="20"/>
                <w:szCs w:val="20"/>
              </w:rPr>
              <w:t>债券</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686868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浙商聚盈纯债</w:t>
            </w:r>
            <w:r>
              <w:rPr>
                <w:rFonts w:ascii="宋体" w:eastAsia="宋体" w:hAnsi="宋体" w:cs="Arial" w:hint="eastAsia"/>
                <w:sz w:val="20"/>
                <w:szCs w:val="20"/>
              </w:rPr>
              <w:t>债券</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686869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浙商聚盈纯债</w:t>
            </w:r>
            <w:r>
              <w:rPr>
                <w:rFonts w:ascii="宋体" w:eastAsia="宋体" w:hAnsi="宋体" w:cs="Arial" w:hint="eastAsia"/>
                <w:sz w:val="20"/>
                <w:szCs w:val="20"/>
              </w:rPr>
              <w:t>债券</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中低风险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014896</w:t>
            </w:r>
          </w:p>
        </w:tc>
        <w:tc>
          <w:tcPr>
            <w:tcW w:w="3685"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浙商兴盈</w:t>
            </w:r>
            <w:r>
              <w:rPr>
                <w:rFonts w:ascii="宋体" w:eastAsia="宋体" w:hAnsi="宋体" w:cs="Arial"/>
                <w:sz w:val="20"/>
                <w:szCs w:val="20"/>
              </w:rPr>
              <w:t>6</w:t>
            </w:r>
            <w:r>
              <w:rPr>
                <w:rFonts w:ascii="宋体" w:eastAsia="宋体" w:hAnsi="宋体" w:cs="Arial"/>
                <w:sz w:val="20"/>
                <w:szCs w:val="20"/>
              </w:rPr>
              <w:t>个月定开</w:t>
            </w:r>
            <w:r>
              <w:rPr>
                <w:rFonts w:ascii="宋体" w:eastAsia="宋体" w:hAnsi="宋体" w:cs="Arial" w:hint="eastAsia"/>
                <w:sz w:val="20"/>
                <w:szCs w:val="20"/>
              </w:rPr>
              <w:t>债券</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债券型基金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中低风险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014897</w:t>
            </w:r>
          </w:p>
        </w:tc>
        <w:tc>
          <w:tcPr>
            <w:tcW w:w="3685"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浙商兴盈</w:t>
            </w:r>
            <w:r>
              <w:rPr>
                <w:rFonts w:ascii="宋体" w:eastAsia="宋体" w:hAnsi="宋体" w:cs="Arial"/>
                <w:sz w:val="20"/>
                <w:szCs w:val="20"/>
              </w:rPr>
              <w:t>6</w:t>
            </w:r>
            <w:r>
              <w:rPr>
                <w:rFonts w:ascii="宋体" w:eastAsia="宋体" w:hAnsi="宋体" w:cs="Arial"/>
                <w:sz w:val="20"/>
                <w:szCs w:val="20"/>
              </w:rPr>
              <w:t>个月定开</w:t>
            </w:r>
            <w:r>
              <w:rPr>
                <w:rFonts w:ascii="宋体" w:eastAsia="宋体" w:hAnsi="宋体" w:cs="Arial" w:hint="eastAsia"/>
                <w:sz w:val="20"/>
                <w:szCs w:val="20"/>
              </w:rPr>
              <w:t>债券</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债券型基金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中低风险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006102</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浙商丰利增强</w:t>
            </w:r>
            <w:r>
              <w:rPr>
                <w:rFonts w:ascii="宋体" w:eastAsia="宋体" w:hAnsi="宋体" w:cs="Arial" w:hint="eastAsia"/>
                <w:sz w:val="20"/>
                <w:szCs w:val="20"/>
              </w:rPr>
              <w:t>债券</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债券型基金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002967</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浙商大数据智选消费</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014813</w:t>
            </w:r>
          </w:p>
        </w:tc>
        <w:tc>
          <w:tcPr>
            <w:tcW w:w="3685" w:type="dxa"/>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浙商大数据智选消费</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005335</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浙商全景消费</w:t>
            </w:r>
            <w:r>
              <w:rPr>
                <w:rFonts w:ascii="宋体" w:eastAsia="宋体" w:hAnsi="宋体" w:cs="Arial" w:hint="eastAsia"/>
                <w:sz w:val="20"/>
                <w:szCs w:val="20"/>
              </w:rPr>
              <w:t>混合</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014373</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浙商全景消费</w:t>
            </w:r>
            <w:r>
              <w:rPr>
                <w:rFonts w:ascii="宋体" w:eastAsia="宋体" w:hAnsi="宋体" w:cs="Arial" w:hint="eastAsia"/>
                <w:sz w:val="20"/>
                <w:szCs w:val="20"/>
              </w:rPr>
              <w:t>混合</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007177</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浙商智能行业优选</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lastRenderedPageBreak/>
              <w:t>007217</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浙商智能行业优选</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007368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浙商沪港深</w:t>
            </w:r>
            <w:r>
              <w:rPr>
                <w:rFonts w:ascii="宋体" w:eastAsia="宋体" w:hAnsi="宋体" w:cs="Arial" w:hint="eastAsia"/>
                <w:sz w:val="20"/>
                <w:szCs w:val="20"/>
              </w:rPr>
              <w:t>混合</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007369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浙商沪港深</w:t>
            </w:r>
            <w:r>
              <w:rPr>
                <w:rFonts w:ascii="宋体" w:eastAsia="宋体" w:hAnsi="宋体" w:cs="Arial" w:hint="eastAsia"/>
                <w:sz w:val="20"/>
                <w:szCs w:val="20"/>
              </w:rPr>
              <w:t>混合</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009181</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浙商智多兴稳健一年持有</w:t>
            </w:r>
            <w:r>
              <w:rPr>
                <w:rFonts w:ascii="宋体" w:eastAsia="宋体" w:hAnsi="宋体" w:cs="Arial" w:hint="eastAsia"/>
                <w:sz w:val="20"/>
                <w:szCs w:val="20"/>
              </w:rPr>
              <w:t>期</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009182</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浙商智多兴稳健一年持有</w:t>
            </w:r>
            <w:r>
              <w:rPr>
                <w:rFonts w:ascii="宋体" w:eastAsia="宋体" w:hAnsi="宋体" w:cs="Arial" w:hint="eastAsia"/>
                <w:sz w:val="20"/>
                <w:szCs w:val="20"/>
              </w:rPr>
              <w:t>期</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009353</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w:t>
            </w:r>
            <w:r>
              <w:rPr>
                <w:rFonts w:ascii="宋体" w:eastAsia="宋体" w:hAnsi="宋体" w:cs="Arial" w:hint="eastAsia"/>
                <w:sz w:val="20"/>
                <w:szCs w:val="20"/>
              </w:rPr>
              <w:t>科创一个月滚动持有混合</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009354</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w:t>
            </w:r>
            <w:r>
              <w:rPr>
                <w:rFonts w:ascii="宋体" w:eastAsia="宋体" w:hAnsi="宋体" w:cs="Arial" w:hint="eastAsia"/>
                <w:sz w:val="20"/>
                <w:szCs w:val="20"/>
              </w:rPr>
              <w:t>科创一个月滚动持有混合</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009568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浙商智多宝稳健一年持有期</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009569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浙商智多宝稳健一年持有期</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010148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浙商智选经济动能</w:t>
            </w:r>
            <w:r>
              <w:rPr>
                <w:rFonts w:ascii="宋体" w:eastAsia="宋体" w:hAnsi="宋体" w:cs="Arial" w:hint="eastAsia"/>
                <w:sz w:val="20"/>
                <w:szCs w:val="20"/>
              </w:rPr>
              <w:t>混合</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010149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浙商智选经济动能</w:t>
            </w:r>
            <w:r>
              <w:rPr>
                <w:rFonts w:ascii="宋体" w:eastAsia="宋体" w:hAnsi="宋体" w:cs="Arial" w:hint="eastAsia"/>
                <w:sz w:val="20"/>
                <w:szCs w:val="20"/>
              </w:rPr>
              <w:t>混合</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010381</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浙商智选价值</w:t>
            </w:r>
            <w:r>
              <w:rPr>
                <w:rFonts w:ascii="宋体" w:eastAsia="宋体" w:hAnsi="宋体" w:cs="Arial" w:hint="eastAsia"/>
                <w:sz w:val="20"/>
                <w:szCs w:val="20"/>
              </w:rPr>
              <w:t>混合</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010382</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浙商智选价值</w:t>
            </w:r>
            <w:r>
              <w:rPr>
                <w:rFonts w:ascii="宋体" w:eastAsia="宋体" w:hAnsi="宋体" w:cs="Arial" w:hint="eastAsia"/>
                <w:sz w:val="20"/>
                <w:szCs w:val="20"/>
              </w:rPr>
              <w:t>混合</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010539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浙商智多金稳健一年持有</w:t>
            </w:r>
            <w:r>
              <w:rPr>
                <w:rFonts w:ascii="宋体" w:eastAsia="宋体" w:hAnsi="宋体" w:cs="Arial" w:hint="eastAsia"/>
                <w:sz w:val="20"/>
                <w:szCs w:val="20"/>
              </w:rPr>
              <w:t>期</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010540</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浙商智多金稳健一年持有</w:t>
            </w:r>
            <w:r>
              <w:rPr>
                <w:rFonts w:ascii="宋体" w:eastAsia="宋体" w:hAnsi="宋体" w:cs="Arial" w:hint="eastAsia"/>
                <w:sz w:val="20"/>
                <w:szCs w:val="20"/>
              </w:rPr>
              <w:t>期</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010552</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浙商智选领航三年持有</w:t>
            </w:r>
            <w:r>
              <w:rPr>
                <w:rFonts w:ascii="宋体" w:eastAsia="宋体" w:hAnsi="宋体" w:cs="Arial" w:hint="eastAsia"/>
                <w:sz w:val="20"/>
                <w:szCs w:val="20"/>
              </w:rPr>
              <w:t>期</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010553</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浙商智选领航三年持有</w:t>
            </w:r>
            <w:r>
              <w:rPr>
                <w:rFonts w:ascii="宋体" w:eastAsia="宋体" w:hAnsi="宋体" w:cs="Arial" w:hint="eastAsia"/>
                <w:sz w:val="20"/>
                <w:szCs w:val="20"/>
              </w:rPr>
              <w:t>期</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010876</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浙商智选先锋一年持有</w:t>
            </w:r>
            <w:r>
              <w:rPr>
                <w:rFonts w:ascii="宋体" w:eastAsia="宋体" w:hAnsi="宋体" w:cs="Arial" w:hint="eastAsia"/>
                <w:sz w:val="20"/>
                <w:szCs w:val="20"/>
              </w:rPr>
              <w:t>期</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010877</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浙商智选先锋一年持有</w:t>
            </w:r>
            <w:r>
              <w:rPr>
                <w:rFonts w:ascii="宋体" w:eastAsia="宋体" w:hAnsi="宋体" w:cs="Arial" w:hint="eastAsia"/>
                <w:sz w:val="20"/>
                <w:szCs w:val="20"/>
              </w:rPr>
              <w:t>期</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012268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浙商智多享稳健</w:t>
            </w:r>
            <w:r>
              <w:rPr>
                <w:rFonts w:ascii="宋体" w:eastAsia="宋体" w:hAnsi="宋体" w:cs="Arial" w:hint="eastAsia"/>
                <w:sz w:val="20"/>
                <w:szCs w:val="20"/>
              </w:rPr>
              <w:t>混合型发起式</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012269</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浙商智多享稳健</w:t>
            </w:r>
            <w:r>
              <w:rPr>
                <w:rFonts w:ascii="宋体" w:eastAsia="宋体" w:hAnsi="宋体" w:cs="Arial" w:hint="eastAsia"/>
                <w:sz w:val="20"/>
                <w:szCs w:val="20"/>
              </w:rPr>
              <w:t>混合型发起式</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688888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浙商聚潮产业成长</w:t>
            </w:r>
            <w:r>
              <w:rPr>
                <w:rFonts w:ascii="宋体" w:eastAsia="宋体" w:hAnsi="宋体" w:cs="Arial" w:hint="eastAsia"/>
                <w:sz w:val="20"/>
                <w:szCs w:val="20"/>
              </w:rPr>
              <w:t>混合</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013531</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浙商聚潮产业成长</w:t>
            </w:r>
            <w:r>
              <w:rPr>
                <w:rFonts w:ascii="宋体" w:eastAsia="宋体" w:hAnsi="宋体" w:cs="Arial" w:hint="eastAsia"/>
                <w:sz w:val="20"/>
                <w:szCs w:val="20"/>
              </w:rPr>
              <w:t>混合</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166801</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浙商聚潮新思维</w:t>
            </w:r>
            <w:r>
              <w:rPr>
                <w:rFonts w:ascii="宋体" w:eastAsia="宋体" w:hAnsi="宋体" w:cs="Arial" w:hint="eastAsia"/>
                <w:sz w:val="20"/>
                <w:szCs w:val="20"/>
              </w:rPr>
              <w:t>混合</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bottom"/>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014085</w:t>
            </w:r>
          </w:p>
        </w:tc>
        <w:tc>
          <w:tcPr>
            <w:tcW w:w="3685" w:type="dxa"/>
            <w:vAlign w:val="bottom"/>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浙商聚潮新思维混合</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bottom"/>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015373</w:t>
            </w:r>
          </w:p>
        </w:tc>
        <w:tc>
          <w:tcPr>
            <w:tcW w:w="3685" w:type="dxa"/>
            <w:vAlign w:val="bottom"/>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浙商智选新兴产业混合</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bottom"/>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015374</w:t>
            </w:r>
          </w:p>
        </w:tc>
        <w:tc>
          <w:tcPr>
            <w:tcW w:w="3685" w:type="dxa"/>
            <w:vAlign w:val="bottom"/>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浙商智选新兴产业混合</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混合型基金</w:t>
            </w:r>
          </w:p>
        </w:tc>
        <w:tc>
          <w:tcPr>
            <w:tcW w:w="1843" w:type="dxa"/>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中风险</w:t>
            </w:r>
          </w:p>
        </w:tc>
        <w:tc>
          <w:tcPr>
            <w:tcW w:w="1565" w:type="dxa"/>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002076</w:t>
            </w:r>
          </w:p>
        </w:tc>
        <w:tc>
          <w:tcPr>
            <w:tcW w:w="3685"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浙商中证</w:t>
            </w:r>
            <w:r>
              <w:rPr>
                <w:rFonts w:ascii="宋体" w:eastAsia="宋体" w:hAnsi="宋体" w:cs="Arial"/>
                <w:sz w:val="20"/>
                <w:szCs w:val="20"/>
              </w:rPr>
              <w:t>500</w:t>
            </w:r>
            <w:r>
              <w:rPr>
                <w:rFonts w:ascii="宋体" w:eastAsia="宋体" w:hAnsi="宋体" w:cs="Arial"/>
                <w:sz w:val="20"/>
                <w:szCs w:val="20"/>
              </w:rPr>
              <w:t>增强</w:t>
            </w:r>
            <w:r>
              <w:rPr>
                <w:rFonts w:ascii="宋体" w:eastAsia="宋体" w:hAnsi="宋体" w:cs="Arial"/>
                <w:sz w:val="20"/>
                <w:szCs w:val="20"/>
              </w:rPr>
              <w:t>A</w:t>
            </w:r>
          </w:p>
        </w:tc>
        <w:tc>
          <w:tcPr>
            <w:tcW w:w="184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股票型指数基金</w:t>
            </w:r>
          </w:p>
        </w:tc>
        <w:tc>
          <w:tcPr>
            <w:tcW w:w="184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中风险</w:t>
            </w:r>
          </w:p>
        </w:tc>
        <w:tc>
          <w:tcPr>
            <w:tcW w:w="1565" w:type="dxa"/>
            <w:shd w:val="clear" w:color="auto" w:fill="auto"/>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007386</w:t>
            </w:r>
          </w:p>
        </w:tc>
        <w:tc>
          <w:tcPr>
            <w:tcW w:w="3685"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浙商中证</w:t>
            </w:r>
            <w:r>
              <w:rPr>
                <w:rFonts w:ascii="宋体" w:eastAsia="宋体" w:hAnsi="宋体" w:cs="Arial"/>
                <w:sz w:val="20"/>
                <w:szCs w:val="20"/>
              </w:rPr>
              <w:t>500</w:t>
            </w:r>
            <w:r>
              <w:rPr>
                <w:rFonts w:ascii="宋体" w:eastAsia="宋体" w:hAnsi="宋体" w:cs="Arial"/>
                <w:sz w:val="20"/>
                <w:szCs w:val="20"/>
              </w:rPr>
              <w:t>增强</w:t>
            </w:r>
            <w:r>
              <w:rPr>
                <w:rFonts w:ascii="宋体" w:eastAsia="宋体" w:hAnsi="宋体" w:cs="Arial"/>
                <w:sz w:val="20"/>
                <w:szCs w:val="20"/>
              </w:rPr>
              <w:t>C</w:t>
            </w:r>
          </w:p>
        </w:tc>
        <w:tc>
          <w:tcPr>
            <w:tcW w:w="184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股票型指数基金</w:t>
            </w:r>
          </w:p>
        </w:tc>
        <w:tc>
          <w:tcPr>
            <w:tcW w:w="184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中风险</w:t>
            </w:r>
          </w:p>
        </w:tc>
        <w:tc>
          <w:tcPr>
            <w:tcW w:w="1565" w:type="dxa"/>
            <w:shd w:val="clear" w:color="auto" w:fill="auto"/>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166802</w:t>
            </w:r>
          </w:p>
        </w:tc>
        <w:tc>
          <w:tcPr>
            <w:tcW w:w="3685"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浙商沪深</w:t>
            </w:r>
            <w:r>
              <w:rPr>
                <w:rFonts w:ascii="宋体" w:eastAsia="宋体" w:hAnsi="宋体" w:cs="Arial"/>
                <w:sz w:val="20"/>
                <w:szCs w:val="20"/>
              </w:rPr>
              <w:t>300</w:t>
            </w:r>
            <w:r>
              <w:rPr>
                <w:rFonts w:ascii="宋体" w:eastAsia="宋体" w:hAnsi="宋体" w:cs="Arial"/>
                <w:sz w:val="20"/>
                <w:szCs w:val="20"/>
              </w:rPr>
              <w:t>指数增强</w:t>
            </w:r>
            <w:r>
              <w:rPr>
                <w:rFonts w:ascii="宋体" w:eastAsia="宋体" w:hAnsi="宋体" w:cs="Arial" w:hint="eastAsia"/>
                <w:sz w:val="20"/>
                <w:szCs w:val="20"/>
              </w:rPr>
              <w:t>（</w:t>
            </w:r>
            <w:r>
              <w:rPr>
                <w:rFonts w:ascii="宋体" w:eastAsia="宋体" w:hAnsi="宋体" w:cs="Arial"/>
                <w:sz w:val="20"/>
                <w:szCs w:val="20"/>
              </w:rPr>
              <w:t>LOF</w:t>
            </w:r>
            <w:r>
              <w:rPr>
                <w:rFonts w:ascii="宋体" w:eastAsia="宋体" w:hAnsi="宋体" w:cs="Arial"/>
                <w:sz w:val="20"/>
                <w:szCs w:val="20"/>
              </w:rPr>
              <w:t>）</w:t>
            </w:r>
            <w:r>
              <w:rPr>
                <w:rFonts w:ascii="宋体" w:eastAsia="宋体" w:hAnsi="宋体" w:cs="Arial"/>
                <w:sz w:val="20"/>
                <w:szCs w:val="20"/>
              </w:rPr>
              <w:t>A</w:t>
            </w:r>
          </w:p>
        </w:tc>
        <w:tc>
          <w:tcPr>
            <w:tcW w:w="184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股票型指数基金</w:t>
            </w:r>
          </w:p>
        </w:tc>
        <w:tc>
          <w:tcPr>
            <w:tcW w:w="1843" w:type="dxa"/>
            <w:shd w:val="clear" w:color="auto" w:fill="auto"/>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中风险</w:t>
            </w:r>
          </w:p>
        </w:tc>
        <w:tc>
          <w:tcPr>
            <w:tcW w:w="1565" w:type="dxa"/>
            <w:shd w:val="clear" w:color="auto" w:fill="auto"/>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shd w:val="clear" w:color="auto" w:fill="auto"/>
            <w:vAlign w:val="bottom"/>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014372</w:t>
            </w:r>
          </w:p>
        </w:tc>
        <w:tc>
          <w:tcPr>
            <w:tcW w:w="3685" w:type="dxa"/>
            <w:shd w:val="clear" w:color="auto" w:fill="auto"/>
            <w:vAlign w:val="bottom"/>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浙商沪深</w:t>
            </w:r>
            <w:r>
              <w:rPr>
                <w:rFonts w:ascii="宋体" w:eastAsia="宋体" w:hAnsi="宋体" w:cs="Arial"/>
                <w:sz w:val="20"/>
                <w:szCs w:val="20"/>
              </w:rPr>
              <w:t>300</w:t>
            </w:r>
            <w:r>
              <w:rPr>
                <w:rFonts w:ascii="宋体" w:eastAsia="宋体" w:hAnsi="宋体" w:cs="Arial" w:hint="eastAsia"/>
                <w:sz w:val="20"/>
                <w:szCs w:val="20"/>
              </w:rPr>
              <w:t>指数增强（</w:t>
            </w:r>
            <w:r>
              <w:rPr>
                <w:rFonts w:ascii="宋体" w:eastAsia="宋体" w:hAnsi="宋体" w:cs="Arial"/>
                <w:sz w:val="20"/>
                <w:szCs w:val="20"/>
              </w:rPr>
              <w:t>LOF</w:t>
            </w:r>
            <w:r>
              <w:rPr>
                <w:rFonts w:ascii="宋体" w:eastAsia="宋体" w:hAnsi="宋体" w:cs="Arial"/>
                <w:sz w:val="20"/>
                <w:szCs w:val="20"/>
              </w:rPr>
              <w:t>）</w:t>
            </w:r>
            <w:r>
              <w:rPr>
                <w:rFonts w:ascii="宋体" w:eastAsia="宋体" w:hAnsi="宋体" w:cs="Arial"/>
                <w:sz w:val="20"/>
                <w:szCs w:val="20"/>
              </w:rPr>
              <w:t>C</w:t>
            </w:r>
          </w:p>
        </w:tc>
        <w:tc>
          <w:tcPr>
            <w:tcW w:w="1843" w:type="dxa"/>
            <w:shd w:val="clear" w:color="auto" w:fill="auto"/>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股票型指数基金</w:t>
            </w:r>
          </w:p>
        </w:tc>
        <w:tc>
          <w:tcPr>
            <w:tcW w:w="1843" w:type="dxa"/>
            <w:shd w:val="clear" w:color="auto" w:fill="auto"/>
            <w:vAlign w:val="center"/>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中风险</w:t>
            </w:r>
          </w:p>
        </w:tc>
        <w:tc>
          <w:tcPr>
            <w:tcW w:w="1565"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018233</w:t>
            </w:r>
          </w:p>
        </w:tc>
        <w:tc>
          <w:tcPr>
            <w:tcW w:w="3685"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浙商中证</w:t>
            </w:r>
            <w:r>
              <w:rPr>
                <w:rFonts w:ascii="宋体" w:eastAsia="宋体" w:hAnsi="宋体" w:cs="Arial"/>
                <w:sz w:val="20"/>
                <w:szCs w:val="20"/>
              </w:rPr>
              <w:t>1000</w:t>
            </w:r>
            <w:r>
              <w:rPr>
                <w:rFonts w:ascii="宋体" w:eastAsia="宋体" w:hAnsi="宋体" w:cs="Arial"/>
                <w:sz w:val="20"/>
                <w:szCs w:val="20"/>
              </w:rPr>
              <w:t>指数增强</w:t>
            </w:r>
            <w:r>
              <w:rPr>
                <w:rFonts w:ascii="宋体" w:eastAsia="宋体" w:hAnsi="宋体" w:cs="Arial"/>
                <w:sz w:val="20"/>
                <w:szCs w:val="20"/>
              </w:rPr>
              <w:t>A</w:t>
            </w:r>
          </w:p>
        </w:tc>
        <w:tc>
          <w:tcPr>
            <w:tcW w:w="1843"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股票型指数基金</w:t>
            </w:r>
          </w:p>
        </w:tc>
        <w:tc>
          <w:tcPr>
            <w:tcW w:w="1843"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中风险</w:t>
            </w:r>
          </w:p>
        </w:tc>
        <w:tc>
          <w:tcPr>
            <w:tcW w:w="1565"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018234</w:t>
            </w:r>
          </w:p>
        </w:tc>
        <w:tc>
          <w:tcPr>
            <w:tcW w:w="3685"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浙商中证</w:t>
            </w:r>
            <w:r>
              <w:rPr>
                <w:rFonts w:ascii="宋体" w:eastAsia="宋体" w:hAnsi="宋体" w:cs="Arial"/>
                <w:sz w:val="20"/>
                <w:szCs w:val="20"/>
              </w:rPr>
              <w:t>1000</w:t>
            </w:r>
            <w:r>
              <w:rPr>
                <w:rFonts w:ascii="宋体" w:eastAsia="宋体" w:hAnsi="宋体" w:cs="Arial"/>
                <w:sz w:val="20"/>
                <w:szCs w:val="20"/>
              </w:rPr>
              <w:t>指数增强</w:t>
            </w:r>
            <w:r>
              <w:rPr>
                <w:rFonts w:ascii="宋体" w:eastAsia="宋体" w:hAnsi="宋体" w:cs="Arial"/>
                <w:sz w:val="20"/>
                <w:szCs w:val="20"/>
              </w:rPr>
              <w:t>C</w:t>
            </w:r>
          </w:p>
        </w:tc>
        <w:tc>
          <w:tcPr>
            <w:tcW w:w="1843"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股票型指数基金</w:t>
            </w:r>
          </w:p>
        </w:tc>
        <w:tc>
          <w:tcPr>
            <w:tcW w:w="1843"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sz w:val="20"/>
                <w:szCs w:val="20"/>
              </w:rPr>
              <w:t>中风险</w:t>
            </w:r>
          </w:p>
        </w:tc>
        <w:tc>
          <w:tcPr>
            <w:tcW w:w="1565" w:type="dxa"/>
            <w:shd w:val="clear" w:color="auto" w:fill="auto"/>
          </w:tcPr>
          <w:p w:rsidR="002A0144" w:rsidRDefault="0091564B">
            <w:pPr>
              <w:spacing w:line="264" w:lineRule="auto"/>
              <w:jc w:val="center"/>
              <w:rPr>
                <w:rFonts w:ascii="宋体" w:eastAsia="宋体" w:hAnsi="宋体" w:cs="Arial"/>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007178</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浙商中华预期高股息</w:t>
            </w:r>
            <w:r>
              <w:rPr>
                <w:rFonts w:ascii="宋体" w:eastAsia="宋体" w:hAnsi="宋体" w:cs="Arial"/>
                <w:sz w:val="20"/>
                <w:szCs w:val="20"/>
              </w:rPr>
              <w:t>A</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股票型指数基金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中高风险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r w:rsidR="002A0144">
        <w:trPr>
          <w:jc w:val="center"/>
        </w:trPr>
        <w:tc>
          <w:tcPr>
            <w:tcW w:w="141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007216</w:t>
            </w:r>
          </w:p>
        </w:tc>
        <w:tc>
          <w:tcPr>
            <w:tcW w:w="3685"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浙商中华预期高股息</w:t>
            </w:r>
            <w:r>
              <w:rPr>
                <w:rFonts w:ascii="宋体" w:eastAsia="宋体" w:hAnsi="宋体" w:cs="Arial"/>
                <w:sz w:val="20"/>
                <w:szCs w:val="20"/>
              </w:rPr>
              <w:t>C</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股票型指数基金</w:t>
            </w:r>
          </w:p>
        </w:tc>
        <w:tc>
          <w:tcPr>
            <w:tcW w:w="1843" w:type="dxa"/>
            <w:vAlign w:val="center"/>
          </w:tcPr>
          <w:p w:rsidR="002A0144" w:rsidRDefault="0091564B">
            <w:pPr>
              <w:spacing w:line="264" w:lineRule="auto"/>
              <w:jc w:val="center"/>
              <w:rPr>
                <w:rFonts w:ascii="宋体" w:eastAsia="宋体" w:hAnsi="宋体"/>
                <w:sz w:val="20"/>
                <w:szCs w:val="20"/>
              </w:rPr>
            </w:pPr>
            <w:r>
              <w:rPr>
                <w:rFonts w:ascii="宋体" w:eastAsia="宋体" w:hAnsi="宋体" w:cs="Arial"/>
                <w:sz w:val="20"/>
                <w:szCs w:val="20"/>
              </w:rPr>
              <w:t>中高风险</w:t>
            </w:r>
          </w:p>
        </w:tc>
        <w:tc>
          <w:tcPr>
            <w:tcW w:w="1565" w:type="dxa"/>
          </w:tcPr>
          <w:p w:rsidR="002A0144" w:rsidRDefault="0091564B">
            <w:pPr>
              <w:spacing w:line="264" w:lineRule="auto"/>
              <w:jc w:val="center"/>
              <w:rPr>
                <w:rFonts w:ascii="宋体" w:eastAsia="宋体" w:hAnsi="宋体"/>
                <w:sz w:val="20"/>
                <w:szCs w:val="20"/>
              </w:rPr>
            </w:pPr>
            <w:r>
              <w:rPr>
                <w:rFonts w:ascii="宋体" w:eastAsia="宋体" w:hAnsi="宋体" w:cs="Arial" w:hint="eastAsia"/>
                <w:sz w:val="20"/>
                <w:szCs w:val="20"/>
              </w:rPr>
              <w:t>-</w:t>
            </w:r>
          </w:p>
        </w:tc>
      </w:tr>
    </w:tbl>
    <w:p w:rsidR="002A0144" w:rsidRDefault="002A0144">
      <w:pPr>
        <w:spacing w:line="20" w:lineRule="exact"/>
        <w:rPr>
          <w:rFonts w:ascii="宋体" w:eastAsia="宋体" w:hAnsi="宋体"/>
          <w:sz w:val="24"/>
          <w:szCs w:val="24"/>
        </w:rPr>
      </w:pPr>
    </w:p>
    <w:sectPr w:rsidR="002A0144" w:rsidSect="002A01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2EFB"/>
    <w:rsid w:val="00010B00"/>
    <w:rsid w:val="00025F54"/>
    <w:rsid w:val="000354DC"/>
    <w:rsid w:val="0006137F"/>
    <w:rsid w:val="00081E88"/>
    <w:rsid w:val="00090C00"/>
    <w:rsid w:val="000B1BE8"/>
    <w:rsid w:val="000D18F3"/>
    <w:rsid w:val="000D6B44"/>
    <w:rsid w:val="000F40ED"/>
    <w:rsid w:val="000F77B8"/>
    <w:rsid w:val="00122A10"/>
    <w:rsid w:val="00130C07"/>
    <w:rsid w:val="00157871"/>
    <w:rsid w:val="00165F53"/>
    <w:rsid w:val="00166D01"/>
    <w:rsid w:val="00182640"/>
    <w:rsid w:val="001A2D53"/>
    <w:rsid w:val="001B1850"/>
    <w:rsid w:val="001D2BA6"/>
    <w:rsid w:val="001D4D70"/>
    <w:rsid w:val="00215675"/>
    <w:rsid w:val="00217137"/>
    <w:rsid w:val="00224F66"/>
    <w:rsid w:val="00237946"/>
    <w:rsid w:val="00251C95"/>
    <w:rsid w:val="00251FC5"/>
    <w:rsid w:val="002606B8"/>
    <w:rsid w:val="00261A80"/>
    <w:rsid w:val="00291AB9"/>
    <w:rsid w:val="002A0144"/>
    <w:rsid w:val="002C0424"/>
    <w:rsid w:val="002C309F"/>
    <w:rsid w:val="0030692A"/>
    <w:rsid w:val="0030790E"/>
    <w:rsid w:val="00357A64"/>
    <w:rsid w:val="003748A5"/>
    <w:rsid w:val="003774D0"/>
    <w:rsid w:val="00395C44"/>
    <w:rsid w:val="00396526"/>
    <w:rsid w:val="003A55AB"/>
    <w:rsid w:val="003C4EAD"/>
    <w:rsid w:val="003D6837"/>
    <w:rsid w:val="003F0B44"/>
    <w:rsid w:val="00414BCB"/>
    <w:rsid w:val="00416A15"/>
    <w:rsid w:val="0042029E"/>
    <w:rsid w:val="00437E1D"/>
    <w:rsid w:val="00445AD2"/>
    <w:rsid w:val="0045325C"/>
    <w:rsid w:val="00456CA4"/>
    <w:rsid w:val="00486921"/>
    <w:rsid w:val="00497903"/>
    <w:rsid w:val="004B2793"/>
    <w:rsid w:val="004B467E"/>
    <w:rsid w:val="004C1BA4"/>
    <w:rsid w:val="004D3878"/>
    <w:rsid w:val="004E0C32"/>
    <w:rsid w:val="004E50A9"/>
    <w:rsid w:val="004E7827"/>
    <w:rsid w:val="004F55EA"/>
    <w:rsid w:val="00502350"/>
    <w:rsid w:val="005262CC"/>
    <w:rsid w:val="005307DF"/>
    <w:rsid w:val="0053630B"/>
    <w:rsid w:val="00536AD5"/>
    <w:rsid w:val="0054468C"/>
    <w:rsid w:val="00562742"/>
    <w:rsid w:val="00585D27"/>
    <w:rsid w:val="005B3E93"/>
    <w:rsid w:val="005D1AF0"/>
    <w:rsid w:val="005D6502"/>
    <w:rsid w:val="005E1B67"/>
    <w:rsid w:val="005E79BD"/>
    <w:rsid w:val="0061403D"/>
    <w:rsid w:val="00645CD6"/>
    <w:rsid w:val="006501F6"/>
    <w:rsid w:val="00670C8E"/>
    <w:rsid w:val="006A2EFB"/>
    <w:rsid w:val="006A7480"/>
    <w:rsid w:val="006B5D46"/>
    <w:rsid w:val="006C141F"/>
    <w:rsid w:val="006C58DA"/>
    <w:rsid w:val="006C7EBB"/>
    <w:rsid w:val="006D2F44"/>
    <w:rsid w:val="006D4501"/>
    <w:rsid w:val="006D526D"/>
    <w:rsid w:val="006E07F4"/>
    <w:rsid w:val="006E4754"/>
    <w:rsid w:val="006F667B"/>
    <w:rsid w:val="00700DB8"/>
    <w:rsid w:val="00705F9D"/>
    <w:rsid w:val="00716EBE"/>
    <w:rsid w:val="007175F1"/>
    <w:rsid w:val="007213CA"/>
    <w:rsid w:val="007349D1"/>
    <w:rsid w:val="00743BE7"/>
    <w:rsid w:val="007445A1"/>
    <w:rsid w:val="00786483"/>
    <w:rsid w:val="007B582C"/>
    <w:rsid w:val="007B758A"/>
    <w:rsid w:val="007C32D9"/>
    <w:rsid w:val="007E3903"/>
    <w:rsid w:val="007E66AC"/>
    <w:rsid w:val="007F7EEA"/>
    <w:rsid w:val="008226A2"/>
    <w:rsid w:val="0083606D"/>
    <w:rsid w:val="00844834"/>
    <w:rsid w:val="00846101"/>
    <w:rsid w:val="00851207"/>
    <w:rsid w:val="0086068D"/>
    <w:rsid w:val="008904D0"/>
    <w:rsid w:val="008A271B"/>
    <w:rsid w:val="008A368A"/>
    <w:rsid w:val="008C5356"/>
    <w:rsid w:val="008D618E"/>
    <w:rsid w:val="008F5472"/>
    <w:rsid w:val="008F5CB3"/>
    <w:rsid w:val="00907D3F"/>
    <w:rsid w:val="00912C90"/>
    <w:rsid w:val="0091564B"/>
    <w:rsid w:val="00930D6A"/>
    <w:rsid w:val="00932339"/>
    <w:rsid w:val="00935D38"/>
    <w:rsid w:val="00941CE7"/>
    <w:rsid w:val="00945387"/>
    <w:rsid w:val="009471B8"/>
    <w:rsid w:val="009529B8"/>
    <w:rsid w:val="00954561"/>
    <w:rsid w:val="00961DC9"/>
    <w:rsid w:val="009749B7"/>
    <w:rsid w:val="0098525C"/>
    <w:rsid w:val="00985406"/>
    <w:rsid w:val="00987198"/>
    <w:rsid w:val="00996C26"/>
    <w:rsid w:val="009B0883"/>
    <w:rsid w:val="009E0BDC"/>
    <w:rsid w:val="009E3F6E"/>
    <w:rsid w:val="009F3E5C"/>
    <w:rsid w:val="009F582D"/>
    <w:rsid w:val="00A00CAC"/>
    <w:rsid w:val="00A253F3"/>
    <w:rsid w:val="00A77262"/>
    <w:rsid w:val="00AA7804"/>
    <w:rsid w:val="00AB5555"/>
    <w:rsid w:val="00AB74A9"/>
    <w:rsid w:val="00AB77B3"/>
    <w:rsid w:val="00AD03F6"/>
    <w:rsid w:val="00AD4705"/>
    <w:rsid w:val="00AF04BA"/>
    <w:rsid w:val="00B14268"/>
    <w:rsid w:val="00B20597"/>
    <w:rsid w:val="00B25448"/>
    <w:rsid w:val="00B47972"/>
    <w:rsid w:val="00B47B77"/>
    <w:rsid w:val="00B56408"/>
    <w:rsid w:val="00B72F76"/>
    <w:rsid w:val="00B824DD"/>
    <w:rsid w:val="00B834D2"/>
    <w:rsid w:val="00B95693"/>
    <w:rsid w:val="00BC482D"/>
    <w:rsid w:val="00BD6101"/>
    <w:rsid w:val="00BE144A"/>
    <w:rsid w:val="00BF5A32"/>
    <w:rsid w:val="00C06C16"/>
    <w:rsid w:val="00C10CC7"/>
    <w:rsid w:val="00C32703"/>
    <w:rsid w:val="00C7289F"/>
    <w:rsid w:val="00C7308E"/>
    <w:rsid w:val="00C95000"/>
    <w:rsid w:val="00CA2135"/>
    <w:rsid w:val="00CD28D7"/>
    <w:rsid w:val="00D00010"/>
    <w:rsid w:val="00D03B73"/>
    <w:rsid w:val="00D05B2B"/>
    <w:rsid w:val="00D14BFA"/>
    <w:rsid w:val="00D36F45"/>
    <w:rsid w:val="00D3751D"/>
    <w:rsid w:val="00D661C5"/>
    <w:rsid w:val="00D73A98"/>
    <w:rsid w:val="00D86C7E"/>
    <w:rsid w:val="00DA028B"/>
    <w:rsid w:val="00DA11A0"/>
    <w:rsid w:val="00DC0087"/>
    <w:rsid w:val="00DD130A"/>
    <w:rsid w:val="00DF3A9B"/>
    <w:rsid w:val="00DF532A"/>
    <w:rsid w:val="00DF7DD1"/>
    <w:rsid w:val="00E03AE2"/>
    <w:rsid w:val="00E22094"/>
    <w:rsid w:val="00E330A6"/>
    <w:rsid w:val="00E445E4"/>
    <w:rsid w:val="00E64301"/>
    <w:rsid w:val="00E93586"/>
    <w:rsid w:val="00ED1E83"/>
    <w:rsid w:val="00ED5C81"/>
    <w:rsid w:val="00ED5EBA"/>
    <w:rsid w:val="00F14320"/>
    <w:rsid w:val="00F30875"/>
    <w:rsid w:val="00F538C3"/>
    <w:rsid w:val="00F640A5"/>
    <w:rsid w:val="00F72A21"/>
    <w:rsid w:val="00F81B68"/>
    <w:rsid w:val="00F929A7"/>
    <w:rsid w:val="00FA2B12"/>
    <w:rsid w:val="00FB5A18"/>
    <w:rsid w:val="00FB5FA3"/>
    <w:rsid w:val="00FC03D6"/>
    <w:rsid w:val="00FC3A2F"/>
    <w:rsid w:val="00FE0895"/>
    <w:rsid w:val="00FE5A04"/>
    <w:rsid w:val="00FF2CC1"/>
    <w:rsid w:val="00FF4926"/>
    <w:rsid w:val="045004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2A0144"/>
    <w:pPr>
      <w:jc w:val="left"/>
    </w:pPr>
  </w:style>
  <w:style w:type="paragraph" w:styleId="a4">
    <w:name w:val="footer"/>
    <w:basedOn w:val="a"/>
    <w:link w:val="Char0"/>
    <w:uiPriority w:val="99"/>
    <w:unhideWhenUsed/>
    <w:rsid w:val="002A0144"/>
    <w:pPr>
      <w:tabs>
        <w:tab w:val="center" w:pos="4153"/>
        <w:tab w:val="right" w:pos="8306"/>
      </w:tabs>
      <w:snapToGrid w:val="0"/>
      <w:jc w:val="left"/>
    </w:pPr>
    <w:rPr>
      <w:sz w:val="18"/>
      <w:szCs w:val="18"/>
    </w:rPr>
  </w:style>
  <w:style w:type="paragraph" w:styleId="a5">
    <w:name w:val="header"/>
    <w:basedOn w:val="a"/>
    <w:link w:val="Char1"/>
    <w:uiPriority w:val="99"/>
    <w:unhideWhenUsed/>
    <w:rsid w:val="002A0144"/>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sid w:val="002A0144"/>
    <w:rPr>
      <w:b/>
      <w:bCs/>
    </w:rPr>
  </w:style>
  <w:style w:type="table" w:styleId="a7">
    <w:name w:val="Table Grid"/>
    <w:basedOn w:val="a1"/>
    <w:uiPriority w:val="39"/>
    <w:rsid w:val="002A0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2A0144"/>
    <w:rPr>
      <w:sz w:val="21"/>
      <w:szCs w:val="21"/>
    </w:rPr>
  </w:style>
  <w:style w:type="paragraph" w:customStyle="1" w:styleId="1">
    <w:name w:val="修订1"/>
    <w:hidden/>
    <w:uiPriority w:val="99"/>
    <w:semiHidden/>
    <w:rsid w:val="002A0144"/>
    <w:rPr>
      <w:kern w:val="2"/>
      <w:sz w:val="21"/>
      <w:szCs w:val="22"/>
    </w:rPr>
  </w:style>
  <w:style w:type="character" w:customStyle="1" w:styleId="Char1">
    <w:name w:val="页眉 Char"/>
    <w:basedOn w:val="a0"/>
    <w:link w:val="a5"/>
    <w:uiPriority w:val="99"/>
    <w:rsid w:val="002A0144"/>
    <w:rPr>
      <w:sz w:val="18"/>
      <w:szCs w:val="18"/>
    </w:rPr>
  </w:style>
  <w:style w:type="character" w:customStyle="1" w:styleId="Char0">
    <w:name w:val="页脚 Char"/>
    <w:basedOn w:val="a0"/>
    <w:link w:val="a4"/>
    <w:uiPriority w:val="99"/>
    <w:rsid w:val="002A0144"/>
    <w:rPr>
      <w:sz w:val="18"/>
      <w:szCs w:val="18"/>
    </w:rPr>
  </w:style>
  <w:style w:type="character" w:customStyle="1" w:styleId="Char">
    <w:name w:val="批注文字 Char"/>
    <w:basedOn w:val="a0"/>
    <w:link w:val="a3"/>
    <w:uiPriority w:val="99"/>
    <w:rsid w:val="002A0144"/>
  </w:style>
  <w:style w:type="character" w:customStyle="1" w:styleId="Char2">
    <w:name w:val="批注主题 Char"/>
    <w:basedOn w:val="Char"/>
    <w:link w:val="a6"/>
    <w:uiPriority w:val="99"/>
    <w:semiHidden/>
    <w:rsid w:val="002A014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2552</Characters>
  <Application>Microsoft Office Word</Application>
  <DocSecurity>4</DocSecurity>
  <Lines>21</Lines>
  <Paragraphs>5</Paragraphs>
  <ScaleCrop>false</ScaleCrop>
  <Company>CNSTOCK</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彭丽蓉</dc:creator>
  <cp:lastModifiedBy>ZHONGM</cp:lastModifiedBy>
  <cp:revision>2</cp:revision>
  <dcterms:created xsi:type="dcterms:W3CDTF">2026-01-08T16:02:00Z</dcterms:created>
  <dcterms:modified xsi:type="dcterms:W3CDTF">2026-01-08T16:02:00Z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A498EAA7DC804D50AC3A3DB82A74032E_13</vt:lpwstr>
  </property>
</Properties>
</file>