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8E" w:rsidRDefault="00B72EF0">
      <w:pPr>
        <w:jc w:val="center"/>
        <w:rPr>
          <w:b/>
          <w:color w:val="000000"/>
          <w:sz w:val="30"/>
          <w:szCs w:val="30"/>
        </w:rPr>
      </w:pPr>
      <w:bookmarkStart w:id="0" w:name="_Toc249263628"/>
      <w:r>
        <w:rPr>
          <w:rFonts w:ascii="宋体" w:hAnsi="宋体" w:hint="eastAsia"/>
          <w:b/>
          <w:color w:val="000000"/>
          <w:kern w:val="0"/>
          <w:sz w:val="30"/>
          <w:szCs w:val="30"/>
        </w:rPr>
        <w:t>关于富国久利稳健配置混合型证券投资基金暂停大额申购、转换转入及定期定额投资业务的公告</w:t>
      </w:r>
      <w:bookmarkStart w:id="1" w:name="_GoBack"/>
      <w:bookmarkEnd w:id="1"/>
    </w:p>
    <w:p w:rsidR="0046338E" w:rsidRDefault="0046338E">
      <w:pPr>
        <w:jc w:val="right"/>
        <w:rPr>
          <w:b/>
          <w:color w:val="000000"/>
          <w:sz w:val="30"/>
          <w:szCs w:val="30"/>
        </w:rPr>
      </w:pPr>
    </w:p>
    <w:p w:rsidR="0046338E" w:rsidRDefault="00B72EF0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sz w:val="24"/>
        </w:rPr>
        <w:t>公告送出日期：</w:t>
      </w:r>
      <w:r>
        <w:rPr>
          <w:rFonts w:ascii="宋体" w:hAnsi="宋体" w:hint="eastAsia"/>
          <w:color w:val="000000"/>
          <w:kern w:val="0"/>
          <w:sz w:val="24"/>
        </w:rPr>
        <w:t>2026年01月09日</w:t>
      </w:r>
    </w:p>
    <w:p w:rsidR="0046338E" w:rsidRDefault="0046338E">
      <w:pPr>
        <w:jc w:val="right"/>
        <w:rPr>
          <w:i/>
          <w:sz w:val="28"/>
          <w:szCs w:val="28"/>
        </w:rPr>
      </w:pPr>
    </w:p>
    <w:p w:rsidR="0046338E" w:rsidRDefault="00B72EF0">
      <w:pPr>
        <w:pStyle w:val="a"/>
      </w:pPr>
      <w:r>
        <w:rPr>
          <w:rFonts w:hint="eastAsia"/>
        </w:rPr>
        <w:t>公告基本信息</w:t>
      </w:r>
      <w:bookmarkEnd w:id="0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2410"/>
        <w:gridCol w:w="2176"/>
        <w:gridCol w:w="2176"/>
        <w:gridCol w:w="2176"/>
      </w:tblGrid>
      <w:tr w:rsidR="0046338E">
        <w:trPr>
          <w:cantSplit/>
          <w:jc w:val="center"/>
        </w:trPr>
        <w:tc>
          <w:tcPr>
            <w:tcW w:w="3537" w:type="dxa"/>
            <w:gridSpan w:val="2"/>
          </w:tcPr>
          <w:p w:rsidR="0046338E" w:rsidRDefault="00B72EF0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6528" w:type="dxa"/>
            <w:gridSpan w:val="3"/>
          </w:tcPr>
          <w:p w:rsidR="0046338E" w:rsidRDefault="00B72EF0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富国久利稳健配置混合型证券投资基金</w:t>
            </w:r>
          </w:p>
        </w:tc>
      </w:tr>
      <w:tr w:rsidR="0046338E">
        <w:trPr>
          <w:cantSplit/>
          <w:jc w:val="center"/>
        </w:trPr>
        <w:tc>
          <w:tcPr>
            <w:tcW w:w="3537" w:type="dxa"/>
            <w:gridSpan w:val="2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6528" w:type="dxa"/>
            <w:gridSpan w:val="3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富国久利稳健配置混合型</w:t>
            </w:r>
          </w:p>
        </w:tc>
      </w:tr>
      <w:tr w:rsidR="0046338E">
        <w:trPr>
          <w:cantSplit/>
          <w:jc w:val="center"/>
        </w:trPr>
        <w:tc>
          <w:tcPr>
            <w:tcW w:w="3537" w:type="dxa"/>
            <w:gridSpan w:val="2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6528" w:type="dxa"/>
            <w:gridSpan w:val="3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003877</w:t>
            </w:r>
          </w:p>
        </w:tc>
      </w:tr>
      <w:tr w:rsidR="0046338E">
        <w:trPr>
          <w:cantSplit/>
          <w:jc w:val="center"/>
        </w:trPr>
        <w:tc>
          <w:tcPr>
            <w:tcW w:w="3537" w:type="dxa"/>
            <w:gridSpan w:val="2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6528" w:type="dxa"/>
            <w:gridSpan w:val="3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46338E">
        <w:trPr>
          <w:cantSplit/>
          <w:jc w:val="center"/>
        </w:trPr>
        <w:tc>
          <w:tcPr>
            <w:tcW w:w="3537" w:type="dxa"/>
            <w:gridSpan w:val="2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6528" w:type="dxa"/>
            <w:gridSpan w:val="3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《中华人民共和国证券投资基金法》及配套法规、《富国久利稳健配置混合型证券投资基金基金合同》、《富国久利稳健配置混合型证券投资基金招募说明书》及其更新等</w:t>
            </w:r>
          </w:p>
        </w:tc>
      </w:tr>
      <w:tr w:rsidR="0046338E">
        <w:trPr>
          <w:cantSplit/>
          <w:jc w:val="center"/>
        </w:trPr>
        <w:tc>
          <w:tcPr>
            <w:tcW w:w="1127" w:type="dxa"/>
            <w:vMerge w:val="restart"/>
            <w:vAlign w:val="center"/>
          </w:tcPr>
          <w:p w:rsidR="0046338E" w:rsidRDefault="00B72EF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暂停相关业务的起始日、金额及原因说明</w:t>
            </w:r>
          </w:p>
        </w:tc>
        <w:tc>
          <w:tcPr>
            <w:tcW w:w="2410" w:type="dxa"/>
          </w:tcPr>
          <w:p w:rsidR="0046338E" w:rsidRDefault="00B72EF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暂停大额申购起始日</w:t>
            </w:r>
          </w:p>
        </w:tc>
        <w:tc>
          <w:tcPr>
            <w:tcW w:w="6528" w:type="dxa"/>
            <w:gridSpan w:val="3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2026年01月09日</w:t>
            </w:r>
          </w:p>
        </w:tc>
      </w:tr>
      <w:tr w:rsidR="0046338E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46338E" w:rsidRDefault="0046338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46338E" w:rsidRDefault="00B72EF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暂停大额转换转入起始日</w:t>
            </w:r>
          </w:p>
        </w:tc>
        <w:tc>
          <w:tcPr>
            <w:tcW w:w="6528" w:type="dxa"/>
            <w:gridSpan w:val="3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2026年01月09日</w:t>
            </w:r>
          </w:p>
        </w:tc>
      </w:tr>
      <w:tr w:rsidR="0046338E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46338E" w:rsidRDefault="0046338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46338E" w:rsidRDefault="00B72EF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暂停大额定期定额投资起始日</w:t>
            </w:r>
          </w:p>
        </w:tc>
        <w:tc>
          <w:tcPr>
            <w:tcW w:w="6528" w:type="dxa"/>
            <w:gridSpan w:val="3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2026年01月09日</w:t>
            </w:r>
          </w:p>
        </w:tc>
      </w:tr>
      <w:tr w:rsidR="0046338E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46338E" w:rsidRDefault="0046338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暂停大额申购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转换转入、定期定额投资的原因说明</w:t>
            </w:r>
          </w:p>
        </w:tc>
        <w:tc>
          <w:tcPr>
            <w:tcW w:w="6528" w:type="dxa"/>
            <w:gridSpan w:val="3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为了保证基金的平稳运作，保护基金持有人的利益。</w:t>
            </w:r>
          </w:p>
        </w:tc>
      </w:tr>
      <w:tr w:rsidR="0046338E">
        <w:trPr>
          <w:cantSplit/>
          <w:jc w:val="center"/>
        </w:trPr>
        <w:tc>
          <w:tcPr>
            <w:tcW w:w="3537" w:type="dxa"/>
            <w:gridSpan w:val="2"/>
          </w:tcPr>
          <w:p w:rsidR="0046338E" w:rsidRDefault="00B72EF0">
            <w:pPr>
              <w:rPr>
                <w:rFonts w:ascii="宋体" w:hAnsi="宋体"/>
                <w:color w:val="000000"/>
                <w:sz w:val="24"/>
              </w:rPr>
            </w:pPr>
            <w:bookmarkStart w:id="2" w:name="_Toc275961406"/>
            <w:r>
              <w:rPr>
                <w:rFonts w:ascii="宋体" w:hAnsi="宋体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2176" w:type="dxa"/>
          </w:tcPr>
          <w:p w:rsidR="0046338E" w:rsidRDefault="00B72EF0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富国久利稳健配置混合型A</w:t>
            </w:r>
          </w:p>
        </w:tc>
        <w:tc>
          <w:tcPr>
            <w:tcW w:w="2176" w:type="dxa"/>
          </w:tcPr>
          <w:p w:rsidR="0046338E" w:rsidRDefault="00B72EF0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富国久利稳健配置混合型C</w:t>
            </w:r>
          </w:p>
        </w:tc>
        <w:tc>
          <w:tcPr>
            <w:tcW w:w="2176" w:type="dxa"/>
          </w:tcPr>
          <w:p w:rsidR="0046338E" w:rsidRDefault="00B72EF0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富国久利稳健配置混合型E</w:t>
            </w:r>
          </w:p>
        </w:tc>
      </w:tr>
      <w:tr w:rsidR="0046338E">
        <w:trPr>
          <w:cantSplit/>
          <w:jc w:val="center"/>
        </w:trPr>
        <w:tc>
          <w:tcPr>
            <w:tcW w:w="3537" w:type="dxa"/>
            <w:gridSpan w:val="2"/>
            <w:vAlign w:val="center"/>
          </w:tcPr>
          <w:p w:rsidR="0046338E" w:rsidRDefault="00B72EF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2176" w:type="dxa"/>
          </w:tcPr>
          <w:p w:rsidR="0046338E" w:rsidRDefault="00B72EF0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003877</w:t>
            </w:r>
          </w:p>
        </w:tc>
        <w:tc>
          <w:tcPr>
            <w:tcW w:w="2176" w:type="dxa"/>
          </w:tcPr>
          <w:p w:rsidR="0046338E" w:rsidRDefault="00B72EF0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003878</w:t>
            </w:r>
          </w:p>
        </w:tc>
        <w:tc>
          <w:tcPr>
            <w:tcW w:w="2176" w:type="dxa"/>
          </w:tcPr>
          <w:p w:rsidR="0046338E" w:rsidRDefault="00B72EF0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019370</w:t>
            </w:r>
          </w:p>
        </w:tc>
      </w:tr>
      <w:tr w:rsidR="0046338E">
        <w:trPr>
          <w:cantSplit/>
          <w:jc w:val="center"/>
        </w:trPr>
        <w:tc>
          <w:tcPr>
            <w:tcW w:w="3537" w:type="dxa"/>
            <w:gridSpan w:val="2"/>
            <w:vAlign w:val="center"/>
          </w:tcPr>
          <w:p w:rsidR="0046338E" w:rsidRDefault="00B72EF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该分级基金是否暂停大额申购、转换转入、定期定额投资</w:t>
            </w:r>
          </w:p>
        </w:tc>
        <w:tc>
          <w:tcPr>
            <w:tcW w:w="2176" w:type="dxa"/>
          </w:tcPr>
          <w:p w:rsidR="0046338E" w:rsidRDefault="00B72EF0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76" w:type="dxa"/>
          </w:tcPr>
          <w:p w:rsidR="0046338E" w:rsidRDefault="00B72EF0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76" w:type="dxa"/>
          </w:tcPr>
          <w:p w:rsidR="0046338E" w:rsidRDefault="00B72EF0">
            <w:pPr>
              <w:jc w:val="left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46338E">
        <w:trPr>
          <w:cantSplit/>
          <w:jc w:val="center"/>
        </w:trPr>
        <w:tc>
          <w:tcPr>
            <w:tcW w:w="3537" w:type="dxa"/>
            <w:gridSpan w:val="2"/>
          </w:tcPr>
          <w:p w:rsidR="0046338E" w:rsidRDefault="00B72EF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下属分级基金的限制申购金额（单位：元）</w:t>
            </w:r>
          </w:p>
        </w:tc>
        <w:tc>
          <w:tcPr>
            <w:tcW w:w="2176" w:type="dxa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</w:tcPr>
          <w:p w:rsidR="0046338E" w:rsidRDefault="00B72EF0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</w:tr>
      <w:tr w:rsidR="0046338E">
        <w:trPr>
          <w:cantSplit/>
          <w:jc w:val="center"/>
        </w:trPr>
        <w:tc>
          <w:tcPr>
            <w:tcW w:w="3537" w:type="dxa"/>
            <w:gridSpan w:val="2"/>
          </w:tcPr>
          <w:p w:rsidR="0046338E" w:rsidRDefault="00B72EF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下属分级基金的限制转换转入金额（单位：元）</w:t>
            </w:r>
          </w:p>
        </w:tc>
        <w:tc>
          <w:tcPr>
            <w:tcW w:w="2176" w:type="dxa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</w:tcPr>
          <w:p w:rsidR="0046338E" w:rsidRDefault="00B72EF0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</w:tr>
      <w:tr w:rsidR="0046338E">
        <w:trPr>
          <w:cantSplit/>
          <w:jc w:val="center"/>
        </w:trPr>
        <w:tc>
          <w:tcPr>
            <w:tcW w:w="3537" w:type="dxa"/>
            <w:gridSpan w:val="2"/>
          </w:tcPr>
          <w:p w:rsidR="0046338E" w:rsidRDefault="00B72EF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限制大额定期定额投资（单位：元）</w:t>
            </w:r>
          </w:p>
        </w:tc>
        <w:tc>
          <w:tcPr>
            <w:tcW w:w="2176" w:type="dxa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</w:tcPr>
          <w:p w:rsidR="0046338E" w:rsidRDefault="00B72EF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</w:tcPr>
          <w:p w:rsidR="0046338E" w:rsidRDefault="00B72EF0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</w:tr>
    </w:tbl>
    <w:p w:rsidR="0046338E" w:rsidRDefault="00B72EF0">
      <w:pPr>
        <w:pStyle w:val="a"/>
      </w:pPr>
      <w:r>
        <w:lastRenderedPageBreak/>
        <w:t>其他需要提示的事项</w:t>
      </w:r>
      <w:bookmarkEnd w:id="2"/>
    </w:p>
    <w:p w:rsidR="0046338E" w:rsidRDefault="00B72EF0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、本基金管理人已决定自</w:t>
      </w:r>
      <w:r>
        <w:rPr>
          <w:color w:val="000000"/>
          <w:sz w:val="24"/>
        </w:rPr>
        <w:t>2025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12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5</w:t>
      </w:r>
      <w:r>
        <w:rPr>
          <w:color w:val="000000"/>
          <w:sz w:val="24"/>
        </w:rPr>
        <w:t>日起暂停接受单个基金账户对本基金</w:t>
      </w:r>
      <w:r>
        <w:rPr>
          <w:color w:val="000000"/>
          <w:sz w:val="24"/>
        </w:rPr>
        <w:t>C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E</w:t>
      </w:r>
      <w:r>
        <w:rPr>
          <w:color w:val="000000"/>
          <w:sz w:val="24"/>
        </w:rPr>
        <w:t>类份额日累计金额超过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万元（不含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万元）的申购、转换转入及定期定额投资业务申请，如单个基金账户日累计申请金额超过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万元，则本基金管理人有权拒绝（详见</w:t>
      </w:r>
      <w:r>
        <w:rPr>
          <w:color w:val="000000"/>
          <w:sz w:val="24"/>
        </w:rPr>
        <w:t>2025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12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4</w:t>
      </w:r>
      <w:r>
        <w:rPr>
          <w:color w:val="000000"/>
          <w:sz w:val="24"/>
        </w:rPr>
        <w:t>日公告）。本基金管理人现决定自</w:t>
      </w:r>
      <w:r>
        <w:rPr>
          <w:color w:val="000000"/>
          <w:sz w:val="24"/>
        </w:rPr>
        <w:t>2026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1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9</w:t>
      </w:r>
      <w:r>
        <w:rPr>
          <w:color w:val="000000"/>
          <w:sz w:val="24"/>
        </w:rPr>
        <w:t>日起暂停接受单个基金账户对本基金单个基金份额日累计金额超过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万元（不含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万元）的申购、转换转入及定期定额投资业务申请，如单个基金账户</w:t>
      </w:r>
      <w:r>
        <w:rPr>
          <w:rFonts w:hint="eastAsia"/>
          <w:color w:val="000000"/>
          <w:sz w:val="24"/>
        </w:rPr>
        <w:t>对本基金</w:t>
      </w:r>
      <w:r>
        <w:rPr>
          <w:color w:val="000000"/>
          <w:sz w:val="24"/>
        </w:rPr>
        <w:t>单个基金份额日累计申请金额超过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万元，则本基金管理人有权拒绝。</w:t>
      </w:r>
    </w:p>
    <w:p w:rsidR="0046338E" w:rsidRDefault="00B72EF0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自</w:t>
      </w:r>
      <w:r>
        <w:rPr>
          <w:rFonts w:hint="eastAsia"/>
          <w:color w:val="000000"/>
          <w:sz w:val="24"/>
        </w:rPr>
        <w:t>2026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01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09</w:t>
      </w:r>
      <w:r>
        <w:rPr>
          <w:rFonts w:hint="eastAsia"/>
          <w:color w:val="000000"/>
          <w:sz w:val="24"/>
        </w:rPr>
        <w:t>日起，</w:t>
      </w:r>
      <w:r>
        <w:rPr>
          <w:color w:val="000000"/>
          <w:sz w:val="24"/>
        </w:rPr>
        <w:t>在暂停本基金大额申购、转换转入及定期定额投资业务期间，本基金单日单个基金账户单个基金份额累计金额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万元（含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万元）以下的申购、转换转入及定期定额投资业务以及赎回、转换转出等业务正常办理。</w:t>
      </w:r>
    </w:p>
    <w:p w:rsidR="0046338E" w:rsidRDefault="00B72EF0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color w:val="000000"/>
          <w:sz w:val="24"/>
        </w:rPr>
        <w:t>、关于恢复本基金大额申购、转换转入及定期定额投资业务的时间，基金管理人将另行公告。</w:t>
      </w:r>
    </w:p>
    <w:p w:rsidR="0046338E" w:rsidRDefault="00B72EF0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color w:val="000000"/>
          <w:sz w:val="24"/>
        </w:rPr>
        <w:t>、投资者可以登录富国基金管理有限公司网站</w:t>
      </w:r>
      <w:r>
        <w:rPr>
          <w:color w:val="000000"/>
          <w:sz w:val="24"/>
        </w:rPr>
        <w:t>www.fullgoal.com.cn</w:t>
      </w:r>
      <w:r>
        <w:rPr>
          <w:color w:val="000000"/>
          <w:sz w:val="24"/>
        </w:rPr>
        <w:t>或拨打富国基金管理有限公司客户服务热线</w:t>
      </w:r>
      <w:r>
        <w:rPr>
          <w:color w:val="000000"/>
          <w:sz w:val="24"/>
        </w:rPr>
        <w:t>95105686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4008880688</w:t>
      </w:r>
      <w:r>
        <w:rPr>
          <w:color w:val="000000"/>
          <w:sz w:val="24"/>
        </w:rPr>
        <w:t>（全国统一，均免长途费）进行相关咨询。</w:t>
      </w:r>
    </w:p>
    <w:p w:rsidR="0046338E" w:rsidRDefault="00B72EF0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5</w:t>
      </w:r>
      <w:r>
        <w:rPr>
          <w:color w:val="000000"/>
          <w:sz w:val="24"/>
        </w:rPr>
        <w:t>、风险提示：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。</w:t>
      </w:r>
    </w:p>
    <w:p w:rsidR="0046338E" w:rsidRDefault="00B72EF0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特此公告。</w:t>
      </w:r>
    </w:p>
    <w:p w:rsidR="0046338E" w:rsidRDefault="00B72EF0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46338E" w:rsidRDefault="00B72EF0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2026年01月09日</w:t>
      </w:r>
    </w:p>
    <w:sectPr w:rsidR="0046338E" w:rsidSect="00714687">
      <w:pgSz w:w="11906" w:h="16838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EF0" w:rsidRDefault="00B72EF0" w:rsidP="00CF15F9">
      <w:r>
        <w:separator/>
      </w:r>
    </w:p>
  </w:endnote>
  <w:endnote w:type="continuationSeparator" w:id="0">
    <w:p w:rsidR="00B72EF0" w:rsidRDefault="00B72EF0" w:rsidP="00CF1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EF0" w:rsidRDefault="00B72EF0" w:rsidP="00CF15F9">
      <w:r>
        <w:separator/>
      </w:r>
    </w:p>
  </w:footnote>
  <w:footnote w:type="continuationSeparator" w:id="0">
    <w:p w:rsidR="00B72EF0" w:rsidRDefault="00B72EF0" w:rsidP="00CF15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55180"/>
    <w:multiLevelType w:val="multilevel"/>
    <w:tmpl w:val="63755180"/>
    <w:lvl w:ilvl="0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426EE"/>
    <w:multiLevelType w:val="multilevel"/>
    <w:tmpl w:val="7B4426EE"/>
    <w:lvl w:ilvl="0">
      <w:start w:val="1"/>
      <w:numFmt w:val="decimal"/>
      <w:pStyle w:val="a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F42"/>
    <w:rsid w:val="00032D94"/>
    <w:rsid w:val="00055E93"/>
    <w:rsid w:val="00057684"/>
    <w:rsid w:val="000634F0"/>
    <w:rsid w:val="000672A2"/>
    <w:rsid w:val="00084AE5"/>
    <w:rsid w:val="000923D0"/>
    <w:rsid w:val="000977A6"/>
    <w:rsid w:val="000B52D5"/>
    <w:rsid w:val="000B5FFC"/>
    <w:rsid w:val="000D34BA"/>
    <w:rsid w:val="00103B85"/>
    <w:rsid w:val="00125246"/>
    <w:rsid w:val="00126599"/>
    <w:rsid w:val="001434F1"/>
    <w:rsid w:val="00160463"/>
    <w:rsid w:val="0017409F"/>
    <w:rsid w:val="00174FE8"/>
    <w:rsid w:val="001816B0"/>
    <w:rsid w:val="001A23F3"/>
    <w:rsid w:val="001C6EF6"/>
    <w:rsid w:val="001E3807"/>
    <w:rsid w:val="00202AF4"/>
    <w:rsid w:val="002246FB"/>
    <w:rsid w:val="002312BB"/>
    <w:rsid w:val="0024016F"/>
    <w:rsid w:val="00242AF0"/>
    <w:rsid w:val="002553C3"/>
    <w:rsid w:val="0025618E"/>
    <w:rsid w:val="00281317"/>
    <w:rsid w:val="00281AE2"/>
    <w:rsid w:val="00282DEB"/>
    <w:rsid w:val="00293001"/>
    <w:rsid w:val="002D4A9A"/>
    <w:rsid w:val="003006F6"/>
    <w:rsid w:val="003250BC"/>
    <w:rsid w:val="0033773A"/>
    <w:rsid w:val="00340BC0"/>
    <w:rsid w:val="00363752"/>
    <w:rsid w:val="00365403"/>
    <w:rsid w:val="003673E9"/>
    <w:rsid w:val="00370B6E"/>
    <w:rsid w:val="00387F42"/>
    <w:rsid w:val="00391684"/>
    <w:rsid w:val="003B74CD"/>
    <w:rsid w:val="003C2515"/>
    <w:rsid w:val="003C41E4"/>
    <w:rsid w:val="003F07FE"/>
    <w:rsid w:val="003F12E1"/>
    <w:rsid w:val="00416857"/>
    <w:rsid w:val="00424BC6"/>
    <w:rsid w:val="0046338E"/>
    <w:rsid w:val="0046512C"/>
    <w:rsid w:val="00482A8B"/>
    <w:rsid w:val="00492A32"/>
    <w:rsid w:val="004A694F"/>
    <w:rsid w:val="004B10FE"/>
    <w:rsid w:val="004D08A0"/>
    <w:rsid w:val="004F696C"/>
    <w:rsid w:val="00507A11"/>
    <w:rsid w:val="00513F60"/>
    <w:rsid w:val="0051530D"/>
    <w:rsid w:val="00537D6D"/>
    <w:rsid w:val="00544911"/>
    <w:rsid w:val="00583FB4"/>
    <w:rsid w:val="005A00CB"/>
    <w:rsid w:val="005A16E0"/>
    <w:rsid w:val="005A6FFF"/>
    <w:rsid w:val="005E24C4"/>
    <w:rsid w:val="0061070B"/>
    <w:rsid w:val="0061664E"/>
    <w:rsid w:val="006276AF"/>
    <w:rsid w:val="00627E9A"/>
    <w:rsid w:val="00641DD8"/>
    <w:rsid w:val="006462FC"/>
    <w:rsid w:val="00662818"/>
    <w:rsid w:val="00676DFD"/>
    <w:rsid w:val="00684475"/>
    <w:rsid w:val="00684853"/>
    <w:rsid w:val="006D3B75"/>
    <w:rsid w:val="00714687"/>
    <w:rsid w:val="00716B5E"/>
    <w:rsid w:val="00752807"/>
    <w:rsid w:val="00763987"/>
    <w:rsid w:val="007640F1"/>
    <w:rsid w:val="007661A5"/>
    <w:rsid w:val="007929AB"/>
    <w:rsid w:val="00796044"/>
    <w:rsid w:val="007A3AF2"/>
    <w:rsid w:val="007A4B62"/>
    <w:rsid w:val="007E2B84"/>
    <w:rsid w:val="007F453D"/>
    <w:rsid w:val="008162FD"/>
    <w:rsid w:val="0083283D"/>
    <w:rsid w:val="008356C2"/>
    <w:rsid w:val="00836563"/>
    <w:rsid w:val="00847A71"/>
    <w:rsid w:val="00872ACE"/>
    <w:rsid w:val="00877069"/>
    <w:rsid w:val="0089500E"/>
    <w:rsid w:val="009269A3"/>
    <w:rsid w:val="00932CA8"/>
    <w:rsid w:val="009413D9"/>
    <w:rsid w:val="009572BF"/>
    <w:rsid w:val="00961000"/>
    <w:rsid w:val="009862C8"/>
    <w:rsid w:val="009864A7"/>
    <w:rsid w:val="009968AC"/>
    <w:rsid w:val="009A7A98"/>
    <w:rsid w:val="009D4F57"/>
    <w:rsid w:val="009F21A3"/>
    <w:rsid w:val="00A1179E"/>
    <w:rsid w:val="00A41E37"/>
    <w:rsid w:val="00A64FD3"/>
    <w:rsid w:val="00A90890"/>
    <w:rsid w:val="00A90AC9"/>
    <w:rsid w:val="00AA5BD2"/>
    <w:rsid w:val="00AB05DB"/>
    <w:rsid w:val="00AC6211"/>
    <w:rsid w:val="00AF02DA"/>
    <w:rsid w:val="00B020E2"/>
    <w:rsid w:val="00B039C5"/>
    <w:rsid w:val="00B23342"/>
    <w:rsid w:val="00B252A6"/>
    <w:rsid w:val="00B27512"/>
    <w:rsid w:val="00B37EDF"/>
    <w:rsid w:val="00B43EEF"/>
    <w:rsid w:val="00B5552F"/>
    <w:rsid w:val="00B72EF0"/>
    <w:rsid w:val="00B828F9"/>
    <w:rsid w:val="00B90117"/>
    <w:rsid w:val="00B95FDF"/>
    <w:rsid w:val="00BB0834"/>
    <w:rsid w:val="00BC09E0"/>
    <w:rsid w:val="00BC2B20"/>
    <w:rsid w:val="00BD2CCA"/>
    <w:rsid w:val="00C0304E"/>
    <w:rsid w:val="00C14369"/>
    <w:rsid w:val="00C15863"/>
    <w:rsid w:val="00C32EF7"/>
    <w:rsid w:val="00C43225"/>
    <w:rsid w:val="00C7384A"/>
    <w:rsid w:val="00C740F4"/>
    <w:rsid w:val="00C82B41"/>
    <w:rsid w:val="00CA5A48"/>
    <w:rsid w:val="00CC199B"/>
    <w:rsid w:val="00CF15F9"/>
    <w:rsid w:val="00CF309F"/>
    <w:rsid w:val="00D3544B"/>
    <w:rsid w:val="00D7653E"/>
    <w:rsid w:val="00D76BCA"/>
    <w:rsid w:val="00D91D63"/>
    <w:rsid w:val="00D9785E"/>
    <w:rsid w:val="00DC1C3B"/>
    <w:rsid w:val="00DD68C9"/>
    <w:rsid w:val="00E13E89"/>
    <w:rsid w:val="00E13FF3"/>
    <w:rsid w:val="00E434C9"/>
    <w:rsid w:val="00E458D5"/>
    <w:rsid w:val="00E6133E"/>
    <w:rsid w:val="00E63817"/>
    <w:rsid w:val="00E663C8"/>
    <w:rsid w:val="00E93DB2"/>
    <w:rsid w:val="00E95CB5"/>
    <w:rsid w:val="00EC0FEA"/>
    <w:rsid w:val="00EC6901"/>
    <w:rsid w:val="00ED2EA3"/>
    <w:rsid w:val="00EF64FA"/>
    <w:rsid w:val="00F03CB3"/>
    <w:rsid w:val="00F076FE"/>
    <w:rsid w:val="00F46B02"/>
    <w:rsid w:val="00F70607"/>
    <w:rsid w:val="00F92AE4"/>
    <w:rsid w:val="00F93F60"/>
    <w:rsid w:val="00F961C1"/>
    <w:rsid w:val="00FB797F"/>
    <w:rsid w:val="00FD2AE2"/>
    <w:rsid w:val="12E2174A"/>
    <w:rsid w:val="1F5224DE"/>
    <w:rsid w:val="7320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1468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uiPriority w:val="9"/>
    <w:qFormat/>
    <w:rsid w:val="00714687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qFormat/>
    <w:rsid w:val="00714687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qFormat/>
    <w:rsid w:val="00714687"/>
    <w:pPr>
      <w:shd w:val="clear" w:color="auto" w:fill="000080"/>
    </w:pPr>
  </w:style>
  <w:style w:type="paragraph" w:styleId="3">
    <w:name w:val="toc 3"/>
    <w:next w:val="a0"/>
    <w:autoRedefine/>
    <w:uiPriority w:val="39"/>
    <w:unhideWhenUsed/>
    <w:qFormat/>
    <w:rsid w:val="00714687"/>
    <w:pPr>
      <w:spacing w:after="100"/>
      <w:ind w:left="440"/>
    </w:pPr>
  </w:style>
  <w:style w:type="paragraph" w:styleId="a5">
    <w:name w:val="Balloon Text"/>
    <w:link w:val="Char"/>
    <w:uiPriority w:val="99"/>
    <w:semiHidden/>
    <w:unhideWhenUsed/>
    <w:qFormat/>
    <w:rsid w:val="00714687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Char0"/>
    <w:qFormat/>
    <w:rsid w:val="00714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1"/>
    <w:qFormat/>
    <w:rsid w:val="00714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0"/>
    <w:autoRedefine/>
    <w:uiPriority w:val="39"/>
    <w:unhideWhenUsed/>
    <w:qFormat/>
    <w:rsid w:val="00714687"/>
    <w:pPr>
      <w:spacing w:after="100"/>
    </w:pPr>
  </w:style>
  <w:style w:type="paragraph" w:styleId="4">
    <w:name w:val="toc 4"/>
    <w:next w:val="a0"/>
    <w:autoRedefine/>
    <w:uiPriority w:val="39"/>
    <w:unhideWhenUsed/>
    <w:qFormat/>
    <w:rsid w:val="00714687"/>
    <w:pPr>
      <w:spacing w:after="100"/>
      <w:ind w:left="660"/>
    </w:pPr>
  </w:style>
  <w:style w:type="paragraph" w:styleId="a8">
    <w:name w:val="footnote text"/>
    <w:basedOn w:val="a0"/>
    <w:qFormat/>
    <w:rsid w:val="00714687"/>
    <w:pPr>
      <w:snapToGrid w:val="0"/>
      <w:jc w:val="left"/>
    </w:pPr>
    <w:rPr>
      <w:sz w:val="18"/>
      <w:szCs w:val="20"/>
    </w:rPr>
  </w:style>
  <w:style w:type="paragraph" w:styleId="20">
    <w:name w:val="toc 2"/>
    <w:next w:val="a0"/>
    <w:autoRedefine/>
    <w:uiPriority w:val="39"/>
    <w:unhideWhenUsed/>
    <w:qFormat/>
    <w:rsid w:val="00714687"/>
    <w:pPr>
      <w:spacing w:after="100"/>
      <w:ind w:left="220"/>
    </w:pPr>
  </w:style>
  <w:style w:type="paragraph" w:styleId="a">
    <w:name w:val="Title"/>
    <w:basedOn w:val="1"/>
    <w:next w:val="a0"/>
    <w:link w:val="Char2"/>
    <w:qFormat/>
    <w:rsid w:val="00714687"/>
    <w:pPr>
      <w:numPr>
        <w:numId w:val="2"/>
      </w:numPr>
      <w:spacing w:before="120" w:after="120"/>
    </w:pPr>
    <w:rPr>
      <w:rFonts w:ascii="Calibri" w:hAnsi="Calibri"/>
      <w:sz w:val="28"/>
      <w:lang w:val="zh-CN"/>
    </w:rPr>
  </w:style>
  <w:style w:type="character" w:styleId="a9">
    <w:name w:val="Hyperlink"/>
    <w:uiPriority w:val="99"/>
    <w:unhideWhenUsed/>
    <w:qFormat/>
    <w:rsid w:val="00714687"/>
    <w:rPr>
      <w:color w:val="0563C1" w:themeColor="hyperlink"/>
      <w:u w:val="single"/>
    </w:rPr>
  </w:style>
  <w:style w:type="character" w:styleId="aa">
    <w:name w:val="footnote reference"/>
    <w:qFormat/>
    <w:rsid w:val="00714687"/>
    <w:rPr>
      <w:vertAlign w:val="superscript"/>
    </w:rPr>
  </w:style>
  <w:style w:type="paragraph" w:customStyle="1" w:styleId="Char3">
    <w:name w:val="Char"/>
    <w:basedOn w:val="a0"/>
    <w:qFormat/>
    <w:rsid w:val="00714687"/>
  </w:style>
  <w:style w:type="character" w:customStyle="1" w:styleId="Char1">
    <w:name w:val="页眉 Char"/>
    <w:link w:val="a7"/>
    <w:qFormat/>
    <w:rsid w:val="00714687"/>
    <w:rPr>
      <w:kern w:val="2"/>
      <w:sz w:val="18"/>
      <w:szCs w:val="18"/>
    </w:rPr>
  </w:style>
  <w:style w:type="character" w:customStyle="1" w:styleId="Char0">
    <w:name w:val="页脚 Char"/>
    <w:link w:val="a6"/>
    <w:qFormat/>
    <w:rsid w:val="00714687"/>
    <w:rPr>
      <w:kern w:val="2"/>
      <w:sz w:val="18"/>
      <w:szCs w:val="18"/>
    </w:rPr>
  </w:style>
  <w:style w:type="character" w:customStyle="1" w:styleId="Char2">
    <w:name w:val="标题 Char"/>
    <w:link w:val="a"/>
    <w:qFormat/>
    <w:rsid w:val="00714687"/>
    <w:rPr>
      <w:rFonts w:ascii="Calibri" w:hAnsi="Calibri"/>
      <w:b/>
      <w:bCs/>
      <w:kern w:val="44"/>
      <w:sz w:val="28"/>
      <w:szCs w:val="44"/>
      <w:lang w:val="zh-CN" w:eastAsia="zh-CN"/>
    </w:rPr>
  </w:style>
  <w:style w:type="character" w:styleId="ab">
    <w:name w:val="Placeholder Text"/>
    <w:basedOn w:val="a1"/>
    <w:uiPriority w:val="99"/>
    <w:semiHidden/>
    <w:qFormat/>
    <w:rsid w:val="00714687"/>
    <w:rPr>
      <w:color w:val="808080"/>
    </w:rPr>
  </w:style>
  <w:style w:type="paragraph" w:customStyle="1" w:styleId="TOC1">
    <w:name w:val="TOC 标题1"/>
    <w:uiPriority w:val="39"/>
    <w:semiHidden/>
    <w:unhideWhenUsed/>
    <w:qFormat/>
    <w:rsid w:val="00714687"/>
    <w:rPr>
      <w:lang w:eastAsia="ja-JP"/>
    </w:rPr>
  </w:style>
  <w:style w:type="character" w:customStyle="1" w:styleId="Char">
    <w:name w:val="批注框文本 Char"/>
    <w:link w:val="a5"/>
    <w:uiPriority w:val="99"/>
    <w:semiHidden/>
    <w:qFormat/>
    <w:rsid w:val="00714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6242;&#20572;&#22823;&#39069;&#30003;&#36141;&#31561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共同基金_临时公告(基金暂停大额申购等业务公告)_LS0000_公募临时公告.dotx</Template>
  <TotalTime>0</TotalTime>
  <Pages>2</Pages>
  <Words>201</Words>
  <Characters>1149</Characters>
  <Application>Microsoft Office Word</Application>
  <DocSecurity>4</DocSecurity>
  <Lines>9</Lines>
  <Paragraphs>2</Paragraphs>
  <ScaleCrop>false</ScaleCrop>
  <Company>fullgoal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creator>bianliya</dc:creator>
  <cp:lastModifiedBy>ZHONGM</cp:lastModifiedBy>
  <cp:revision>2</cp:revision>
  <dcterms:created xsi:type="dcterms:W3CDTF">2026-01-08T16:01:00Z</dcterms:created>
  <dcterms:modified xsi:type="dcterms:W3CDTF">2026-01-08T16:01:00Z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DBC5C8274F2A4E279F8CF8A0B1138D61_13</vt:lpwstr>
  </property>
</Properties>
</file>