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71599">
      <w:pPr>
        <w:widowControl/>
        <w:jc w:val="center"/>
        <w:rPr>
          <w:rFonts w:ascii="黑体" w:eastAsia="黑体" w:hAnsi="黑体" w:cs="黑体" w:hint="eastAsia"/>
          <w:b/>
          <w:bCs/>
          <w:kern w:val="0"/>
          <w:szCs w:val="32"/>
        </w:rPr>
      </w:pPr>
      <w:r>
        <w:rPr>
          <w:rFonts w:ascii="黑体" w:eastAsia="黑体" w:hAnsi="黑体" w:cs="黑体" w:hint="eastAsia"/>
          <w:b/>
          <w:bCs/>
          <w:kern w:val="0"/>
          <w:szCs w:val="32"/>
        </w:rPr>
        <w:t>东吴嘉禾优势精选混合型开放式证券投资基金</w:t>
      </w:r>
      <w:r>
        <w:rPr>
          <w:rFonts w:ascii="黑体" w:eastAsia="黑体" w:hAnsi="黑体" w:cs="黑体" w:hint="eastAsia"/>
          <w:b/>
          <w:bCs/>
          <w:kern w:val="0"/>
          <w:szCs w:val="32"/>
        </w:rPr>
        <w:t>分红公告</w:t>
      </w:r>
    </w:p>
    <w:p w:rsidR="00000000" w:rsidRDefault="00971599">
      <w:pPr>
        <w:spacing w:line="560" w:lineRule="exact"/>
        <w:jc w:val="center"/>
        <w:rPr>
          <w:rFonts w:eastAsia="宋体" w:cs="宋体" w:hint="eastAsia"/>
          <w:sz w:val="24"/>
          <w:szCs w:val="24"/>
        </w:rPr>
      </w:pPr>
      <w:r>
        <w:rPr>
          <w:rFonts w:eastAsia="宋体" w:cs="宋体" w:hint="eastAsia"/>
          <w:sz w:val="24"/>
          <w:szCs w:val="24"/>
        </w:rPr>
        <w:t>公告送出日期：</w:t>
      </w:r>
      <w:r>
        <w:rPr>
          <w:rFonts w:eastAsia="宋体" w:cs="宋体" w:hint="eastAsia"/>
          <w:sz w:val="24"/>
          <w:szCs w:val="24"/>
        </w:rPr>
        <w:t>2026</w:t>
      </w:r>
      <w:r>
        <w:rPr>
          <w:rFonts w:eastAsia="宋体" w:cs="宋体" w:hint="eastAsia"/>
          <w:sz w:val="24"/>
          <w:szCs w:val="24"/>
        </w:rPr>
        <w:t>年</w:t>
      </w:r>
      <w:r>
        <w:rPr>
          <w:rFonts w:eastAsia="宋体" w:cs="宋体" w:hint="eastAsia"/>
          <w:sz w:val="24"/>
          <w:szCs w:val="24"/>
        </w:rPr>
        <w:t>1</w:t>
      </w:r>
      <w:r>
        <w:rPr>
          <w:rFonts w:eastAsia="宋体" w:cs="宋体" w:hint="eastAsia"/>
          <w:sz w:val="24"/>
          <w:szCs w:val="24"/>
        </w:rPr>
        <w:t>月</w:t>
      </w:r>
      <w:r>
        <w:rPr>
          <w:rFonts w:eastAsia="宋体" w:cs="宋体" w:hint="eastAsia"/>
          <w:sz w:val="24"/>
          <w:szCs w:val="24"/>
        </w:rPr>
        <w:t>9</w:t>
      </w:r>
      <w:r>
        <w:rPr>
          <w:rFonts w:eastAsia="宋体" w:cs="宋体" w:hint="eastAsia"/>
          <w:sz w:val="24"/>
          <w:szCs w:val="24"/>
        </w:rPr>
        <w:t>日</w:t>
      </w:r>
    </w:p>
    <w:p w:rsidR="00000000" w:rsidRDefault="00971599">
      <w:pPr>
        <w:pStyle w:val="2"/>
        <w:spacing w:line="560" w:lineRule="exact"/>
        <w:rPr>
          <w:rFonts w:ascii="Times New Roman" w:eastAsia="宋体" w:hAnsi="Times New Roman" w:cs="宋体" w:hint="eastAsia"/>
          <w:bCs w:val="0"/>
          <w:sz w:val="24"/>
          <w:szCs w:val="24"/>
        </w:rPr>
      </w:pPr>
      <w:bookmarkStart w:id="0" w:name="_Toc275961418"/>
      <w:r>
        <w:rPr>
          <w:rFonts w:ascii="Times New Roman" w:eastAsia="宋体" w:hAnsi="Times New Roman" w:cs="宋体" w:hint="eastAsia"/>
          <w:bCs w:val="0"/>
          <w:sz w:val="24"/>
          <w:szCs w:val="24"/>
        </w:rPr>
        <w:t xml:space="preserve">1 </w:t>
      </w:r>
      <w:r>
        <w:rPr>
          <w:rFonts w:ascii="Times New Roman" w:eastAsia="宋体" w:hAnsi="Times New Roman" w:cs="宋体" w:hint="eastAsia"/>
          <w:bCs w:val="0"/>
          <w:sz w:val="24"/>
          <w:szCs w:val="24"/>
        </w:rPr>
        <w:t>公告基本信息</w:t>
      </w:r>
      <w:bookmarkEnd w:id="0"/>
    </w:p>
    <w:tbl>
      <w:tblPr>
        <w:tblW w:w="84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8"/>
        <w:gridCol w:w="2573"/>
        <w:gridCol w:w="2224"/>
        <w:gridCol w:w="2232"/>
      </w:tblGrid>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基金名称</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东吴嘉禾优势精选混合型开放式证券投资基金</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基金简称</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东吴嘉禾优势精选混合</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基金主代码</w:t>
            </w:r>
          </w:p>
        </w:tc>
        <w:tc>
          <w:tcPr>
            <w:tcW w:w="4456" w:type="dxa"/>
            <w:gridSpan w:val="2"/>
            <w:vAlign w:val="center"/>
          </w:tcPr>
          <w:p w:rsidR="00000000" w:rsidRDefault="00971599">
            <w:pPr>
              <w:jc w:val="left"/>
              <w:rPr>
                <w:rFonts w:eastAsia="宋体" w:cs="宋体"/>
                <w:sz w:val="21"/>
                <w:szCs w:val="21"/>
              </w:rPr>
            </w:pPr>
            <w:r>
              <w:rPr>
                <w:rFonts w:eastAsia="宋体" w:cs="宋体" w:hint="eastAsia"/>
                <w:sz w:val="21"/>
                <w:szCs w:val="21"/>
              </w:rPr>
              <w:t>580001</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基金合同生效日</w:t>
            </w:r>
          </w:p>
        </w:tc>
        <w:tc>
          <w:tcPr>
            <w:tcW w:w="4456" w:type="dxa"/>
            <w:gridSpan w:val="2"/>
            <w:vAlign w:val="center"/>
          </w:tcPr>
          <w:p w:rsidR="00000000" w:rsidRDefault="00971599">
            <w:pPr>
              <w:jc w:val="left"/>
              <w:rPr>
                <w:rFonts w:eastAsia="宋体" w:cs="宋体"/>
                <w:sz w:val="21"/>
                <w:szCs w:val="21"/>
              </w:rPr>
            </w:pPr>
            <w:r>
              <w:rPr>
                <w:rFonts w:eastAsia="宋体" w:cs="宋体" w:hint="eastAsia"/>
                <w:sz w:val="21"/>
                <w:szCs w:val="21"/>
              </w:rPr>
              <w:t>20</w:t>
            </w:r>
            <w:r>
              <w:rPr>
                <w:rFonts w:eastAsia="宋体" w:cs="宋体" w:hint="eastAsia"/>
                <w:sz w:val="21"/>
                <w:szCs w:val="21"/>
              </w:rPr>
              <w:t>05</w:t>
            </w:r>
            <w:r>
              <w:rPr>
                <w:rFonts w:eastAsia="宋体" w:cs="宋体" w:hint="eastAsia"/>
                <w:sz w:val="21"/>
                <w:szCs w:val="21"/>
              </w:rPr>
              <w:t>年</w:t>
            </w:r>
            <w:r>
              <w:rPr>
                <w:rFonts w:eastAsia="宋体" w:cs="宋体" w:hint="eastAsia"/>
                <w:sz w:val="21"/>
                <w:szCs w:val="21"/>
              </w:rPr>
              <w:t>2</w:t>
            </w:r>
            <w:r>
              <w:rPr>
                <w:rFonts w:eastAsia="宋体" w:cs="宋体" w:hint="eastAsia"/>
                <w:sz w:val="21"/>
                <w:szCs w:val="21"/>
              </w:rPr>
              <w:t>月</w:t>
            </w:r>
            <w:r>
              <w:rPr>
                <w:rFonts w:eastAsia="宋体" w:cs="宋体" w:hint="eastAsia"/>
                <w:sz w:val="21"/>
                <w:szCs w:val="21"/>
              </w:rPr>
              <w:t>1</w:t>
            </w:r>
            <w:r>
              <w:rPr>
                <w:rFonts w:eastAsia="宋体" w:cs="宋体" w:hint="eastAsia"/>
                <w:sz w:val="21"/>
                <w:szCs w:val="21"/>
              </w:rPr>
              <w:t>日</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基金管理人名称</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东吴基金管理有限公司</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基金托管人名称</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中国工商银行股份有限公司</w:t>
            </w:r>
          </w:p>
        </w:tc>
      </w:tr>
      <w:tr w:rsidR="00000000">
        <w:trPr>
          <w:jc w:val="center"/>
        </w:trPr>
        <w:tc>
          <w:tcPr>
            <w:tcW w:w="4041" w:type="dxa"/>
            <w:gridSpan w:val="2"/>
          </w:tcPr>
          <w:p w:rsidR="00000000" w:rsidRDefault="00971599">
            <w:pPr>
              <w:spacing w:line="560" w:lineRule="exact"/>
              <w:jc w:val="left"/>
              <w:rPr>
                <w:rFonts w:eastAsia="宋体" w:cs="宋体" w:hint="eastAsia"/>
                <w:sz w:val="21"/>
                <w:szCs w:val="21"/>
              </w:rPr>
            </w:pPr>
            <w:r>
              <w:rPr>
                <w:rFonts w:eastAsia="宋体" w:cs="宋体" w:hint="eastAsia"/>
                <w:sz w:val="21"/>
                <w:szCs w:val="21"/>
              </w:rPr>
              <w:t>公告依据</w:t>
            </w:r>
          </w:p>
        </w:tc>
        <w:tc>
          <w:tcPr>
            <w:tcW w:w="4456" w:type="dxa"/>
            <w:gridSpan w:val="2"/>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根据《中华人民共和国证券投资基金法》《公开募集证券投资基金运作管理办法》</w:t>
            </w:r>
            <w:r>
              <w:rPr>
                <w:rFonts w:eastAsia="宋体" w:cs="宋体" w:hint="eastAsia"/>
                <w:sz w:val="21"/>
                <w:szCs w:val="21"/>
              </w:rPr>
              <w:t>等相关法律法规以及</w:t>
            </w:r>
            <w:r>
              <w:rPr>
                <w:rFonts w:eastAsia="宋体" w:cs="宋体" w:hint="eastAsia"/>
                <w:sz w:val="21"/>
                <w:szCs w:val="21"/>
              </w:rPr>
              <w:t>《</w:t>
            </w:r>
            <w:r>
              <w:rPr>
                <w:rFonts w:eastAsia="宋体" w:cs="宋体" w:hint="eastAsia"/>
                <w:sz w:val="21"/>
                <w:szCs w:val="21"/>
              </w:rPr>
              <w:t>东吴嘉禾优势精选混合型开放式证券投资基金</w:t>
            </w:r>
            <w:r>
              <w:rPr>
                <w:rFonts w:eastAsia="宋体" w:cs="宋体" w:hint="eastAsia"/>
                <w:sz w:val="21"/>
                <w:szCs w:val="21"/>
              </w:rPr>
              <w:t>基金合同》《</w:t>
            </w:r>
            <w:r>
              <w:rPr>
                <w:rFonts w:eastAsia="宋体" w:cs="宋体" w:hint="eastAsia"/>
                <w:sz w:val="21"/>
                <w:szCs w:val="21"/>
              </w:rPr>
              <w:t>东吴嘉禾优势精选混</w:t>
            </w:r>
            <w:r>
              <w:rPr>
                <w:rFonts w:eastAsia="宋体" w:cs="宋体" w:hint="eastAsia"/>
                <w:sz w:val="21"/>
                <w:szCs w:val="21"/>
              </w:rPr>
              <w:t>合型开放式证券投资基金</w:t>
            </w:r>
            <w:r>
              <w:rPr>
                <w:rFonts w:eastAsia="宋体" w:cs="宋体" w:hint="eastAsia"/>
                <w:sz w:val="21"/>
                <w:szCs w:val="21"/>
              </w:rPr>
              <w:t>招募说明书》及其更新的有关约定</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收益分配基准日</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20</w:t>
            </w:r>
            <w:r>
              <w:rPr>
                <w:rFonts w:eastAsia="宋体" w:cs="宋体" w:hint="eastAsia"/>
                <w:sz w:val="21"/>
                <w:szCs w:val="21"/>
              </w:rPr>
              <w:t>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31</w:t>
            </w:r>
            <w:r>
              <w:rPr>
                <w:rFonts w:eastAsia="宋体" w:cs="宋体" w:hint="eastAsia"/>
                <w:sz w:val="21"/>
                <w:szCs w:val="21"/>
              </w:rPr>
              <w:t>日</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下属基金的基金简称</w:t>
            </w:r>
          </w:p>
        </w:tc>
        <w:tc>
          <w:tcPr>
            <w:tcW w:w="2224" w:type="dxa"/>
            <w:vAlign w:val="center"/>
          </w:tcPr>
          <w:p w:rsidR="00000000" w:rsidRDefault="00971599">
            <w:pPr>
              <w:jc w:val="left"/>
              <w:rPr>
                <w:rFonts w:eastAsia="宋体" w:cs="宋体" w:hint="eastAsia"/>
                <w:sz w:val="21"/>
                <w:szCs w:val="21"/>
              </w:rPr>
            </w:pPr>
            <w:r>
              <w:rPr>
                <w:rFonts w:eastAsia="宋体" w:cs="宋体"/>
                <w:sz w:val="21"/>
                <w:szCs w:val="21"/>
              </w:rPr>
              <w:t>东吴嘉禾优势精选混合</w:t>
            </w:r>
            <w:r>
              <w:rPr>
                <w:rFonts w:eastAsia="宋体" w:cs="宋体"/>
                <w:sz w:val="21"/>
                <w:szCs w:val="21"/>
              </w:rPr>
              <w:t>A</w:t>
            </w:r>
          </w:p>
        </w:tc>
        <w:tc>
          <w:tcPr>
            <w:tcW w:w="2232" w:type="dxa"/>
            <w:vAlign w:val="center"/>
          </w:tcPr>
          <w:p w:rsidR="00000000" w:rsidRDefault="00971599">
            <w:pPr>
              <w:jc w:val="left"/>
              <w:rPr>
                <w:rFonts w:eastAsia="宋体" w:cs="宋体"/>
                <w:sz w:val="21"/>
                <w:szCs w:val="21"/>
              </w:rPr>
            </w:pPr>
            <w:r>
              <w:rPr>
                <w:rFonts w:eastAsia="宋体" w:cs="宋体"/>
                <w:sz w:val="21"/>
                <w:szCs w:val="21"/>
              </w:rPr>
              <w:t>东吴嘉禾优势精选混合</w:t>
            </w:r>
            <w:r>
              <w:rPr>
                <w:rFonts w:eastAsia="宋体" w:cs="宋体" w:hint="eastAsia"/>
                <w:sz w:val="21"/>
                <w:szCs w:val="21"/>
              </w:rPr>
              <w:t>C</w:t>
            </w:r>
          </w:p>
        </w:tc>
      </w:tr>
      <w:tr w:rsidR="00000000">
        <w:trPr>
          <w:jc w:val="center"/>
        </w:trPr>
        <w:tc>
          <w:tcPr>
            <w:tcW w:w="4041" w:type="dxa"/>
            <w:gridSpan w:val="2"/>
          </w:tcPr>
          <w:p w:rsidR="00000000" w:rsidRDefault="00971599">
            <w:pPr>
              <w:spacing w:line="360" w:lineRule="auto"/>
              <w:jc w:val="left"/>
              <w:rPr>
                <w:rFonts w:eastAsia="宋体" w:cs="宋体" w:hint="eastAsia"/>
                <w:sz w:val="21"/>
                <w:szCs w:val="21"/>
              </w:rPr>
            </w:pPr>
            <w:r>
              <w:rPr>
                <w:rFonts w:eastAsia="宋体" w:cs="宋体" w:hint="eastAsia"/>
                <w:sz w:val="21"/>
                <w:szCs w:val="21"/>
              </w:rPr>
              <w:t>下属基金的基金代码</w:t>
            </w:r>
          </w:p>
        </w:tc>
        <w:tc>
          <w:tcPr>
            <w:tcW w:w="2224" w:type="dxa"/>
            <w:vAlign w:val="center"/>
          </w:tcPr>
          <w:p w:rsidR="00000000" w:rsidRDefault="00971599">
            <w:pPr>
              <w:jc w:val="left"/>
              <w:rPr>
                <w:rFonts w:eastAsia="宋体" w:cs="宋体"/>
                <w:sz w:val="21"/>
                <w:szCs w:val="21"/>
              </w:rPr>
            </w:pPr>
            <w:r>
              <w:rPr>
                <w:rFonts w:eastAsia="宋体" w:cs="宋体" w:hint="eastAsia"/>
                <w:sz w:val="21"/>
                <w:szCs w:val="21"/>
              </w:rPr>
              <w:t>580001</w:t>
            </w:r>
          </w:p>
        </w:tc>
        <w:tc>
          <w:tcPr>
            <w:tcW w:w="2232" w:type="dxa"/>
            <w:vAlign w:val="center"/>
          </w:tcPr>
          <w:p w:rsidR="00000000" w:rsidRDefault="00971599">
            <w:pPr>
              <w:jc w:val="left"/>
              <w:rPr>
                <w:rFonts w:eastAsia="宋体" w:cs="宋体"/>
                <w:sz w:val="21"/>
                <w:szCs w:val="21"/>
              </w:rPr>
            </w:pPr>
            <w:r>
              <w:rPr>
                <w:rFonts w:eastAsia="宋体" w:cs="宋体" w:hint="eastAsia"/>
                <w:sz w:val="21"/>
                <w:szCs w:val="21"/>
              </w:rPr>
              <w:t>015152</w:t>
            </w:r>
          </w:p>
        </w:tc>
      </w:tr>
      <w:tr w:rsidR="00000000">
        <w:trPr>
          <w:trHeight w:val="753"/>
          <w:jc w:val="center"/>
        </w:trPr>
        <w:tc>
          <w:tcPr>
            <w:tcW w:w="1468" w:type="dxa"/>
            <w:vMerge w:val="restart"/>
            <w:vAlign w:val="center"/>
          </w:tcPr>
          <w:p w:rsidR="00000000" w:rsidRDefault="00971599">
            <w:pPr>
              <w:spacing w:line="560" w:lineRule="exact"/>
              <w:rPr>
                <w:rFonts w:eastAsia="宋体" w:cs="宋体" w:hint="eastAsia"/>
                <w:sz w:val="21"/>
                <w:szCs w:val="21"/>
              </w:rPr>
            </w:pPr>
            <w:r>
              <w:rPr>
                <w:rFonts w:eastAsia="宋体" w:cs="宋体" w:hint="eastAsia"/>
                <w:sz w:val="21"/>
                <w:szCs w:val="21"/>
              </w:rPr>
              <w:t>截止收益分配基准日下属基金的相关指标</w:t>
            </w:r>
          </w:p>
        </w:tc>
        <w:tc>
          <w:tcPr>
            <w:tcW w:w="2573" w:type="dxa"/>
            <w:vAlign w:val="center"/>
          </w:tcPr>
          <w:p w:rsidR="00000000" w:rsidRDefault="00971599">
            <w:pPr>
              <w:rPr>
                <w:rFonts w:eastAsia="宋体" w:cs="宋体" w:hint="eastAsia"/>
                <w:sz w:val="21"/>
                <w:szCs w:val="21"/>
              </w:rPr>
            </w:pPr>
            <w:r>
              <w:rPr>
                <w:rFonts w:eastAsia="宋体" w:cs="宋体" w:hint="eastAsia"/>
                <w:sz w:val="21"/>
                <w:szCs w:val="21"/>
              </w:rPr>
              <w:t>基准日下属基金</w:t>
            </w:r>
          </w:p>
          <w:p w:rsidR="00000000" w:rsidRDefault="00971599">
            <w:pPr>
              <w:rPr>
                <w:rFonts w:eastAsia="宋体" w:cs="宋体" w:hint="eastAsia"/>
                <w:sz w:val="21"/>
                <w:szCs w:val="21"/>
              </w:rPr>
            </w:pPr>
            <w:r>
              <w:rPr>
                <w:rFonts w:eastAsia="宋体" w:cs="宋体" w:hint="eastAsia"/>
                <w:sz w:val="21"/>
                <w:szCs w:val="21"/>
              </w:rPr>
              <w:t>份额净值（单位：元）</w:t>
            </w:r>
          </w:p>
        </w:tc>
        <w:tc>
          <w:tcPr>
            <w:tcW w:w="2224" w:type="dxa"/>
            <w:vAlign w:val="center"/>
          </w:tcPr>
          <w:p w:rsidR="00000000" w:rsidRDefault="00971599">
            <w:pPr>
              <w:jc w:val="left"/>
              <w:rPr>
                <w:rFonts w:eastAsia="宋体" w:cs="宋体" w:hint="eastAsia"/>
                <w:sz w:val="21"/>
                <w:szCs w:val="21"/>
              </w:rPr>
            </w:pPr>
            <w:r>
              <w:rPr>
                <w:rFonts w:eastAsia="宋体" w:cs="宋体" w:hint="eastAsia"/>
                <w:sz w:val="21"/>
                <w:szCs w:val="21"/>
              </w:rPr>
              <w:t>1.7313</w:t>
            </w:r>
          </w:p>
        </w:tc>
        <w:tc>
          <w:tcPr>
            <w:tcW w:w="2232" w:type="dxa"/>
            <w:vAlign w:val="center"/>
          </w:tcPr>
          <w:p w:rsidR="00000000" w:rsidRDefault="00971599">
            <w:pPr>
              <w:jc w:val="left"/>
              <w:rPr>
                <w:rFonts w:eastAsia="宋体" w:cs="宋体" w:hint="eastAsia"/>
                <w:sz w:val="21"/>
                <w:szCs w:val="21"/>
              </w:rPr>
            </w:pPr>
            <w:r>
              <w:rPr>
                <w:rFonts w:eastAsia="宋体" w:cs="宋体" w:hint="eastAsia"/>
                <w:sz w:val="21"/>
                <w:szCs w:val="21"/>
              </w:rPr>
              <w:t>1.7063</w:t>
            </w:r>
          </w:p>
        </w:tc>
      </w:tr>
      <w:tr w:rsidR="00000000">
        <w:trPr>
          <w:trHeight w:val="695"/>
          <w:jc w:val="center"/>
        </w:trPr>
        <w:tc>
          <w:tcPr>
            <w:tcW w:w="1468" w:type="dxa"/>
            <w:vMerge/>
            <w:vAlign w:val="center"/>
          </w:tcPr>
          <w:p w:rsidR="00000000" w:rsidRDefault="00971599">
            <w:pPr>
              <w:spacing w:line="480" w:lineRule="exact"/>
              <w:rPr>
                <w:rFonts w:eastAsia="宋体" w:cs="宋体" w:hint="eastAsia"/>
                <w:sz w:val="21"/>
                <w:szCs w:val="21"/>
              </w:rPr>
            </w:pPr>
          </w:p>
        </w:tc>
        <w:tc>
          <w:tcPr>
            <w:tcW w:w="2573" w:type="dxa"/>
            <w:vAlign w:val="center"/>
          </w:tcPr>
          <w:p w:rsidR="00000000" w:rsidRDefault="00971599">
            <w:pPr>
              <w:rPr>
                <w:rFonts w:eastAsia="宋体" w:cs="宋体" w:hint="eastAsia"/>
                <w:sz w:val="21"/>
                <w:szCs w:val="21"/>
              </w:rPr>
            </w:pPr>
            <w:r>
              <w:rPr>
                <w:rFonts w:eastAsia="宋体" w:cs="宋体" w:hint="eastAsia"/>
                <w:sz w:val="21"/>
                <w:szCs w:val="21"/>
              </w:rPr>
              <w:t>基准日下属基金</w:t>
            </w:r>
          </w:p>
          <w:p w:rsidR="00000000" w:rsidRDefault="00971599">
            <w:pPr>
              <w:rPr>
                <w:rFonts w:eastAsia="宋体" w:cs="宋体" w:hint="eastAsia"/>
                <w:sz w:val="21"/>
                <w:szCs w:val="21"/>
              </w:rPr>
            </w:pPr>
            <w:r>
              <w:rPr>
                <w:rFonts w:eastAsia="宋体" w:cs="宋体" w:hint="eastAsia"/>
                <w:sz w:val="21"/>
                <w:szCs w:val="21"/>
              </w:rPr>
              <w:t>可供分配利润（单位：元）</w:t>
            </w:r>
          </w:p>
        </w:tc>
        <w:tc>
          <w:tcPr>
            <w:tcW w:w="2224" w:type="dxa"/>
            <w:tcBorders>
              <w:bottom w:val="single" w:sz="4" w:space="0" w:color="auto"/>
            </w:tcBorders>
            <w:vAlign w:val="center"/>
          </w:tcPr>
          <w:p w:rsidR="00000000" w:rsidRDefault="00971599">
            <w:pPr>
              <w:widowControl/>
              <w:jc w:val="left"/>
              <w:rPr>
                <w:rFonts w:eastAsia="宋体" w:cs="宋体" w:hint="eastAsia"/>
                <w:sz w:val="21"/>
                <w:szCs w:val="21"/>
              </w:rPr>
            </w:pPr>
            <w:r>
              <w:rPr>
                <w:rFonts w:eastAsia="宋体" w:cs="宋体" w:hint="eastAsia"/>
                <w:sz w:val="21"/>
                <w:szCs w:val="21"/>
              </w:rPr>
              <w:t>296,526,480.25</w:t>
            </w:r>
          </w:p>
        </w:tc>
        <w:tc>
          <w:tcPr>
            <w:tcW w:w="2232" w:type="dxa"/>
            <w:tcBorders>
              <w:bottom w:val="single" w:sz="4" w:space="0" w:color="auto"/>
            </w:tcBorders>
            <w:vAlign w:val="center"/>
          </w:tcPr>
          <w:p w:rsidR="00000000" w:rsidRDefault="00971599">
            <w:pPr>
              <w:widowControl/>
              <w:jc w:val="left"/>
              <w:rPr>
                <w:rFonts w:eastAsia="宋体" w:cs="宋体" w:hint="eastAsia"/>
                <w:sz w:val="21"/>
                <w:szCs w:val="21"/>
              </w:rPr>
            </w:pPr>
            <w:r>
              <w:rPr>
                <w:rFonts w:eastAsia="宋体" w:cs="宋体" w:hint="eastAsia"/>
                <w:sz w:val="21"/>
                <w:szCs w:val="21"/>
              </w:rPr>
              <w:t>45,627,514.10</w:t>
            </w:r>
          </w:p>
        </w:tc>
      </w:tr>
      <w:tr w:rsidR="00000000">
        <w:trPr>
          <w:trHeight w:val="1180"/>
          <w:jc w:val="center"/>
        </w:trPr>
        <w:tc>
          <w:tcPr>
            <w:tcW w:w="1468" w:type="dxa"/>
            <w:vMerge/>
            <w:vAlign w:val="center"/>
          </w:tcPr>
          <w:p w:rsidR="00000000" w:rsidRDefault="00971599">
            <w:pPr>
              <w:spacing w:line="480" w:lineRule="exact"/>
              <w:rPr>
                <w:rFonts w:eastAsia="宋体" w:cs="宋体" w:hint="eastAsia"/>
                <w:sz w:val="21"/>
                <w:szCs w:val="21"/>
              </w:rPr>
            </w:pPr>
          </w:p>
        </w:tc>
        <w:tc>
          <w:tcPr>
            <w:tcW w:w="2573" w:type="dxa"/>
            <w:vAlign w:val="center"/>
          </w:tcPr>
          <w:p w:rsidR="00000000" w:rsidRDefault="00971599">
            <w:pPr>
              <w:rPr>
                <w:rFonts w:eastAsia="宋体" w:cs="宋体" w:hint="eastAsia"/>
                <w:sz w:val="21"/>
                <w:szCs w:val="21"/>
              </w:rPr>
            </w:pPr>
            <w:r>
              <w:rPr>
                <w:rFonts w:eastAsia="宋体" w:cs="宋体" w:hint="eastAsia"/>
                <w:sz w:val="21"/>
                <w:szCs w:val="21"/>
              </w:rPr>
              <w:t>截止基准日按照基金合同约定的最低分红比例计算的应分配金额（单位：元）</w:t>
            </w:r>
          </w:p>
        </w:tc>
        <w:tc>
          <w:tcPr>
            <w:tcW w:w="2224" w:type="dxa"/>
            <w:vAlign w:val="center"/>
          </w:tcPr>
          <w:p w:rsidR="00000000" w:rsidRDefault="00971599">
            <w:pPr>
              <w:widowControl/>
              <w:jc w:val="left"/>
              <w:rPr>
                <w:rFonts w:eastAsia="宋体" w:cs="宋体" w:hint="eastAsia"/>
                <w:sz w:val="21"/>
                <w:szCs w:val="21"/>
              </w:rPr>
            </w:pPr>
            <w:r>
              <w:rPr>
                <w:rFonts w:eastAsia="宋体" w:cs="宋体" w:hint="eastAsia"/>
                <w:sz w:val="21"/>
                <w:szCs w:val="21"/>
              </w:rPr>
              <w:t>148,26</w:t>
            </w:r>
            <w:r>
              <w:rPr>
                <w:rFonts w:eastAsia="宋体" w:cs="宋体" w:hint="eastAsia"/>
                <w:sz w:val="21"/>
                <w:szCs w:val="21"/>
              </w:rPr>
              <w:t>3,240.13</w:t>
            </w:r>
          </w:p>
        </w:tc>
        <w:tc>
          <w:tcPr>
            <w:tcW w:w="2232" w:type="dxa"/>
            <w:vAlign w:val="center"/>
          </w:tcPr>
          <w:p w:rsidR="00000000" w:rsidRDefault="00971599">
            <w:pPr>
              <w:widowControl/>
              <w:jc w:val="left"/>
              <w:rPr>
                <w:rFonts w:eastAsia="宋体" w:cs="宋体" w:hint="eastAsia"/>
                <w:sz w:val="21"/>
                <w:szCs w:val="21"/>
              </w:rPr>
            </w:pPr>
            <w:r>
              <w:rPr>
                <w:rFonts w:eastAsia="宋体" w:cs="宋体" w:hint="eastAsia"/>
                <w:sz w:val="21"/>
                <w:szCs w:val="21"/>
              </w:rPr>
              <w:t>22,813,757.05</w:t>
            </w:r>
          </w:p>
        </w:tc>
      </w:tr>
      <w:tr w:rsidR="00000000">
        <w:trPr>
          <w:trHeight w:val="945"/>
          <w:jc w:val="center"/>
        </w:trPr>
        <w:tc>
          <w:tcPr>
            <w:tcW w:w="4041" w:type="dxa"/>
            <w:gridSpan w:val="2"/>
            <w:vAlign w:val="center"/>
          </w:tcPr>
          <w:p w:rsidR="00000000" w:rsidRDefault="00971599">
            <w:pPr>
              <w:spacing w:line="560" w:lineRule="exact"/>
              <w:rPr>
                <w:rFonts w:eastAsia="宋体" w:cs="宋体" w:hint="eastAsia"/>
                <w:sz w:val="21"/>
                <w:szCs w:val="21"/>
              </w:rPr>
            </w:pPr>
            <w:r>
              <w:rPr>
                <w:rFonts w:eastAsia="宋体" w:cs="宋体" w:hint="eastAsia"/>
                <w:sz w:val="21"/>
                <w:szCs w:val="21"/>
              </w:rPr>
              <w:t>本次下属基金分红方案（单位：元</w:t>
            </w:r>
            <w:r>
              <w:rPr>
                <w:rFonts w:eastAsia="宋体" w:cs="宋体" w:hint="eastAsia"/>
                <w:sz w:val="21"/>
                <w:szCs w:val="21"/>
              </w:rPr>
              <w:t>/10</w:t>
            </w:r>
            <w:r>
              <w:rPr>
                <w:rFonts w:eastAsia="宋体" w:cs="宋体" w:hint="eastAsia"/>
                <w:sz w:val="21"/>
                <w:szCs w:val="21"/>
              </w:rPr>
              <w:t>份基金份额）</w:t>
            </w:r>
          </w:p>
        </w:tc>
        <w:tc>
          <w:tcPr>
            <w:tcW w:w="2224" w:type="dxa"/>
            <w:vAlign w:val="center"/>
          </w:tcPr>
          <w:p w:rsidR="00000000" w:rsidRDefault="00971599">
            <w:pPr>
              <w:widowControl/>
              <w:jc w:val="left"/>
              <w:rPr>
                <w:rFonts w:eastAsia="宋体" w:cs="宋体" w:hint="eastAsia"/>
                <w:sz w:val="21"/>
                <w:szCs w:val="21"/>
              </w:rPr>
            </w:pPr>
            <w:r>
              <w:rPr>
                <w:rFonts w:eastAsia="宋体" w:cs="宋体" w:hint="eastAsia"/>
                <w:sz w:val="21"/>
                <w:szCs w:val="21"/>
              </w:rPr>
              <w:t>2.640</w:t>
            </w:r>
          </w:p>
        </w:tc>
        <w:tc>
          <w:tcPr>
            <w:tcW w:w="2232" w:type="dxa"/>
            <w:vAlign w:val="center"/>
          </w:tcPr>
          <w:p w:rsidR="00000000" w:rsidRDefault="00971599">
            <w:pPr>
              <w:widowControl/>
              <w:jc w:val="left"/>
              <w:rPr>
                <w:rFonts w:eastAsia="宋体" w:cs="宋体" w:hint="eastAsia"/>
                <w:sz w:val="21"/>
                <w:szCs w:val="21"/>
              </w:rPr>
            </w:pPr>
            <w:r>
              <w:rPr>
                <w:rFonts w:eastAsia="宋体" w:cs="宋体" w:hint="eastAsia"/>
                <w:sz w:val="21"/>
                <w:szCs w:val="21"/>
              </w:rPr>
              <w:t>1.130</w:t>
            </w:r>
          </w:p>
        </w:tc>
      </w:tr>
      <w:tr w:rsidR="00000000">
        <w:trPr>
          <w:jc w:val="center"/>
        </w:trPr>
        <w:tc>
          <w:tcPr>
            <w:tcW w:w="4041" w:type="dxa"/>
            <w:gridSpan w:val="2"/>
            <w:vAlign w:val="center"/>
          </w:tcPr>
          <w:p w:rsidR="00000000" w:rsidRDefault="00971599">
            <w:pPr>
              <w:spacing w:line="360" w:lineRule="auto"/>
              <w:rPr>
                <w:rFonts w:eastAsia="宋体" w:cs="宋体" w:hint="eastAsia"/>
                <w:sz w:val="21"/>
                <w:szCs w:val="21"/>
              </w:rPr>
            </w:pPr>
            <w:r>
              <w:rPr>
                <w:rFonts w:eastAsia="宋体" w:cs="宋体" w:hint="eastAsia"/>
                <w:sz w:val="21"/>
                <w:szCs w:val="21"/>
              </w:rPr>
              <w:t>有关年度分红次数的说明</w:t>
            </w:r>
          </w:p>
        </w:tc>
        <w:tc>
          <w:tcPr>
            <w:tcW w:w="4456" w:type="dxa"/>
            <w:gridSpan w:val="2"/>
            <w:vAlign w:val="center"/>
          </w:tcPr>
          <w:p w:rsidR="00000000" w:rsidRDefault="00971599">
            <w:pPr>
              <w:jc w:val="left"/>
              <w:rPr>
                <w:rFonts w:eastAsia="宋体" w:cs="宋体" w:hint="eastAsia"/>
                <w:sz w:val="21"/>
                <w:szCs w:val="21"/>
              </w:rPr>
            </w:pPr>
            <w:r>
              <w:rPr>
                <w:rFonts w:eastAsia="宋体" w:cs="宋体" w:hint="eastAsia"/>
                <w:sz w:val="21"/>
                <w:szCs w:val="21"/>
              </w:rPr>
              <w:t>本次分红为</w:t>
            </w:r>
            <w:r>
              <w:rPr>
                <w:rFonts w:eastAsia="宋体" w:cs="宋体" w:hint="eastAsia"/>
                <w:sz w:val="21"/>
                <w:szCs w:val="21"/>
              </w:rPr>
              <w:t>202</w:t>
            </w:r>
            <w:r>
              <w:rPr>
                <w:rFonts w:eastAsia="宋体" w:cs="宋体" w:hint="eastAsia"/>
                <w:sz w:val="21"/>
                <w:szCs w:val="21"/>
              </w:rPr>
              <w:t>5</w:t>
            </w:r>
            <w:r>
              <w:rPr>
                <w:rFonts w:eastAsia="宋体" w:cs="宋体" w:hint="eastAsia"/>
                <w:sz w:val="21"/>
                <w:szCs w:val="21"/>
              </w:rPr>
              <w:t>年度收益的第</w:t>
            </w:r>
            <w:r>
              <w:rPr>
                <w:rFonts w:eastAsia="宋体" w:cs="宋体" w:hint="eastAsia"/>
                <w:sz w:val="21"/>
                <w:szCs w:val="21"/>
              </w:rPr>
              <w:t>1</w:t>
            </w:r>
            <w:r>
              <w:rPr>
                <w:rFonts w:eastAsia="宋体" w:cs="宋体" w:hint="eastAsia"/>
                <w:sz w:val="21"/>
                <w:szCs w:val="21"/>
              </w:rPr>
              <w:t>次分红</w:t>
            </w:r>
          </w:p>
        </w:tc>
      </w:tr>
    </w:tbl>
    <w:p w:rsidR="00000000" w:rsidRDefault="00971599">
      <w:pPr>
        <w:spacing w:line="360" w:lineRule="auto"/>
        <w:ind w:firstLineChars="200" w:firstLine="420"/>
        <w:rPr>
          <w:rFonts w:eastAsia="宋体" w:cs="宋体" w:hint="eastAsia"/>
          <w:bCs/>
          <w:sz w:val="21"/>
          <w:szCs w:val="24"/>
        </w:rPr>
      </w:pPr>
      <w:bookmarkStart w:id="1" w:name="_Toc275961419"/>
      <w:r>
        <w:rPr>
          <w:rFonts w:eastAsia="宋体" w:cs="宋体" w:hint="eastAsia"/>
          <w:bCs/>
          <w:sz w:val="21"/>
          <w:szCs w:val="24"/>
        </w:rPr>
        <w:lastRenderedPageBreak/>
        <w:t>注：（</w:t>
      </w:r>
      <w:r>
        <w:rPr>
          <w:rFonts w:eastAsia="宋体" w:cs="宋体" w:hint="eastAsia"/>
          <w:bCs/>
          <w:sz w:val="21"/>
          <w:szCs w:val="24"/>
        </w:rPr>
        <w:t>1</w:t>
      </w:r>
      <w:r>
        <w:rPr>
          <w:rFonts w:eastAsia="宋体" w:cs="宋体" w:hint="eastAsia"/>
          <w:bCs/>
          <w:sz w:val="21"/>
          <w:szCs w:val="24"/>
        </w:rPr>
        <w:t>）本基金</w:t>
      </w:r>
      <w:r>
        <w:rPr>
          <w:rFonts w:eastAsia="宋体" w:cs="宋体" w:hint="eastAsia"/>
          <w:bCs/>
          <w:sz w:val="21"/>
          <w:szCs w:val="24"/>
        </w:rPr>
        <w:t>A</w:t>
      </w:r>
      <w:r>
        <w:rPr>
          <w:rFonts w:eastAsia="宋体" w:cs="宋体" w:hint="eastAsia"/>
          <w:bCs/>
          <w:sz w:val="21"/>
          <w:szCs w:val="24"/>
        </w:rPr>
        <w:t>类基金份额不收取销售服务费，</w:t>
      </w:r>
      <w:r>
        <w:rPr>
          <w:rFonts w:eastAsia="宋体" w:cs="宋体" w:hint="eastAsia"/>
          <w:bCs/>
          <w:sz w:val="21"/>
          <w:szCs w:val="24"/>
        </w:rPr>
        <w:t>C</w:t>
      </w:r>
      <w:r>
        <w:rPr>
          <w:rFonts w:eastAsia="宋体" w:cs="宋体" w:hint="eastAsia"/>
          <w:bCs/>
          <w:sz w:val="21"/>
          <w:szCs w:val="24"/>
        </w:rPr>
        <w:t>类基金份额收取销售服务费，各基金份额类别对应的可供分配利润将有所不同。本基金同一类别的每一基金份额享有同等分配权；</w:t>
      </w:r>
    </w:p>
    <w:p w:rsidR="00000000" w:rsidRDefault="00971599">
      <w:pPr>
        <w:spacing w:line="360" w:lineRule="auto"/>
        <w:ind w:firstLineChars="200" w:firstLine="420"/>
        <w:rPr>
          <w:rFonts w:eastAsia="宋体" w:cs="宋体" w:hint="eastAsia"/>
          <w:bCs/>
          <w:sz w:val="21"/>
          <w:szCs w:val="24"/>
        </w:rPr>
      </w:pPr>
      <w:r>
        <w:rPr>
          <w:rFonts w:eastAsia="宋体" w:cs="宋体" w:hint="eastAsia"/>
          <w:bCs/>
          <w:sz w:val="21"/>
          <w:szCs w:val="24"/>
        </w:rPr>
        <w:t>（</w:t>
      </w:r>
      <w:r>
        <w:rPr>
          <w:rFonts w:eastAsia="宋体" w:cs="宋体" w:hint="eastAsia"/>
          <w:bCs/>
          <w:sz w:val="21"/>
          <w:szCs w:val="24"/>
        </w:rPr>
        <w:t>2</w:t>
      </w:r>
      <w:r>
        <w:rPr>
          <w:rFonts w:eastAsia="宋体" w:cs="宋体" w:hint="eastAsia"/>
          <w:bCs/>
          <w:sz w:val="21"/>
          <w:szCs w:val="24"/>
        </w:rPr>
        <w:t>）</w:t>
      </w:r>
      <w:r>
        <w:rPr>
          <w:rFonts w:eastAsia="宋体" w:cs="宋体" w:hint="eastAsia"/>
          <w:bCs/>
          <w:sz w:val="21"/>
          <w:szCs w:val="24"/>
        </w:rPr>
        <w:t xml:space="preserve"> </w:t>
      </w:r>
      <w:r>
        <w:rPr>
          <w:rFonts w:eastAsia="宋体" w:cs="宋体" w:hint="eastAsia"/>
          <w:bCs/>
          <w:sz w:val="21"/>
          <w:szCs w:val="24"/>
        </w:rPr>
        <w:t>投资者可以选择现金分红方式或红利再投资分红方式，默认分红方式为获取现金红利；</w:t>
      </w:r>
    </w:p>
    <w:p w:rsidR="00000000" w:rsidRDefault="00971599">
      <w:pPr>
        <w:spacing w:line="360" w:lineRule="auto"/>
        <w:ind w:firstLineChars="200" w:firstLine="420"/>
        <w:rPr>
          <w:rFonts w:eastAsia="宋体" w:cs="宋体" w:hint="eastAsia"/>
          <w:bCs/>
          <w:sz w:val="21"/>
          <w:szCs w:val="24"/>
        </w:rPr>
      </w:pPr>
      <w:r>
        <w:rPr>
          <w:rFonts w:eastAsia="宋体" w:cs="宋体" w:hint="eastAsia"/>
          <w:bCs/>
          <w:sz w:val="21"/>
          <w:szCs w:val="24"/>
        </w:rPr>
        <w:t>（</w:t>
      </w:r>
      <w:r>
        <w:rPr>
          <w:rFonts w:eastAsia="宋体" w:cs="宋体" w:hint="eastAsia"/>
          <w:bCs/>
          <w:sz w:val="21"/>
          <w:szCs w:val="24"/>
        </w:rPr>
        <w:t>3</w:t>
      </w:r>
      <w:r>
        <w:rPr>
          <w:rFonts w:eastAsia="宋体" w:cs="宋体" w:hint="eastAsia"/>
          <w:bCs/>
          <w:sz w:val="21"/>
          <w:szCs w:val="24"/>
        </w:rPr>
        <w:t>）基金收益分配后各类基金单位资产净值不能低于面值；</w:t>
      </w:r>
    </w:p>
    <w:p w:rsidR="00000000" w:rsidRDefault="00971599">
      <w:pPr>
        <w:spacing w:line="360" w:lineRule="auto"/>
        <w:ind w:firstLineChars="200" w:firstLine="420"/>
        <w:rPr>
          <w:rFonts w:eastAsia="宋体" w:cs="宋体" w:hint="eastAsia"/>
          <w:bCs/>
          <w:sz w:val="21"/>
          <w:szCs w:val="24"/>
        </w:rPr>
      </w:pPr>
      <w:r>
        <w:rPr>
          <w:rFonts w:eastAsia="宋体" w:cs="宋体" w:hint="eastAsia"/>
          <w:bCs/>
          <w:sz w:val="21"/>
          <w:szCs w:val="24"/>
        </w:rPr>
        <w:t>（</w:t>
      </w:r>
      <w:r>
        <w:rPr>
          <w:rFonts w:eastAsia="宋体" w:cs="宋体" w:hint="eastAsia"/>
          <w:bCs/>
          <w:sz w:val="21"/>
          <w:szCs w:val="24"/>
        </w:rPr>
        <w:t>4</w:t>
      </w:r>
      <w:r>
        <w:rPr>
          <w:rFonts w:eastAsia="宋体" w:cs="宋体" w:hint="eastAsia"/>
          <w:bCs/>
          <w:sz w:val="21"/>
          <w:szCs w:val="24"/>
        </w:rPr>
        <w:t>）法律法规或</w:t>
      </w:r>
      <w:r>
        <w:rPr>
          <w:rFonts w:eastAsia="宋体" w:cs="宋体" w:hint="eastAsia"/>
          <w:bCs/>
          <w:sz w:val="21"/>
          <w:szCs w:val="24"/>
        </w:rPr>
        <w:t>监管机关另有规定的，从其规定。</w:t>
      </w:r>
    </w:p>
    <w:p w:rsidR="00000000" w:rsidRDefault="00971599">
      <w:pPr>
        <w:pStyle w:val="2"/>
        <w:spacing w:line="560" w:lineRule="exact"/>
        <w:rPr>
          <w:rFonts w:ascii="Times New Roman" w:eastAsia="宋体" w:hAnsi="Times New Roman" w:cs="宋体" w:hint="eastAsia"/>
          <w:bCs w:val="0"/>
          <w:sz w:val="24"/>
          <w:szCs w:val="24"/>
        </w:rPr>
      </w:pPr>
      <w:r>
        <w:rPr>
          <w:rFonts w:ascii="Times New Roman" w:eastAsia="宋体" w:hAnsi="Times New Roman" w:cs="宋体" w:hint="eastAsia"/>
          <w:bCs w:val="0"/>
          <w:sz w:val="24"/>
          <w:szCs w:val="24"/>
        </w:rPr>
        <w:t xml:space="preserve">2 </w:t>
      </w:r>
      <w:r>
        <w:rPr>
          <w:rFonts w:ascii="Times New Roman" w:eastAsia="宋体" w:hAnsi="Times New Roman" w:cs="宋体" w:hint="eastAsia"/>
          <w:bCs w:val="0"/>
          <w:sz w:val="24"/>
          <w:szCs w:val="24"/>
        </w:rPr>
        <w:t>与分红相关的其他信息</w:t>
      </w:r>
      <w:bookmarkEnd w:id="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6"/>
        <w:gridCol w:w="5796"/>
      </w:tblGrid>
      <w:tr w:rsidR="00000000">
        <w:trPr>
          <w:trHeight w:val="535"/>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权益登记日</w:t>
            </w:r>
          </w:p>
        </w:tc>
        <w:tc>
          <w:tcPr>
            <w:tcW w:w="5796" w:type="dxa"/>
            <w:vAlign w:val="center"/>
          </w:tcPr>
          <w:p w:rsidR="00000000" w:rsidRDefault="00971599">
            <w:pPr>
              <w:widowControl/>
              <w:spacing w:before="100" w:beforeAutospacing="1" w:after="100" w:afterAutospacing="1" w:line="360" w:lineRule="auto"/>
              <w:rPr>
                <w:rFonts w:eastAsia="宋体" w:cs="宋体" w:hint="eastAsia"/>
                <w:kern w:val="0"/>
                <w:sz w:val="21"/>
                <w:szCs w:val="21"/>
              </w:rPr>
            </w:pP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13</w:t>
            </w:r>
            <w:r>
              <w:rPr>
                <w:rFonts w:eastAsia="宋体" w:cs="宋体" w:hint="eastAsia"/>
                <w:kern w:val="0"/>
                <w:sz w:val="21"/>
                <w:szCs w:val="21"/>
              </w:rPr>
              <w:t>日</w:t>
            </w:r>
          </w:p>
        </w:tc>
      </w:tr>
      <w:tr w:rsidR="00000000">
        <w:trPr>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除息日</w:t>
            </w:r>
          </w:p>
        </w:tc>
        <w:tc>
          <w:tcPr>
            <w:tcW w:w="5796" w:type="dxa"/>
            <w:vAlign w:val="center"/>
          </w:tcPr>
          <w:p w:rsidR="00000000" w:rsidRDefault="00971599">
            <w:pPr>
              <w:widowControl/>
              <w:spacing w:before="100" w:beforeAutospacing="1" w:after="100" w:afterAutospacing="1" w:line="360" w:lineRule="auto"/>
              <w:rPr>
                <w:rFonts w:eastAsia="宋体" w:cs="宋体" w:hint="eastAsia"/>
                <w:kern w:val="0"/>
                <w:sz w:val="21"/>
                <w:szCs w:val="21"/>
              </w:rPr>
            </w:pP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13</w:t>
            </w:r>
            <w:r>
              <w:rPr>
                <w:rFonts w:eastAsia="宋体" w:cs="宋体" w:hint="eastAsia"/>
                <w:kern w:val="0"/>
                <w:sz w:val="21"/>
                <w:szCs w:val="21"/>
              </w:rPr>
              <w:t>日</w:t>
            </w:r>
          </w:p>
        </w:tc>
      </w:tr>
      <w:tr w:rsidR="00000000">
        <w:trPr>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现金红利发放日</w:t>
            </w:r>
          </w:p>
        </w:tc>
        <w:tc>
          <w:tcPr>
            <w:tcW w:w="5796" w:type="dxa"/>
            <w:vAlign w:val="center"/>
          </w:tcPr>
          <w:p w:rsidR="00000000" w:rsidRDefault="00971599">
            <w:pPr>
              <w:widowControl/>
              <w:spacing w:before="100" w:beforeAutospacing="1" w:after="100" w:afterAutospacing="1" w:line="360" w:lineRule="auto"/>
              <w:rPr>
                <w:rFonts w:eastAsia="宋体" w:cs="宋体" w:hint="eastAsia"/>
                <w:kern w:val="0"/>
                <w:sz w:val="21"/>
                <w:szCs w:val="21"/>
              </w:rPr>
            </w:pP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15</w:t>
            </w:r>
            <w:r>
              <w:rPr>
                <w:rFonts w:eastAsia="宋体" w:cs="宋体" w:hint="eastAsia"/>
                <w:kern w:val="0"/>
                <w:sz w:val="21"/>
                <w:szCs w:val="21"/>
              </w:rPr>
              <w:t>日</w:t>
            </w:r>
          </w:p>
        </w:tc>
      </w:tr>
      <w:tr w:rsidR="00000000">
        <w:trPr>
          <w:jc w:val="center"/>
        </w:trPr>
        <w:tc>
          <w:tcPr>
            <w:tcW w:w="2686" w:type="dxa"/>
            <w:vAlign w:val="center"/>
          </w:tcPr>
          <w:p w:rsidR="00000000" w:rsidRDefault="00971599">
            <w:pPr>
              <w:spacing w:line="560" w:lineRule="exact"/>
              <w:rPr>
                <w:rFonts w:eastAsia="宋体" w:cs="宋体" w:hint="eastAsia"/>
                <w:sz w:val="21"/>
                <w:szCs w:val="21"/>
              </w:rPr>
            </w:pPr>
            <w:r>
              <w:rPr>
                <w:rFonts w:eastAsia="宋体" w:cs="宋体" w:hint="eastAsia"/>
                <w:sz w:val="21"/>
                <w:szCs w:val="21"/>
              </w:rPr>
              <w:t>分红对象</w:t>
            </w:r>
          </w:p>
        </w:tc>
        <w:tc>
          <w:tcPr>
            <w:tcW w:w="5796" w:type="dxa"/>
            <w:vAlign w:val="center"/>
          </w:tcPr>
          <w:p w:rsidR="00000000" w:rsidRDefault="00971599">
            <w:pPr>
              <w:widowControl/>
              <w:spacing w:before="100" w:beforeAutospacing="1" w:after="100" w:afterAutospacing="1" w:line="360" w:lineRule="auto"/>
              <w:rPr>
                <w:rFonts w:eastAsia="宋体" w:cs="宋体" w:hint="eastAsia"/>
                <w:sz w:val="21"/>
                <w:szCs w:val="21"/>
              </w:rPr>
            </w:pPr>
            <w:r>
              <w:rPr>
                <w:rFonts w:eastAsia="宋体" w:cs="宋体" w:hint="eastAsia"/>
                <w:kern w:val="0"/>
                <w:sz w:val="21"/>
                <w:szCs w:val="21"/>
              </w:rPr>
              <w:t>权益登记日在东吴基金管理有限公司登记在册的本基金全体份额持有人。</w:t>
            </w:r>
          </w:p>
        </w:tc>
      </w:tr>
      <w:tr w:rsidR="00000000">
        <w:trPr>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红利再投资相关事项的说明</w:t>
            </w:r>
          </w:p>
        </w:tc>
        <w:tc>
          <w:tcPr>
            <w:tcW w:w="5796" w:type="dxa"/>
            <w:vAlign w:val="center"/>
          </w:tcPr>
          <w:p w:rsidR="00000000" w:rsidRDefault="00971599">
            <w:pPr>
              <w:widowControl/>
              <w:spacing w:before="100" w:beforeAutospacing="1" w:after="100" w:afterAutospacing="1" w:line="360" w:lineRule="auto"/>
              <w:rPr>
                <w:rFonts w:eastAsia="宋体" w:cs="宋体" w:hint="eastAsia"/>
                <w:kern w:val="0"/>
                <w:sz w:val="21"/>
                <w:szCs w:val="21"/>
              </w:rPr>
            </w:pPr>
            <w:r>
              <w:rPr>
                <w:rFonts w:eastAsia="宋体" w:cs="宋体" w:hint="eastAsia"/>
                <w:kern w:val="0"/>
                <w:sz w:val="21"/>
                <w:szCs w:val="21"/>
              </w:rPr>
              <w:t>投资人可选择现金红利或将现金红利按除息日的基金份额净值自动转为基金份额进行再投资，选择红利再投资方式的投资人所转换的基金份额将于</w:t>
            </w: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14</w:t>
            </w:r>
            <w:r>
              <w:rPr>
                <w:rFonts w:eastAsia="宋体" w:cs="宋体" w:hint="eastAsia"/>
                <w:kern w:val="0"/>
                <w:sz w:val="21"/>
                <w:szCs w:val="21"/>
              </w:rPr>
              <w:t>日直接计入其基金账户，</w:t>
            </w: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15</w:t>
            </w:r>
            <w:r>
              <w:rPr>
                <w:rFonts w:eastAsia="宋体" w:cs="宋体" w:hint="eastAsia"/>
                <w:kern w:val="0"/>
                <w:sz w:val="21"/>
                <w:szCs w:val="21"/>
              </w:rPr>
              <w:t>日起可以查询、赎回。</w:t>
            </w:r>
          </w:p>
        </w:tc>
      </w:tr>
      <w:tr w:rsidR="00000000">
        <w:trPr>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税收相关事项的说明</w:t>
            </w:r>
          </w:p>
        </w:tc>
        <w:tc>
          <w:tcPr>
            <w:tcW w:w="5796" w:type="dxa"/>
            <w:vAlign w:val="center"/>
          </w:tcPr>
          <w:p w:rsidR="00000000" w:rsidRDefault="00971599">
            <w:pPr>
              <w:widowControl/>
              <w:spacing w:before="100" w:beforeAutospacing="1" w:after="100" w:afterAutospacing="1" w:line="360" w:lineRule="auto"/>
              <w:rPr>
                <w:rFonts w:eastAsia="宋体" w:cs="宋体" w:hint="eastAsia"/>
                <w:kern w:val="0"/>
                <w:sz w:val="21"/>
                <w:szCs w:val="21"/>
              </w:rPr>
            </w:pPr>
            <w:r>
              <w:rPr>
                <w:rFonts w:eastAsia="宋体" w:cs="宋体" w:hint="eastAsia"/>
                <w:kern w:val="0"/>
                <w:sz w:val="21"/>
                <w:szCs w:val="21"/>
              </w:rPr>
              <w:t>根据有关法规</w:t>
            </w:r>
            <w:r>
              <w:rPr>
                <w:rFonts w:eastAsia="宋体" w:cs="宋体" w:hint="eastAsia"/>
                <w:kern w:val="0"/>
                <w:sz w:val="21"/>
                <w:szCs w:val="21"/>
              </w:rPr>
              <w:t>规定，本基金向投资人分配的基金收益</w:t>
            </w:r>
            <w:r>
              <w:rPr>
                <w:rFonts w:eastAsia="宋体" w:cs="宋体" w:hint="eastAsia"/>
                <w:kern w:val="0"/>
                <w:sz w:val="21"/>
                <w:szCs w:val="21"/>
              </w:rPr>
              <w:t>，</w:t>
            </w:r>
            <w:r>
              <w:rPr>
                <w:rFonts w:eastAsia="宋体" w:cs="宋体" w:hint="eastAsia"/>
                <w:kern w:val="0"/>
                <w:sz w:val="21"/>
                <w:szCs w:val="21"/>
              </w:rPr>
              <w:t>暂免征收所得税。</w:t>
            </w:r>
          </w:p>
        </w:tc>
      </w:tr>
      <w:tr w:rsidR="00000000">
        <w:trPr>
          <w:jc w:val="center"/>
        </w:trPr>
        <w:tc>
          <w:tcPr>
            <w:tcW w:w="2686" w:type="dxa"/>
            <w:vAlign w:val="center"/>
          </w:tcPr>
          <w:p w:rsidR="00000000" w:rsidRDefault="00971599">
            <w:pPr>
              <w:spacing w:line="360" w:lineRule="auto"/>
              <w:jc w:val="left"/>
              <w:rPr>
                <w:rFonts w:eastAsia="宋体" w:cs="宋体" w:hint="eastAsia"/>
                <w:sz w:val="21"/>
                <w:szCs w:val="21"/>
              </w:rPr>
            </w:pPr>
            <w:r>
              <w:rPr>
                <w:rFonts w:eastAsia="宋体" w:cs="宋体" w:hint="eastAsia"/>
                <w:sz w:val="21"/>
                <w:szCs w:val="21"/>
              </w:rPr>
              <w:t>费用相关事项的说明</w:t>
            </w:r>
          </w:p>
        </w:tc>
        <w:tc>
          <w:tcPr>
            <w:tcW w:w="5796" w:type="dxa"/>
            <w:vAlign w:val="center"/>
          </w:tcPr>
          <w:p w:rsidR="00000000" w:rsidRDefault="00971599">
            <w:pPr>
              <w:widowControl/>
              <w:spacing w:before="100" w:beforeAutospacing="1" w:after="100" w:afterAutospacing="1" w:line="360" w:lineRule="auto"/>
              <w:rPr>
                <w:rFonts w:eastAsia="宋体" w:cs="宋体" w:hint="eastAsia"/>
                <w:sz w:val="21"/>
                <w:szCs w:val="21"/>
              </w:rPr>
            </w:pPr>
            <w:r>
              <w:rPr>
                <w:rFonts w:eastAsia="宋体" w:cs="宋体" w:hint="eastAsia"/>
                <w:kern w:val="0"/>
                <w:sz w:val="21"/>
                <w:szCs w:val="21"/>
              </w:rPr>
              <w:t>本基金本次分红免收分红手续费和红利再投资费用。</w:t>
            </w:r>
          </w:p>
        </w:tc>
      </w:tr>
    </w:tbl>
    <w:p w:rsidR="00000000" w:rsidRDefault="00971599">
      <w:pPr>
        <w:pStyle w:val="2"/>
        <w:spacing w:after="0" w:line="360" w:lineRule="auto"/>
        <w:rPr>
          <w:rFonts w:ascii="Times New Roman" w:eastAsia="宋体" w:hAnsi="Times New Roman" w:cs="宋体" w:hint="eastAsia"/>
          <w:bCs w:val="0"/>
          <w:sz w:val="24"/>
          <w:szCs w:val="24"/>
        </w:rPr>
      </w:pPr>
      <w:bookmarkStart w:id="2" w:name="_Toc275961420"/>
      <w:r>
        <w:rPr>
          <w:rFonts w:ascii="Times New Roman" w:eastAsia="宋体" w:hAnsi="Times New Roman" w:cs="宋体" w:hint="eastAsia"/>
          <w:bCs w:val="0"/>
          <w:sz w:val="24"/>
          <w:szCs w:val="24"/>
        </w:rPr>
        <w:t xml:space="preserve">3 </w:t>
      </w:r>
      <w:r>
        <w:rPr>
          <w:rFonts w:ascii="Times New Roman" w:eastAsia="宋体" w:hAnsi="Times New Roman" w:cs="宋体" w:hint="eastAsia"/>
          <w:bCs w:val="0"/>
          <w:sz w:val="24"/>
          <w:szCs w:val="24"/>
        </w:rPr>
        <w:t>其他需要提示的事项</w:t>
      </w:r>
      <w:bookmarkEnd w:id="2"/>
    </w:p>
    <w:p w:rsidR="00000000" w:rsidRDefault="00971599">
      <w:pPr>
        <w:widowControl/>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对于未选择本基金具体分红方式的投资者，本基金默认的分红方式为现金红利方式。</w:t>
      </w:r>
    </w:p>
    <w:p w:rsidR="00000000" w:rsidRDefault="00971599">
      <w:pPr>
        <w:widowControl/>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投资者可以在基金开放日的交易时间内到销售网点修改分红方式，本次分红确认的方式将按照投资者权益登记日当日在注册登记机构登记的分红方式为准。请投资者通过本公司客户服务中心（</w:t>
      </w:r>
      <w:r>
        <w:rPr>
          <w:rFonts w:eastAsia="宋体" w:cs="宋体" w:hint="eastAsia"/>
          <w:kern w:val="0"/>
          <w:sz w:val="21"/>
          <w:szCs w:val="21"/>
        </w:rPr>
        <w:t>400-821-0588</w:t>
      </w:r>
      <w:r>
        <w:rPr>
          <w:rFonts w:eastAsia="宋体" w:cs="宋体" w:hint="eastAsia"/>
          <w:kern w:val="0"/>
          <w:sz w:val="21"/>
          <w:szCs w:val="21"/>
        </w:rPr>
        <w:t>）查询分红方式，如需修改分红方式的，请务必在权益登记日前一日的交易时间结束前（即</w:t>
      </w: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12</w:t>
      </w:r>
      <w:r>
        <w:rPr>
          <w:rFonts w:eastAsia="宋体" w:cs="宋体" w:hint="eastAsia"/>
          <w:kern w:val="0"/>
          <w:sz w:val="21"/>
          <w:szCs w:val="21"/>
        </w:rPr>
        <w:t>日</w:t>
      </w:r>
      <w:r>
        <w:rPr>
          <w:rFonts w:eastAsia="宋体" w:cs="宋体" w:hint="eastAsia"/>
          <w:kern w:val="0"/>
          <w:sz w:val="21"/>
          <w:szCs w:val="21"/>
        </w:rPr>
        <w:t>15</w:t>
      </w:r>
      <w:r>
        <w:rPr>
          <w:rFonts w:eastAsia="宋体" w:cs="宋体" w:hint="eastAsia"/>
          <w:kern w:val="0"/>
          <w:sz w:val="21"/>
          <w:szCs w:val="21"/>
        </w:rPr>
        <w:t>：</w:t>
      </w:r>
      <w:r>
        <w:rPr>
          <w:rFonts w:eastAsia="宋体" w:cs="宋体" w:hint="eastAsia"/>
          <w:kern w:val="0"/>
          <w:sz w:val="21"/>
          <w:szCs w:val="21"/>
        </w:rPr>
        <w:t>00</w:t>
      </w:r>
      <w:r>
        <w:rPr>
          <w:rFonts w:eastAsia="宋体" w:cs="宋体" w:hint="eastAsia"/>
          <w:kern w:val="0"/>
          <w:sz w:val="21"/>
          <w:szCs w:val="21"/>
        </w:rPr>
        <w:t>前）到销售网</w:t>
      </w:r>
      <w:r>
        <w:rPr>
          <w:rFonts w:eastAsia="宋体" w:cs="宋体" w:hint="eastAsia"/>
          <w:kern w:val="0"/>
          <w:sz w:val="21"/>
          <w:szCs w:val="21"/>
        </w:rPr>
        <w:lastRenderedPageBreak/>
        <w:t>点办理变更手续，投资者在权益登记日前一工作日超过交易时间提交的修改分红方式申请无效。</w:t>
      </w:r>
    </w:p>
    <w:p w:rsidR="00000000" w:rsidRDefault="00971599">
      <w:pPr>
        <w:widowControl/>
        <w:numPr>
          <w:ilvl w:val="0"/>
          <w:numId w:val="1"/>
        </w:numPr>
        <w:spacing w:before="100" w:beforeAutospacing="1" w:after="100" w:afterAutospacing="1" w:line="360" w:lineRule="auto"/>
        <w:ind w:left="0" w:firstLineChars="200" w:firstLine="420"/>
        <w:rPr>
          <w:rFonts w:eastAsia="宋体" w:cs="宋体" w:hint="eastAsia"/>
          <w:kern w:val="0"/>
          <w:sz w:val="21"/>
          <w:szCs w:val="21"/>
        </w:rPr>
      </w:pPr>
      <w:r>
        <w:rPr>
          <w:rFonts w:eastAsia="宋体" w:cs="宋体" w:hint="eastAsia"/>
          <w:kern w:val="0"/>
          <w:sz w:val="21"/>
          <w:szCs w:val="21"/>
        </w:rPr>
        <w:t>咨询办法：本基金份额持有人及希望了解本基金其他有关信息的投资者，可以登录本基金管理人网站（</w:t>
      </w:r>
      <w:r>
        <w:rPr>
          <w:rFonts w:eastAsia="宋体" w:cs="宋体" w:hint="eastAsia"/>
          <w:kern w:val="0"/>
          <w:sz w:val="21"/>
          <w:szCs w:val="21"/>
        </w:rPr>
        <w:t>www.scfund.com.cn</w:t>
      </w:r>
      <w:r>
        <w:rPr>
          <w:rFonts w:eastAsia="宋体" w:cs="宋体" w:hint="eastAsia"/>
          <w:kern w:val="0"/>
          <w:sz w:val="21"/>
          <w:szCs w:val="21"/>
        </w:rPr>
        <w:t>）或拨打客户服务电话（</w:t>
      </w:r>
      <w:r>
        <w:rPr>
          <w:rFonts w:eastAsia="宋体" w:cs="宋体" w:hint="eastAsia"/>
          <w:kern w:val="0"/>
          <w:sz w:val="21"/>
          <w:szCs w:val="21"/>
        </w:rPr>
        <w:t>400-821-0588</w:t>
      </w:r>
      <w:r>
        <w:rPr>
          <w:rFonts w:eastAsia="宋体" w:cs="宋体" w:hint="eastAsia"/>
          <w:kern w:val="0"/>
          <w:sz w:val="21"/>
          <w:szCs w:val="21"/>
        </w:rPr>
        <w:t>）咨询相关事宜。</w:t>
      </w:r>
    </w:p>
    <w:p w:rsidR="00000000" w:rsidRDefault="00971599">
      <w:pPr>
        <w:widowControl/>
        <w:numPr>
          <w:ilvl w:val="0"/>
          <w:numId w:val="1"/>
        </w:numPr>
        <w:spacing w:before="100" w:beforeAutospacing="1" w:after="100" w:afterAutospacing="1" w:line="360" w:lineRule="auto"/>
        <w:ind w:left="0" w:firstLineChars="200" w:firstLine="420"/>
        <w:rPr>
          <w:rFonts w:eastAsia="宋体" w:cs="宋体" w:hint="eastAsia"/>
          <w:kern w:val="0"/>
          <w:sz w:val="21"/>
          <w:szCs w:val="21"/>
        </w:rPr>
      </w:pPr>
      <w:r>
        <w:rPr>
          <w:rFonts w:eastAsia="宋体" w:cs="宋体" w:hint="eastAsia"/>
          <w:kern w:val="0"/>
          <w:sz w:val="21"/>
          <w:szCs w:val="21"/>
        </w:rPr>
        <w:t>风险提示：基金管理人承诺以诚实信用、勤勉尽责的原则管理和运用基金资产，但不保证基金一定盈利，也不保证最低收益。基金的过往业绩及其净值高低并不预示其未来业绩表现</w:t>
      </w:r>
      <w:r>
        <w:rPr>
          <w:rFonts w:eastAsia="宋体" w:cs="宋体" w:hint="eastAsia"/>
          <w:kern w:val="0"/>
          <w:sz w:val="21"/>
          <w:szCs w:val="21"/>
        </w:rPr>
        <w:t>，基金管理人管理的其他基金的业绩不构成对本基金业绩表</w:t>
      </w:r>
      <w:r>
        <w:rPr>
          <w:rFonts w:eastAsia="宋体" w:cs="宋体" w:hint="eastAsia"/>
          <w:kern w:val="0"/>
          <w:sz w:val="21"/>
          <w:szCs w:val="21"/>
        </w:rPr>
        <w:t>现的保证</w:t>
      </w:r>
      <w:r>
        <w:rPr>
          <w:rFonts w:eastAsia="宋体" w:cs="宋体" w:hint="eastAsia"/>
          <w:kern w:val="0"/>
          <w:sz w:val="21"/>
          <w:szCs w:val="21"/>
        </w:rPr>
        <w:t>。投资有风险，敬请投资者在投资基金</w:t>
      </w:r>
      <w:r>
        <w:rPr>
          <w:rFonts w:eastAsia="宋体" w:cs="宋体" w:hint="eastAsia"/>
          <w:kern w:val="0"/>
          <w:sz w:val="21"/>
          <w:szCs w:val="21"/>
        </w:rPr>
        <w:t>前</w:t>
      </w:r>
      <w:r>
        <w:rPr>
          <w:rFonts w:eastAsia="宋体" w:cs="宋体" w:hint="eastAsia"/>
          <w:kern w:val="0"/>
          <w:sz w:val="21"/>
          <w:szCs w:val="21"/>
        </w:rPr>
        <w:t>仔细阅读基金的《基金合同》《招募说明书》《基金产品资料概要》</w:t>
      </w:r>
      <w:r>
        <w:rPr>
          <w:rFonts w:eastAsia="宋体" w:cs="宋体" w:hint="eastAsia"/>
          <w:kern w:val="0"/>
          <w:sz w:val="21"/>
          <w:szCs w:val="21"/>
        </w:rPr>
        <w:t>及其更新</w:t>
      </w:r>
      <w:r>
        <w:rPr>
          <w:rFonts w:eastAsia="宋体" w:cs="宋体" w:hint="eastAsia"/>
          <w:kern w:val="0"/>
          <w:sz w:val="21"/>
          <w:szCs w:val="21"/>
        </w:rPr>
        <w:t>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p>
    <w:p w:rsidR="00000000" w:rsidRDefault="00971599">
      <w:pPr>
        <w:widowControl/>
        <w:spacing w:before="100" w:beforeAutospacing="1" w:after="100" w:afterAutospacing="1" w:line="360" w:lineRule="auto"/>
        <w:ind w:firstLineChars="200" w:firstLine="420"/>
        <w:rPr>
          <w:rFonts w:eastAsia="宋体" w:cs="宋体" w:hint="eastAsia"/>
          <w:kern w:val="0"/>
          <w:sz w:val="21"/>
          <w:szCs w:val="21"/>
        </w:rPr>
      </w:pPr>
    </w:p>
    <w:p w:rsidR="00000000" w:rsidRDefault="00971599">
      <w:pPr>
        <w:widowControl/>
        <w:spacing w:before="100" w:beforeAutospacing="1" w:after="100" w:afterAutospacing="1" w:line="360" w:lineRule="auto"/>
        <w:ind w:firstLineChars="200" w:firstLine="420"/>
        <w:rPr>
          <w:rFonts w:eastAsia="宋体" w:cs="宋体" w:hint="eastAsia"/>
          <w:kern w:val="0"/>
          <w:sz w:val="21"/>
          <w:szCs w:val="21"/>
        </w:rPr>
      </w:pPr>
      <w:r>
        <w:rPr>
          <w:rFonts w:eastAsia="宋体" w:cs="宋体" w:hint="eastAsia"/>
          <w:kern w:val="0"/>
          <w:sz w:val="21"/>
          <w:szCs w:val="21"/>
        </w:rPr>
        <w:t>特此公告。</w:t>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 xml:space="preserve">  </w:t>
      </w:r>
    </w:p>
    <w:p w:rsidR="00000000" w:rsidRDefault="00971599">
      <w:pPr>
        <w:widowControl/>
        <w:spacing w:line="360" w:lineRule="auto"/>
        <w:ind w:firstLineChars="2700" w:firstLine="5670"/>
        <w:rPr>
          <w:rFonts w:eastAsia="宋体" w:cs="宋体" w:hint="eastAsia"/>
          <w:kern w:val="0"/>
          <w:sz w:val="21"/>
          <w:szCs w:val="21"/>
        </w:rPr>
      </w:pPr>
    </w:p>
    <w:p w:rsidR="00000000" w:rsidRDefault="00971599">
      <w:pPr>
        <w:widowControl/>
        <w:spacing w:line="360" w:lineRule="auto"/>
        <w:ind w:firstLineChars="2700" w:firstLine="5670"/>
        <w:rPr>
          <w:rFonts w:eastAsia="宋体" w:cs="宋体" w:hint="eastAsia"/>
          <w:kern w:val="0"/>
          <w:sz w:val="21"/>
          <w:szCs w:val="21"/>
        </w:rPr>
      </w:pPr>
      <w:r>
        <w:rPr>
          <w:rFonts w:eastAsia="宋体" w:cs="宋体" w:hint="eastAsia"/>
          <w:kern w:val="0"/>
          <w:sz w:val="21"/>
          <w:szCs w:val="21"/>
        </w:rPr>
        <w:t>东吴基金管理有限公司</w:t>
      </w:r>
    </w:p>
    <w:p w:rsidR="00000000" w:rsidRDefault="00971599">
      <w:pPr>
        <w:widowControl/>
        <w:spacing w:line="360" w:lineRule="auto"/>
        <w:ind w:firstLineChars="200" w:firstLine="420"/>
        <w:rPr>
          <w:rFonts w:eastAsia="宋体" w:cs="宋体" w:hint="eastAsia"/>
          <w:kern w:val="0"/>
          <w:sz w:val="21"/>
          <w:szCs w:val="21"/>
        </w:rPr>
      </w:pP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ab/>
      </w:r>
      <w:r>
        <w:rPr>
          <w:rFonts w:eastAsia="宋体" w:cs="宋体" w:hint="eastAsia"/>
          <w:kern w:val="0"/>
          <w:sz w:val="21"/>
          <w:szCs w:val="21"/>
        </w:rPr>
        <w:t xml:space="preserve">  </w:t>
      </w:r>
      <w:r>
        <w:rPr>
          <w:rFonts w:eastAsia="宋体" w:cs="宋体" w:hint="eastAsia"/>
          <w:kern w:val="0"/>
          <w:sz w:val="21"/>
          <w:szCs w:val="21"/>
        </w:rPr>
        <w:t xml:space="preserve"> </w:t>
      </w:r>
      <w:r>
        <w:rPr>
          <w:rFonts w:eastAsia="宋体" w:cs="宋体" w:hint="eastAsia"/>
          <w:kern w:val="0"/>
          <w:sz w:val="21"/>
          <w:szCs w:val="21"/>
        </w:rPr>
        <w:t xml:space="preserve"> </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9</w:t>
      </w:r>
      <w:r>
        <w:rPr>
          <w:rFonts w:eastAsia="宋体" w:cs="宋体" w:hint="eastAsia"/>
          <w:kern w:val="0"/>
          <w:sz w:val="21"/>
          <w:szCs w:val="21"/>
        </w:rPr>
        <w:t>日</w:t>
      </w:r>
    </w:p>
    <w:sectPr w:rsidR="00000000">
      <w:pgSz w:w="11906" w:h="16838"/>
      <w:pgMar w:top="1440" w:right="2186"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2A033"/>
    <w:multiLevelType w:val="singleLevel"/>
    <w:tmpl w:val="2E42A033"/>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7192d9da-8d4e-464e-8f7c-6d30ea5ff382"/>
  </w:docVars>
  <w:rsids>
    <w:rsidRoot w:val="00172A27"/>
    <w:rsid w:val="00024B96"/>
    <w:rsid w:val="000315AD"/>
    <w:rsid w:val="000662F5"/>
    <w:rsid w:val="000B2C77"/>
    <w:rsid w:val="000B3935"/>
    <w:rsid w:val="000C3A48"/>
    <w:rsid w:val="000D36DB"/>
    <w:rsid w:val="000E039E"/>
    <w:rsid w:val="00120F01"/>
    <w:rsid w:val="00123261"/>
    <w:rsid w:val="001265A4"/>
    <w:rsid w:val="00126D57"/>
    <w:rsid w:val="00134522"/>
    <w:rsid w:val="001477B8"/>
    <w:rsid w:val="00147CC2"/>
    <w:rsid w:val="00152FCF"/>
    <w:rsid w:val="00153B8A"/>
    <w:rsid w:val="00161413"/>
    <w:rsid w:val="0017212C"/>
    <w:rsid w:val="0017768D"/>
    <w:rsid w:val="00183A91"/>
    <w:rsid w:val="001A3B1B"/>
    <w:rsid w:val="001B4ED0"/>
    <w:rsid w:val="001C04CA"/>
    <w:rsid w:val="001D3F60"/>
    <w:rsid w:val="001D4B5E"/>
    <w:rsid w:val="001D4CDA"/>
    <w:rsid w:val="00207B8E"/>
    <w:rsid w:val="0023011C"/>
    <w:rsid w:val="00254D31"/>
    <w:rsid w:val="00260A27"/>
    <w:rsid w:val="002A3EB5"/>
    <w:rsid w:val="002B2C1A"/>
    <w:rsid w:val="002B6F30"/>
    <w:rsid w:val="002D7E68"/>
    <w:rsid w:val="002E2BD4"/>
    <w:rsid w:val="002E4E5A"/>
    <w:rsid w:val="002E536F"/>
    <w:rsid w:val="002E58E0"/>
    <w:rsid w:val="00324D1B"/>
    <w:rsid w:val="00327AB2"/>
    <w:rsid w:val="0033453E"/>
    <w:rsid w:val="003400F8"/>
    <w:rsid w:val="00352CE6"/>
    <w:rsid w:val="00362FEE"/>
    <w:rsid w:val="00371C20"/>
    <w:rsid w:val="00391194"/>
    <w:rsid w:val="003B0D72"/>
    <w:rsid w:val="003B29DE"/>
    <w:rsid w:val="003B448A"/>
    <w:rsid w:val="003E544A"/>
    <w:rsid w:val="003F09DC"/>
    <w:rsid w:val="003F533C"/>
    <w:rsid w:val="003F5604"/>
    <w:rsid w:val="00402267"/>
    <w:rsid w:val="004051A0"/>
    <w:rsid w:val="00412D83"/>
    <w:rsid w:val="004504E9"/>
    <w:rsid w:val="00470688"/>
    <w:rsid w:val="00476D8E"/>
    <w:rsid w:val="0048515E"/>
    <w:rsid w:val="00492DA0"/>
    <w:rsid w:val="004956ED"/>
    <w:rsid w:val="004D6712"/>
    <w:rsid w:val="004E1EE7"/>
    <w:rsid w:val="004E3440"/>
    <w:rsid w:val="004F4204"/>
    <w:rsid w:val="005148C5"/>
    <w:rsid w:val="00515FEC"/>
    <w:rsid w:val="00525B81"/>
    <w:rsid w:val="00552C3D"/>
    <w:rsid w:val="0055306A"/>
    <w:rsid w:val="00556F9C"/>
    <w:rsid w:val="005600FD"/>
    <w:rsid w:val="005635B7"/>
    <w:rsid w:val="00567F7E"/>
    <w:rsid w:val="00571FA4"/>
    <w:rsid w:val="005837C2"/>
    <w:rsid w:val="005D27AC"/>
    <w:rsid w:val="006075B8"/>
    <w:rsid w:val="00665D44"/>
    <w:rsid w:val="0067142B"/>
    <w:rsid w:val="006A5401"/>
    <w:rsid w:val="006B4EBC"/>
    <w:rsid w:val="006C63C1"/>
    <w:rsid w:val="00717064"/>
    <w:rsid w:val="007271A1"/>
    <w:rsid w:val="00762B85"/>
    <w:rsid w:val="00786D0B"/>
    <w:rsid w:val="00793646"/>
    <w:rsid w:val="007A70A5"/>
    <w:rsid w:val="007D2419"/>
    <w:rsid w:val="007F0DAD"/>
    <w:rsid w:val="007F149C"/>
    <w:rsid w:val="007F4FAB"/>
    <w:rsid w:val="007F5C4F"/>
    <w:rsid w:val="00805692"/>
    <w:rsid w:val="00807440"/>
    <w:rsid w:val="0082451D"/>
    <w:rsid w:val="00837976"/>
    <w:rsid w:val="008613FF"/>
    <w:rsid w:val="0087511F"/>
    <w:rsid w:val="008B19C5"/>
    <w:rsid w:val="008B3728"/>
    <w:rsid w:val="008B4151"/>
    <w:rsid w:val="008B6A93"/>
    <w:rsid w:val="008C501D"/>
    <w:rsid w:val="008E3C1E"/>
    <w:rsid w:val="008F0934"/>
    <w:rsid w:val="008F0BDB"/>
    <w:rsid w:val="008F5CAC"/>
    <w:rsid w:val="00904DE6"/>
    <w:rsid w:val="00910493"/>
    <w:rsid w:val="0091559B"/>
    <w:rsid w:val="00927847"/>
    <w:rsid w:val="00933C27"/>
    <w:rsid w:val="009371DE"/>
    <w:rsid w:val="00962CFC"/>
    <w:rsid w:val="00971599"/>
    <w:rsid w:val="009A3C8F"/>
    <w:rsid w:val="009A6CBC"/>
    <w:rsid w:val="009B4763"/>
    <w:rsid w:val="009C23FF"/>
    <w:rsid w:val="009C5FCC"/>
    <w:rsid w:val="009C6BB7"/>
    <w:rsid w:val="009D014C"/>
    <w:rsid w:val="009E13C4"/>
    <w:rsid w:val="00A003B1"/>
    <w:rsid w:val="00A06C73"/>
    <w:rsid w:val="00A107AC"/>
    <w:rsid w:val="00A23BFB"/>
    <w:rsid w:val="00A26800"/>
    <w:rsid w:val="00A27D62"/>
    <w:rsid w:val="00A53A4A"/>
    <w:rsid w:val="00A6164F"/>
    <w:rsid w:val="00AA4E10"/>
    <w:rsid w:val="00AB0281"/>
    <w:rsid w:val="00AB71A5"/>
    <w:rsid w:val="00AB78FA"/>
    <w:rsid w:val="00AC2B4A"/>
    <w:rsid w:val="00B22894"/>
    <w:rsid w:val="00B31DC0"/>
    <w:rsid w:val="00B407C4"/>
    <w:rsid w:val="00B6270E"/>
    <w:rsid w:val="00BC36FD"/>
    <w:rsid w:val="00BC471C"/>
    <w:rsid w:val="00C04B1D"/>
    <w:rsid w:val="00C122C7"/>
    <w:rsid w:val="00C133EF"/>
    <w:rsid w:val="00C40F18"/>
    <w:rsid w:val="00C64261"/>
    <w:rsid w:val="00C66D3B"/>
    <w:rsid w:val="00C7002C"/>
    <w:rsid w:val="00CD03AE"/>
    <w:rsid w:val="00CD04F1"/>
    <w:rsid w:val="00CD0F8F"/>
    <w:rsid w:val="00CE2ABC"/>
    <w:rsid w:val="00CF0E22"/>
    <w:rsid w:val="00D000AA"/>
    <w:rsid w:val="00D02A2A"/>
    <w:rsid w:val="00D05176"/>
    <w:rsid w:val="00D1154D"/>
    <w:rsid w:val="00D233BB"/>
    <w:rsid w:val="00D24478"/>
    <w:rsid w:val="00D35467"/>
    <w:rsid w:val="00D4379B"/>
    <w:rsid w:val="00D44089"/>
    <w:rsid w:val="00D509D5"/>
    <w:rsid w:val="00D60A6B"/>
    <w:rsid w:val="00D6335D"/>
    <w:rsid w:val="00D63A76"/>
    <w:rsid w:val="00D83BEC"/>
    <w:rsid w:val="00DC011D"/>
    <w:rsid w:val="00DE2094"/>
    <w:rsid w:val="00DE6052"/>
    <w:rsid w:val="00DF0069"/>
    <w:rsid w:val="00DF6038"/>
    <w:rsid w:val="00E0730A"/>
    <w:rsid w:val="00E12C5F"/>
    <w:rsid w:val="00E31A14"/>
    <w:rsid w:val="00E70077"/>
    <w:rsid w:val="00EA0592"/>
    <w:rsid w:val="00EA1B66"/>
    <w:rsid w:val="00EA37FA"/>
    <w:rsid w:val="00EE52E3"/>
    <w:rsid w:val="00F01260"/>
    <w:rsid w:val="00F040DE"/>
    <w:rsid w:val="00F07C9B"/>
    <w:rsid w:val="00F11CAE"/>
    <w:rsid w:val="00F157E2"/>
    <w:rsid w:val="00F34FB5"/>
    <w:rsid w:val="00F63966"/>
    <w:rsid w:val="00F80A06"/>
    <w:rsid w:val="00F9433A"/>
    <w:rsid w:val="00FA0137"/>
    <w:rsid w:val="00FD5874"/>
    <w:rsid w:val="00FE21FE"/>
    <w:rsid w:val="00FF70DC"/>
    <w:rsid w:val="01253618"/>
    <w:rsid w:val="014F1409"/>
    <w:rsid w:val="01F110DF"/>
    <w:rsid w:val="01F210B5"/>
    <w:rsid w:val="02FF318E"/>
    <w:rsid w:val="033D60A4"/>
    <w:rsid w:val="036E06F6"/>
    <w:rsid w:val="0399735C"/>
    <w:rsid w:val="03AA286B"/>
    <w:rsid w:val="03D8635F"/>
    <w:rsid w:val="04D74C24"/>
    <w:rsid w:val="053F6C4E"/>
    <w:rsid w:val="057B10BC"/>
    <w:rsid w:val="05BD35D0"/>
    <w:rsid w:val="06AF260B"/>
    <w:rsid w:val="06EA3BF8"/>
    <w:rsid w:val="07B351A4"/>
    <w:rsid w:val="08147530"/>
    <w:rsid w:val="081A1D81"/>
    <w:rsid w:val="087A4334"/>
    <w:rsid w:val="0A493B50"/>
    <w:rsid w:val="0AA8308E"/>
    <w:rsid w:val="0AB96515"/>
    <w:rsid w:val="0B1453D0"/>
    <w:rsid w:val="0CBF6B8F"/>
    <w:rsid w:val="0CCC0499"/>
    <w:rsid w:val="0CF906EA"/>
    <w:rsid w:val="0D536553"/>
    <w:rsid w:val="0DE325EB"/>
    <w:rsid w:val="0F38795E"/>
    <w:rsid w:val="0FAD1646"/>
    <w:rsid w:val="0FC408CB"/>
    <w:rsid w:val="0FE35071"/>
    <w:rsid w:val="0FEE27C0"/>
    <w:rsid w:val="0FF31A39"/>
    <w:rsid w:val="109776BD"/>
    <w:rsid w:val="11124F40"/>
    <w:rsid w:val="11E659DB"/>
    <w:rsid w:val="13CF40C7"/>
    <w:rsid w:val="13E32782"/>
    <w:rsid w:val="140825E2"/>
    <w:rsid w:val="140B0571"/>
    <w:rsid w:val="144B5272"/>
    <w:rsid w:val="14F6718D"/>
    <w:rsid w:val="15A20227"/>
    <w:rsid w:val="16892E0D"/>
    <w:rsid w:val="1699208E"/>
    <w:rsid w:val="179F0A00"/>
    <w:rsid w:val="17A11C26"/>
    <w:rsid w:val="17BF3ED9"/>
    <w:rsid w:val="185E6889"/>
    <w:rsid w:val="19792039"/>
    <w:rsid w:val="1A6E7E3C"/>
    <w:rsid w:val="1A920A2B"/>
    <w:rsid w:val="1B077400"/>
    <w:rsid w:val="1B0A1D9C"/>
    <w:rsid w:val="1B167EB7"/>
    <w:rsid w:val="1B300B4C"/>
    <w:rsid w:val="1BB700A3"/>
    <w:rsid w:val="1D0B6B48"/>
    <w:rsid w:val="1DF3323E"/>
    <w:rsid w:val="1F027E72"/>
    <w:rsid w:val="1F4762D9"/>
    <w:rsid w:val="1FCB330F"/>
    <w:rsid w:val="20AB611C"/>
    <w:rsid w:val="22036D7B"/>
    <w:rsid w:val="22224F34"/>
    <w:rsid w:val="22D205C3"/>
    <w:rsid w:val="23974174"/>
    <w:rsid w:val="24903F50"/>
    <w:rsid w:val="24DB5972"/>
    <w:rsid w:val="25C35D0C"/>
    <w:rsid w:val="2611159E"/>
    <w:rsid w:val="26AC79F8"/>
    <w:rsid w:val="26AD3924"/>
    <w:rsid w:val="270255CD"/>
    <w:rsid w:val="270D18C6"/>
    <w:rsid w:val="272A7DCF"/>
    <w:rsid w:val="274D7F5D"/>
    <w:rsid w:val="284761BA"/>
    <w:rsid w:val="28897026"/>
    <w:rsid w:val="28A42CBF"/>
    <w:rsid w:val="28D35B48"/>
    <w:rsid w:val="294129C0"/>
    <w:rsid w:val="2C3D39D8"/>
    <w:rsid w:val="2CE644CE"/>
    <w:rsid w:val="2D3376A5"/>
    <w:rsid w:val="2D924B9F"/>
    <w:rsid w:val="2E541741"/>
    <w:rsid w:val="2E9266F0"/>
    <w:rsid w:val="2FAC137C"/>
    <w:rsid w:val="2FD4748B"/>
    <w:rsid w:val="2FE47A20"/>
    <w:rsid w:val="3186369A"/>
    <w:rsid w:val="32543AEF"/>
    <w:rsid w:val="32A54F3A"/>
    <w:rsid w:val="32B457B9"/>
    <w:rsid w:val="33806989"/>
    <w:rsid w:val="345D517B"/>
    <w:rsid w:val="35F51433"/>
    <w:rsid w:val="374024AE"/>
    <w:rsid w:val="37BB3EB8"/>
    <w:rsid w:val="37C82138"/>
    <w:rsid w:val="37D46424"/>
    <w:rsid w:val="38623ECA"/>
    <w:rsid w:val="387355A7"/>
    <w:rsid w:val="393F66F0"/>
    <w:rsid w:val="3A535AB2"/>
    <w:rsid w:val="3A6C4C3F"/>
    <w:rsid w:val="3A6C78C5"/>
    <w:rsid w:val="3A9F053B"/>
    <w:rsid w:val="3ACC4283"/>
    <w:rsid w:val="3B552897"/>
    <w:rsid w:val="3BBB5263"/>
    <w:rsid w:val="3C3A425E"/>
    <w:rsid w:val="3D631883"/>
    <w:rsid w:val="3E18733F"/>
    <w:rsid w:val="3E5F2DCD"/>
    <w:rsid w:val="3E6F3D0B"/>
    <w:rsid w:val="3E88419A"/>
    <w:rsid w:val="404C260E"/>
    <w:rsid w:val="4094695A"/>
    <w:rsid w:val="415F2081"/>
    <w:rsid w:val="419B1B51"/>
    <w:rsid w:val="41BA2F5F"/>
    <w:rsid w:val="41F8770C"/>
    <w:rsid w:val="421B7E30"/>
    <w:rsid w:val="4294059C"/>
    <w:rsid w:val="43017F33"/>
    <w:rsid w:val="43E7354A"/>
    <w:rsid w:val="44B26AF2"/>
    <w:rsid w:val="45001388"/>
    <w:rsid w:val="45636D4B"/>
    <w:rsid w:val="45F771D2"/>
    <w:rsid w:val="462426B3"/>
    <w:rsid w:val="464C5DEA"/>
    <w:rsid w:val="47240EDC"/>
    <w:rsid w:val="472448AA"/>
    <w:rsid w:val="47F21D9E"/>
    <w:rsid w:val="481F6480"/>
    <w:rsid w:val="48303B90"/>
    <w:rsid w:val="48475594"/>
    <w:rsid w:val="48A02511"/>
    <w:rsid w:val="48D710F1"/>
    <w:rsid w:val="4B177C58"/>
    <w:rsid w:val="4C4E6014"/>
    <w:rsid w:val="4CEA184B"/>
    <w:rsid w:val="4D52432F"/>
    <w:rsid w:val="4FAA1A3C"/>
    <w:rsid w:val="500046A3"/>
    <w:rsid w:val="507B5E3F"/>
    <w:rsid w:val="515047EE"/>
    <w:rsid w:val="51F872B4"/>
    <w:rsid w:val="52817309"/>
    <w:rsid w:val="537A2E45"/>
    <w:rsid w:val="542459DD"/>
    <w:rsid w:val="54FE6351"/>
    <w:rsid w:val="550F4390"/>
    <w:rsid w:val="551940CB"/>
    <w:rsid w:val="55700B82"/>
    <w:rsid w:val="55985CA9"/>
    <w:rsid w:val="55B65C7B"/>
    <w:rsid w:val="566C5470"/>
    <w:rsid w:val="576D638C"/>
    <w:rsid w:val="57960962"/>
    <w:rsid w:val="57A37873"/>
    <w:rsid w:val="57DA7304"/>
    <w:rsid w:val="58492858"/>
    <w:rsid w:val="588940D6"/>
    <w:rsid w:val="588F3530"/>
    <w:rsid w:val="59A62F59"/>
    <w:rsid w:val="59D1158B"/>
    <w:rsid w:val="5B793A89"/>
    <w:rsid w:val="5C442121"/>
    <w:rsid w:val="5C6D042E"/>
    <w:rsid w:val="5D2A2258"/>
    <w:rsid w:val="5D792B3F"/>
    <w:rsid w:val="5E587A58"/>
    <w:rsid w:val="5F3E7401"/>
    <w:rsid w:val="5F4119E6"/>
    <w:rsid w:val="5FC346A4"/>
    <w:rsid w:val="60405A83"/>
    <w:rsid w:val="62977579"/>
    <w:rsid w:val="637800F7"/>
    <w:rsid w:val="639745EE"/>
    <w:rsid w:val="64045A8A"/>
    <w:rsid w:val="64092BBF"/>
    <w:rsid w:val="647312D1"/>
    <w:rsid w:val="650D4F18"/>
    <w:rsid w:val="65206DF6"/>
    <w:rsid w:val="655E5C0C"/>
    <w:rsid w:val="65601B04"/>
    <w:rsid w:val="65BB75DF"/>
    <w:rsid w:val="67686DFE"/>
    <w:rsid w:val="677C645A"/>
    <w:rsid w:val="67BF08A5"/>
    <w:rsid w:val="67C76181"/>
    <w:rsid w:val="67E70109"/>
    <w:rsid w:val="685A03DF"/>
    <w:rsid w:val="68790EFE"/>
    <w:rsid w:val="69EE41A7"/>
    <w:rsid w:val="6A3231CD"/>
    <w:rsid w:val="6A4E1D0F"/>
    <w:rsid w:val="6AC75BB5"/>
    <w:rsid w:val="6ADB7873"/>
    <w:rsid w:val="6B8C502A"/>
    <w:rsid w:val="6C7A6008"/>
    <w:rsid w:val="6CAE2A65"/>
    <w:rsid w:val="6CD8750D"/>
    <w:rsid w:val="6D0E1CC1"/>
    <w:rsid w:val="6E397D04"/>
    <w:rsid w:val="6ECE5D47"/>
    <w:rsid w:val="6F1549F2"/>
    <w:rsid w:val="6F9C08DE"/>
    <w:rsid w:val="6FC14A45"/>
    <w:rsid w:val="70AB06C0"/>
    <w:rsid w:val="72AB3DF8"/>
    <w:rsid w:val="72FA0F81"/>
    <w:rsid w:val="740D5B28"/>
    <w:rsid w:val="7588548C"/>
    <w:rsid w:val="75994786"/>
    <w:rsid w:val="76603476"/>
    <w:rsid w:val="774277EA"/>
    <w:rsid w:val="776A17F9"/>
    <w:rsid w:val="77C465B9"/>
    <w:rsid w:val="77E42B49"/>
    <w:rsid w:val="77EF1307"/>
    <w:rsid w:val="77FF07E2"/>
    <w:rsid w:val="78800A82"/>
    <w:rsid w:val="79166812"/>
    <w:rsid w:val="79334A1C"/>
    <w:rsid w:val="79B625B9"/>
    <w:rsid w:val="7ADD7D46"/>
    <w:rsid w:val="7AF62D5C"/>
    <w:rsid w:val="7B9E4F89"/>
    <w:rsid w:val="7BA24AC5"/>
    <w:rsid w:val="7C397184"/>
    <w:rsid w:val="7CF961D4"/>
    <w:rsid w:val="7DA13B89"/>
    <w:rsid w:val="7F0037DD"/>
    <w:rsid w:val="7F087E05"/>
    <w:rsid w:val="7F2C1EF6"/>
    <w:rsid w:val="7F3A7A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bCs/>
      <w:kern w:val="2"/>
      <w:sz w:val="32"/>
      <w:szCs w:val="32"/>
      <w:lang w:val="en-US" w:eastAsia="zh-CN" w:bidi="ar-SA"/>
    </w:rPr>
  </w:style>
  <w:style w:type="paragraph" w:styleId="a3">
    <w:name w:val="Document Map"/>
    <w:basedOn w:val="a"/>
    <w:link w:val="Char"/>
    <w:rPr>
      <w:rFonts w:ascii="宋体" w:eastAsia="宋体"/>
      <w:sz w:val="18"/>
      <w:szCs w:val="18"/>
    </w:rPr>
  </w:style>
  <w:style w:type="character" w:customStyle="1" w:styleId="Char">
    <w:name w:val="文档结构图 Char"/>
    <w:basedOn w:val="a0"/>
    <w:link w:val="a3"/>
    <w:rPr>
      <w:rFonts w:ascii="宋体"/>
      <w:kern w:val="2"/>
      <w:sz w:val="18"/>
      <w:szCs w:val="18"/>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pPr>
      <w:snapToGrid w:val="0"/>
      <w:jc w:val="left"/>
    </w:pPr>
    <w:rPr>
      <w:rFonts w:eastAsia="宋体"/>
      <w:sz w:val="18"/>
    </w:rPr>
  </w:style>
  <w:style w:type="paragraph" w:styleId="a8">
    <w:name w:val="Normal (Web)"/>
    <w:basedOn w:val="a"/>
    <w:pPr>
      <w:widowControl/>
      <w:jc w:val="left"/>
    </w:pPr>
    <w:rPr>
      <w:rFonts w:ascii="宋体" w:eastAsia="宋体" w:hAnsi="宋体" w:cs="宋体"/>
      <w:kern w:val="0"/>
      <w:sz w:val="18"/>
      <w:szCs w:val="18"/>
    </w:rPr>
  </w:style>
  <w:style w:type="character" w:styleId="a9">
    <w:name w:val="FollowedHyperlink"/>
    <w:rPr>
      <w:color w:val="666666"/>
      <w:u w:val="none"/>
    </w:rPr>
  </w:style>
  <w:style w:type="character" w:styleId="aa">
    <w:name w:val="Hyperlink"/>
    <w:rPr>
      <w:color w:val="666666"/>
      <w:u w:val="none"/>
    </w:rPr>
  </w:style>
  <w:style w:type="character" w:styleId="ab">
    <w:name w:val="footnote reference"/>
    <w:rPr>
      <w:vertAlign w:val="superscript"/>
    </w:rPr>
  </w:style>
  <w:style w:type="character" w:customStyle="1" w:styleId="over2">
    <w:name w:val="over2"/>
    <w:basedOn w:val="a0"/>
  </w:style>
  <w:style w:type="character" w:customStyle="1" w:styleId="over1">
    <w:name w:val="over1"/>
    <w:basedOn w:val="a0"/>
  </w:style>
  <w:style w:type="character" w:customStyle="1" w:styleId="hot49">
    <w:name w:val="hot49"/>
    <w:basedOn w:val="a0"/>
  </w:style>
  <w:style w:type="character" w:customStyle="1" w:styleId="hover49">
    <w:name w:val="hover49"/>
    <w:rPr>
      <w:color w:val="666666"/>
    </w:rPr>
  </w:style>
  <w:style w:type="character" w:customStyle="1" w:styleId="hover50">
    <w:name w:val="hover50"/>
    <w:rPr>
      <w:color w:val="FFFFFF"/>
      <w:shd w:val="clear" w:color="auto" w:fill="ED686E"/>
    </w:rPr>
  </w:style>
  <w:style w:type="character" w:customStyle="1" w:styleId="txtcontent11">
    <w:name w:val="txtcontent11"/>
    <w:rPr>
      <w:rFonts w:ascii="ˎ̥" w:hAnsi="ˎ̥" w:hint="default"/>
      <w:b w:val="0"/>
      <w:bCs w:val="0"/>
      <w:color w:val="000000"/>
      <w:sz w:val="21"/>
      <w:szCs w:val="21"/>
    </w:rPr>
  </w:style>
  <w:style w:type="character" w:customStyle="1" w:styleId="bg2">
    <w:name w:val="bg2"/>
    <w:basedOn w:val="a0"/>
  </w:style>
  <w:style w:type="character" w:customStyle="1" w:styleId="hot46">
    <w:name w:val="hot46"/>
    <w:basedOn w:val="a0"/>
  </w:style>
  <w:style w:type="character" w:customStyle="1" w:styleId="az">
    <w:name w:val="az"/>
    <w:rPr>
      <w:bdr w:val="single" w:sz="6" w:space="0" w:color="DFDFDF"/>
    </w:rPr>
  </w:style>
  <w:style w:type="character" w:customStyle="1" w:styleId="hover59">
    <w:name w:val="hover59"/>
    <w:rPr>
      <w:color w:val="666666"/>
    </w:rPr>
  </w:style>
  <w:style w:type="character" w:customStyle="1" w:styleId="over">
    <w:name w:val="over"/>
    <w:basedOn w:val="a0"/>
  </w:style>
  <w:style w:type="character" w:customStyle="1" w:styleId="bg5">
    <w:name w:val="bg5"/>
    <w:basedOn w:val="a0"/>
  </w:style>
  <w:style w:type="character" w:customStyle="1" w:styleId="bg11">
    <w:name w:val="bg11"/>
    <w:basedOn w:val="a0"/>
  </w:style>
  <w:style w:type="character" w:customStyle="1" w:styleId="hover47">
    <w:name w:val="hover47"/>
    <w:rPr>
      <w:color w:val="FFFFFF"/>
      <w:shd w:val="clear" w:color="auto" w:fill="EDC211"/>
    </w:rPr>
  </w:style>
  <w:style w:type="character" w:customStyle="1" w:styleId="hover60">
    <w:name w:val="hover60"/>
    <w:rPr>
      <w:color w:val="FFFFFF"/>
      <w:shd w:val="clear" w:color="auto" w:fill="ED686E"/>
    </w:rPr>
  </w:style>
  <w:style w:type="character" w:customStyle="1" w:styleId="bg41">
    <w:name w:val="bg41"/>
    <w:basedOn w:val="a0"/>
  </w:style>
  <w:style w:type="character" w:customStyle="1" w:styleId="bg1">
    <w:name w:val="bg1"/>
    <w:basedOn w:val="a0"/>
  </w:style>
  <w:style w:type="character" w:customStyle="1" w:styleId="hover56">
    <w:name w:val="hover56"/>
    <w:rPr>
      <w:color w:val="666666"/>
    </w:rPr>
  </w:style>
  <w:style w:type="character" w:customStyle="1" w:styleId="bg31">
    <w:name w:val="bg31"/>
    <w:basedOn w:val="a0"/>
  </w:style>
  <w:style w:type="character" w:customStyle="1" w:styleId="bg4">
    <w:name w:val="bg4"/>
    <w:basedOn w:val="a0"/>
  </w:style>
  <w:style w:type="character" w:customStyle="1" w:styleId="ls">
    <w:name w:val="ls"/>
    <w:rPr>
      <w:color w:val="666666"/>
    </w:rPr>
  </w:style>
  <w:style w:type="character" w:customStyle="1" w:styleId="hover55">
    <w:name w:val="hover55"/>
    <w:rPr>
      <w:color w:val="FFFFFF"/>
      <w:shd w:val="clear" w:color="auto" w:fill="C9A363"/>
    </w:rPr>
  </w:style>
  <w:style w:type="character" w:customStyle="1" w:styleId="bg21">
    <w:name w:val="bg21"/>
    <w:basedOn w:val="a0"/>
  </w:style>
  <w:style w:type="character" w:customStyle="1" w:styleId="hover48">
    <w:name w:val="hover48"/>
    <w:rPr>
      <w:color w:val="FFFFFF"/>
      <w:shd w:val="clear" w:color="auto" w:fill="C9A363"/>
    </w:rPr>
  </w:style>
  <w:style w:type="character" w:customStyle="1" w:styleId="hover58">
    <w:name w:val="hover58"/>
    <w:rPr>
      <w:color w:val="FFFFFF"/>
      <w:shd w:val="clear" w:color="auto" w:fill="C9A363"/>
    </w:rPr>
  </w:style>
  <w:style w:type="character" w:customStyle="1" w:styleId="lsx">
    <w:name w:val="lsx"/>
    <w:rPr>
      <w:color w:val="00FF00"/>
    </w:rPr>
  </w:style>
  <w:style w:type="character" w:customStyle="1" w:styleId="bg3">
    <w:name w:val="bg3"/>
    <w:basedOn w:val="a0"/>
  </w:style>
  <w:style w:type="character" w:customStyle="1" w:styleId="ios">
    <w:name w:val="ios"/>
    <w:rPr>
      <w:bdr w:val="single" w:sz="6" w:space="0" w:color="DFDFDF"/>
    </w:rPr>
  </w:style>
  <w:style w:type="character" w:customStyle="1" w:styleId="hover57">
    <w:name w:val="hover57"/>
    <w:rPr>
      <w:color w:val="FFFFFF"/>
      <w:shd w:val="clear" w:color="auto" w:fill="EDC211"/>
    </w:rPr>
  </w:style>
  <w:style w:type="character" w:customStyle="1" w:styleId="hover54">
    <w:name w:val="hover54"/>
    <w:basedOn w:val="a0"/>
    <w:rPr>
      <w:color w:val="FFFFFF"/>
      <w:shd w:val="clear" w:color="auto" w:fill="C9A363"/>
    </w:rPr>
  </w:style>
  <w:style w:type="character" w:customStyle="1" w:styleId="da">
    <w:name w:val="da"/>
    <w:basedOn w:val="a0"/>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eastAsia="宋体"/>
      <w:kern w:val="0"/>
      <w:sz w:val="34"/>
    </w:rPr>
  </w:style>
  <w:style w:type="paragraph" w:customStyle="1" w:styleId="Default">
    <w:name w:val="Default"/>
    <w:uiPriority w:val="99"/>
    <w:unhideWhenUsed/>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1567</Characters>
  <Application>Microsoft Office Word</Application>
  <DocSecurity>4</DocSecurity>
  <PresentationFormat/>
  <Lines>13</Lines>
  <Paragraphs>3</Paragraphs>
  <Slides>0</Slides>
  <Notes>0</Notes>
  <HiddenSlides>0</HiddenSlides>
  <MMClips>0</MMClips>
  <ScaleCrop>false</ScaleCrop>
  <Manager/>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2025年度东吴添瑞三个月定期开放债券型证券投资基金分红公告</dc:title>
  <dc:subject/>
  <dc:creator>dingxue</dc:creator>
  <cp:keywords/>
  <dc:description/>
  <cp:lastModifiedBy>ZHONGM</cp:lastModifiedBy>
  <cp:revision>2</cp:revision>
  <cp:lastPrinted>2015-01-08T00:28:00Z</cp:lastPrinted>
  <dcterms:created xsi:type="dcterms:W3CDTF">2026-01-08T16:01:00Z</dcterms:created>
  <dcterms:modified xsi:type="dcterms:W3CDTF">2026-01-08T16:01:00Z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06927D319F7340F9853C86E4B888A95F_13</vt:lpwstr>
  </property>
</Properties>
</file>