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1261">
      <w:pPr>
        <w:tabs>
          <w:tab w:val="left" w:pos="8280"/>
        </w:tabs>
        <w:spacing w:line="360" w:lineRule="auto"/>
        <w:jc w:val="center"/>
        <w:rPr>
          <w:rFonts w:ascii="黑体" w:eastAsia="黑体" w:hAnsi="黑体" w:cs="黑体" w:hint="eastAsia"/>
          <w:b/>
          <w:sz w:val="30"/>
          <w:szCs w:val="30"/>
        </w:rPr>
      </w:pPr>
      <w:r>
        <w:rPr>
          <w:rFonts w:ascii="黑体" w:eastAsia="黑体" w:hAnsi="黑体" w:cs="黑体" w:hint="eastAsia"/>
          <w:b/>
          <w:sz w:val="30"/>
          <w:szCs w:val="30"/>
        </w:rPr>
        <w:t>东吴嘉禾优势精选混合型开放式证券投资基金暂停非个人投资者</w:t>
      </w:r>
      <w:r>
        <w:rPr>
          <w:rFonts w:ascii="黑体" w:eastAsia="黑体" w:hAnsi="黑体" w:cs="黑体" w:hint="eastAsia"/>
          <w:b/>
          <w:sz w:val="30"/>
          <w:szCs w:val="30"/>
        </w:rPr>
        <w:t>大额申购</w:t>
      </w:r>
      <w:r>
        <w:rPr>
          <w:rFonts w:ascii="黑体" w:eastAsia="黑体" w:hAnsi="黑体" w:cs="黑体" w:hint="eastAsia"/>
          <w:b/>
          <w:sz w:val="30"/>
          <w:szCs w:val="30"/>
        </w:rPr>
        <w:t>（含定期定额投资）、</w:t>
      </w:r>
      <w:r>
        <w:rPr>
          <w:rFonts w:ascii="黑体" w:eastAsia="黑体" w:hAnsi="黑体" w:cs="黑体" w:hint="eastAsia"/>
          <w:b/>
          <w:sz w:val="30"/>
          <w:szCs w:val="30"/>
        </w:rPr>
        <w:t>大额转换转入</w:t>
      </w:r>
      <w:r>
        <w:rPr>
          <w:rFonts w:ascii="黑体" w:eastAsia="黑体" w:hAnsi="黑体" w:cs="黑体" w:hint="eastAsia"/>
          <w:b/>
          <w:sz w:val="30"/>
          <w:szCs w:val="30"/>
        </w:rPr>
        <w:t>业务的</w:t>
      </w:r>
      <w:r>
        <w:rPr>
          <w:rFonts w:ascii="黑体" w:eastAsia="黑体" w:hAnsi="黑体" w:cs="黑体" w:hint="eastAsia"/>
          <w:b/>
          <w:sz w:val="30"/>
          <w:szCs w:val="30"/>
        </w:rPr>
        <w:t>公告</w:t>
      </w:r>
    </w:p>
    <w:p w:rsidR="00000000" w:rsidRDefault="00C31261">
      <w:pPr>
        <w:jc w:val="center"/>
        <w:rPr>
          <w:rFonts w:eastAsia="宋体" w:hint="eastAsia"/>
          <w:b/>
          <w:sz w:val="24"/>
          <w:szCs w:val="24"/>
        </w:rPr>
      </w:pPr>
    </w:p>
    <w:p w:rsidR="00000000" w:rsidRDefault="00C31261">
      <w:pPr>
        <w:jc w:val="center"/>
        <w:rPr>
          <w:rFonts w:eastAsia="宋体" w:cs="宋体" w:hint="eastAsia"/>
          <w:sz w:val="24"/>
        </w:rPr>
      </w:pPr>
      <w:r>
        <w:rPr>
          <w:rFonts w:eastAsia="宋体" w:cs="宋体" w:hint="eastAsia"/>
          <w:sz w:val="24"/>
        </w:rPr>
        <w:t>公告送出日期：</w:t>
      </w:r>
      <w:r>
        <w:rPr>
          <w:rFonts w:eastAsia="宋体" w:cs="宋体" w:hint="eastAsia"/>
          <w:sz w:val="24"/>
        </w:rPr>
        <w:t>202</w:t>
      </w:r>
      <w:r>
        <w:rPr>
          <w:rFonts w:eastAsia="宋体" w:cs="宋体" w:hint="eastAsia"/>
          <w:sz w:val="24"/>
        </w:rPr>
        <w:t>6</w:t>
      </w:r>
      <w:r>
        <w:rPr>
          <w:rFonts w:eastAsia="宋体" w:cs="宋体" w:hint="eastAsia"/>
          <w:sz w:val="24"/>
        </w:rPr>
        <w:t>年</w:t>
      </w:r>
      <w:r>
        <w:rPr>
          <w:rFonts w:eastAsia="宋体" w:cs="宋体" w:hint="eastAsia"/>
          <w:sz w:val="24"/>
        </w:rPr>
        <w:t>1</w:t>
      </w:r>
      <w:r>
        <w:rPr>
          <w:rFonts w:eastAsia="宋体" w:cs="宋体" w:hint="eastAsia"/>
          <w:sz w:val="24"/>
        </w:rPr>
        <w:t>月</w:t>
      </w:r>
      <w:r>
        <w:rPr>
          <w:rFonts w:eastAsia="宋体" w:cs="宋体" w:hint="eastAsia"/>
          <w:sz w:val="24"/>
        </w:rPr>
        <w:t>8</w:t>
      </w:r>
      <w:r>
        <w:rPr>
          <w:rFonts w:eastAsia="宋体" w:cs="宋体" w:hint="eastAsia"/>
          <w:sz w:val="24"/>
        </w:rPr>
        <w:t>日</w:t>
      </w:r>
      <w:r>
        <w:rPr>
          <w:rFonts w:eastAsia="宋体" w:cs="宋体" w:hint="eastAsia"/>
          <w:sz w:val="24"/>
        </w:rPr>
        <w:t xml:space="preserve"> </w:t>
      </w:r>
    </w:p>
    <w:p w:rsidR="00000000" w:rsidRDefault="00C31261">
      <w:pPr>
        <w:pStyle w:val="2"/>
        <w:spacing w:line="240" w:lineRule="exact"/>
        <w:rPr>
          <w:rFonts w:ascii="Times New Roman" w:eastAsia="宋体" w:hAnsi="Times New Roman" w:cs="宋体" w:hint="eastAsia"/>
          <w:bCs w:val="0"/>
          <w:sz w:val="24"/>
          <w:szCs w:val="24"/>
        </w:rPr>
      </w:pPr>
      <w:bookmarkStart w:id="0" w:name="_Toc275961405"/>
      <w:r>
        <w:rPr>
          <w:rFonts w:ascii="Times New Roman" w:eastAsia="宋体" w:hAnsi="Times New Roman" w:cs="宋体" w:hint="eastAsia"/>
          <w:bCs w:val="0"/>
          <w:sz w:val="24"/>
          <w:szCs w:val="24"/>
        </w:rPr>
        <w:t xml:space="preserve">1 </w:t>
      </w:r>
      <w:r>
        <w:rPr>
          <w:rFonts w:ascii="Times New Roman" w:eastAsia="宋体" w:hAnsi="Times New Roman" w:cs="宋体" w:hint="eastAsia"/>
          <w:bCs w:val="0"/>
          <w:sz w:val="24"/>
          <w:szCs w:val="24"/>
        </w:rPr>
        <w:t>公告基本信息</w:t>
      </w:r>
      <w:bookmarkEnd w:id="0"/>
    </w:p>
    <w:tbl>
      <w:tblPr>
        <w:tblW w:w="85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6"/>
        <w:gridCol w:w="2604"/>
        <w:gridCol w:w="2205"/>
        <w:gridCol w:w="2211"/>
      </w:tblGrid>
      <w:tr w:rsidR="00000000">
        <w:trPr>
          <w:jc w:val="center"/>
        </w:trPr>
        <w:tc>
          <w:tcPr>
            <w:tcW w:w="4090" w:type="dxa"/>
            <w:gridSpan w:val="2"/>
            <w:vAlign w:val="center"/>
          </w:tcPr>
          <w:p w:rsidR="00000000" w:rsidRDefault="00C31261">
            <w:pPr>
              <w:spacing w:line="400" w:lineRule="exact"/>
              <w:rPr>
                <w:rFonts w:eastAsia="宋体" w:cs="宋体" w:hint="eastAsia"/>
                <w:sz w:val="21"/>
                <w:szCs w:val="21"/>
                <w:highlight w:val="cyan"/>
              </w:rPr>
            </w:pPr>
            <w:r>
              <w:rPr>
                <w:rFonts w:eastAsia="宋体" w:cs="宋体" w:hint="eastAsia"/>
                <w:sz w:val="21"/>
                <w:szCs w:val="21"/>
              </w:rPr>
              <w:t>基金名称</w:t>
            </w:r>
          </w:p>
        </w:tc>
        <w:tc>
          <w:tcPr>
            <w:tcW w:w="4416" w:type="dxa"/>
            <w:gridSpan w:val="2"/>
            <w:vAlign w:val="center"/>
          </w:tcPr>
          <w:p w:rsidR="00000000" w:rsidRDefault="00C31261">
            <w:pPr>
              <w:spacing w:line="400" w:lineRule="exact"/>
              <w:rPr>
                <w:rFonts w:eastAsia="宋体" w:cs="宋体" w:hint="eastAsia"/>
                <w:sz w:val="21"/>
                <w:szCs w:val="21"/>
                <w:highlight w:val="cyan"/>
              </w:rPr>
            </w:pPr>
            <w:r>
              <w:rPr>
                <w:rFonts w:eastAsia="宋体" w:cs="宋体" w:hint="eastAsia"/>
                <w:sz w:val="21"/>
                <w:szCs w:val="21"/>
              </w:rPr>
              <w:t>东吴嘉禾优势精选混合型开放式证券投资基金</w:t>
            </w:r>
          </w:p>
        </w:tc>
      </w:tr>
      <w:tr w:rsidR="00000000">
        <w:trPr>
          <w:jc w:val="center"/>
        </w:trPr>
        <w:tc>
          <w:tcPr>
            <w:tcW w:w="4090"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sz w:val="21"/>
                <w:szCs w:val="21"/>
              </w:rPr>
              <w:t>基金简称</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东吴嘉禾优势精选混合</w:t>
            </w:r>
          </w:p>
        </w:tc>
      </w:tr>
      <w:tr w:rsidR="00000000">
        <w:trPr>
          <w:jc w:val="center"/>
        </w:trPr>
        <w:tc>
          <w:tcPr>
            <w:tcW w:w="4090"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sz w:val="21"/>
                <w:szCs w:val="21"/>
              </w:rPr>
              <w:t>基金主代码</w:t>
            </w:r>
          </w:p>
        </w:tc>
        <w:tc>
          <w:tcPr>
            <w:tcW w:w="4416" w:type="dxa"/>
            <w:gridSpan w:val="2"/>
            <w:vAlign w:val="center"/>
          </w:tcPr>
          <w:p w:rsidR="00000000" w:rsidRDefault="00C31261">
            <w:pPr>
              <w:spacing w:line="400" w:lineRule="exact"/>
              <w:rPr>
                <w:rFonts w:eastAsia="宋体" w:cs="宋体"/>
                <w:kern w:val="0"/>
                <w:sz w:val="21"/>
                <w:szCs w:val="21"/>
              </w:rPr>
            </w:pPr>
            <w:r>
              <w:rPr>
                <w:rFonts w:eastAsia="宋体" w:cs="宋体" w:hint="eastAsia"/>
                <w:kern w:val="0"/>
                <w:sz w:val="21"/>
                <w:szCs w:val="21"/>
              </w:rPr>
              <w:t>580001</w:t>
            </w:r>
          </w:p>
        </w:tc>
      </w:tr>
      <w:tr w:rsidR="00000000">
        <w:trPr>
          <w:jc w:val="center"/>
        </w:trPr>
        <w:tc>
          <w:tcPr>
            <w:tcW w:w="4090"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sz w:val="21"/>
                <w:szCs w:val="21"/>
              </w:rPr>
              <w:t>基金管理人名称</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东吴基金管理有限公司</w:t>
            </w:r>
          </w:p>
        </w:tc>
      </w:tr>
      <w:tr w:rsidR="00000000">
        <w:trPr>
          <w:jc w:val="center"/>
        </w:trPr>
        <w:tc>
          <w:tcPr>
            <w:tcW w:w="4090"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sz w:val="21"/>
                <w:szCs w:val="21"/>
              </w:rPr>
              <w:t>公告依据</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根据《中华人民共和国证券投资基金法》《公开募集证券投资基金运作管理办法》《公开募集证券投资基金信息披露管理办法》等相关法律法规及《东吴嘉禾优势精选混合型开放式证券投资基金基金合同》《</w:t>
            </w:r>
            <w:r>
              <w:rPr>
                <w:rFonts w:eastAsia="宋体" w:cs="宋体" w:hint="eastAsia"/>
                <w:kern w:val="0"/>
                <w:sz w:val="21"/>
                <w:szCs w:val="21"/>
              </w:rPr>
              <w:t>东吴嘉禾优势精选混合型开放式证券投资基金招募说明书》及其更新等相关规定。</w:t>
            </w:r>
          </w:p>
        </w:tc>
      </w:tr>
      <w:tr w:rsidR="00000000">
        <w:trPr>
          <w:jc w:val="center"/>
        </w:trPr>
        <w:tc>
          <w:tcPr>
            <w:tcW w:w="1486" w:type="dxa"/>
            <w:vMerge w:val="restart"/>
            <w:vAlign w:val="center"/>
          </w:tcPr>
          <w:p w:rsidR="00000000" w:rsidRDefault="00C31261">
            <w:pPr>
              <w:spacing w:line="400" w:lineRule="exact"/>
              <w:rPr>
                <w:rFonts w:eastAsia="宋体" w:cs="宋体" w:hint="eastAsia"/>
                <w:sz w:val="21"/>
                <w:szCs w:val="21"/>
              </w:rPr>
            </w:pPr>
            <w:r>
              <w:rPr>
                <w:rFonts w:eastAsia="宋体" w:cs="宋体" w:hint="eastAsia"/>
                <w:sz w:val="21"/>
                <w:szCs w:val="21"/>
              </w:rPr>
              <w:t>暂停</w:t>
            </w:r>
            <w:r>
              <w:rPr>
                <w:rFonts w:eastAsia="宋体" w:cs="宋体" w:hint="eastAsia"/>
                <w:sz w:val="21"/>
                <w:szCs w:val="21"/>
              </w:rPr>
              <w:t>非个人投资者</w:t>
            </w:r>
            <w:r>
              <w:rPr>
                <w:rFonts w:eastAsia="宋体" w:cs="宋体" w:hint="eastAsia"/>
                <w:sz w:val="21"/>
                <w:szCs w:val="21"/>
              </w:rPr>
              <w:t>相关业务的起始日、金额及原因说明</w:t>
            </w:r>
          </w:p>
        </w:tc>
        <w:tc>
          <w:tcPr>
            <w:tcW w:w="2604" w:type="dxa"/>
          </w:tcPr>
          <w:p w:rsidR="00000000" w:rsidRDefault="00C31261">
            <w:pPr>
              <w:spacing w:line="400" w:lineRule="exact"/>
              <w:rPr>
                <w:rFonts w:eastAsia="宋体" w:cs="宋体" w:hint="eastAsia"/>
                <w:kern w:val="0"/>
                <w:sz w:val="21"/>
                <w:szCs w:val="21"/>
              </w:rPr>
            </w:pPr>
            <w:r>
              <w:rPr>
                <w:rFonts w:eastAsia="宋体" w:cs="宋体" w:hint="eastAsia"/>
                <w:sz w:val="21"/>
                <w:szCs w:val="21"/>
              </w:rPr>
              <w:t>暂停（大额）申购起始日</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8</w:t>
            </w:r>
            <w:r>
              <w:rPr>
                <w:rFonts w:eastAsia="宋体" w:cs="宋体" w:hint="eastAsia"/>
                <w:kern w:val="0"/>
                <w:sz w:val="21"/>
                <w:szCs w:val="21"/>
              </w:rPr>
              <w:t>日</w:t>
            </w:r>
          </w:p>
        </w:tc>
      </w:tr>
      <w:tr w:rsidR="00000000">
        <w:trPr>
          <w:jc w:val="center"/>
        </w:trPr>
        <w:tc>
          <w:tcPr>
            <w:tcW w:w="1486" w:type="dxa"/>
            <w:vMerge/>
          </w:tcPr>
          <w:p w:rsidR="00000000" w:rsidRDefault="00C31261">
            <w:pPr>
              <w:spacing w:line="400" w:lineRule="exact"/>
              <w:rPr>
                <w:rFonts w:eastAsia="宋体" w:cs="宋体" w:hint="eastAsia"/>
                <w:sz w:val="21"/>
                <w:szCs w:val="21"/>
              </w:rPr>
            </w:pPr>
          </w:p>
        </w:tc>
        <w:tc>
          <w:tcPr>
            <w:tcW w:w="2604" w:type="dxa"/>
          </w:tcPr>
          <w:p w:rsidR="00000000" w:rsidRDefault="00C31261">
            <w:pPr>
              <w:spacing w:line="400" w:lineRule="exact"/>
              <w:rPr>
                <w:rFonts w:eastAsia="宋体" w:cs="宋体" w:hint="eastAsia"/>
                <w:kern w:val="0"/>
                <w:sz w:val="21"/>
                <w:szCs w:val="21"/>
              </w:rPr>
            </w:pPr>
            <w:r>
              <w:rPr>
                <w:rFonts w:eastAsia="宋体" w:cs="宋体" w:hint="eastAsia"/>
                <w:sz w:val="21"/>
                <w:szCs w:val="21"/>
              </w:rPr>
              <w:t>暂停（大额）转换转入起始日</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8</w:t>
            </w:r>
            <w:r>
              <w:rPr>
                <w:rFonts w:eastAsia="宋体" w:cs="宋体" w:hint="eastAsia"/>
                <w:kern w:val="0"/>
                <w:sz w:val="21"/>
                <w:szCs w:val="21"/>
              </w:rPr>
              <w:t>日</w:t>
            </w:r>
          </w:p>
        </w:tc>
      </w:tr>
      <w:tr w:rsidR="00000000">
        <w:trPr>
          <w:jc w:val="center"/>
        </w:trPr>
        <w:tc>
          <w:tcPr>
            <w:tcW w:w="1486" w:type="dxa"/>
            <w:vMerge/>
          </w:tcPr>
          <w:p w:rsidR="00000000" w:rsidRDefault="00C31261">
            <w:pPr>
              <w:spacing w:line="400" w:lineRule="exact"/>
              <w:rPr>
                <w:rFonts w:eastAsia="宋体" w:cs="宋体" w:hint="eastAsia"/>
                <w:sz w:val="21"/>
                <w:szCs w:val="21"/>
              </w:rPr>
            </w:pPr>
          </w:p>
        </w:tc>
        <w:tc>
          <w:tcPr>
            <w:tcW w:w="2604" w:type="dxa"/>
          </w:tcPr>
          <w:p w:rsidR="00000000" w:rsidRDefault="00C31261">
            <w:pPr>
              <w:spacing w:line="400" w:lineRule="exact"/>
              <w:rPr>
                <w:rFonts w:eastAsia="宋体" w:cs="宋体" w:hint="eastAsia"/>
                <w:kern w:val="0"/>
                <w:sz w:val="21"/>
                <w:szCs w:val="21"/>
              </w:rPr>
            </w:pPr>
            <w:r>
              <w:rPr>
                <w:rFonts w:eastAsia="宋体" w:cs="宋体" w:hint="eastAsia"/>
                <w:sz w:val="21"/>
                <w:szCs w:val="21"/>
              </w:rPr>
              <w:t>暂停赎回起始日</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C31261">
            <w:pPr>
              <w:spacing w:line="400" w:lineRule="exact"/>
              <w:rPr>
                <w:rFonts w:eastAsia="宋体" w:cs="宋体" w:hint="eastAsia"/>
                <w:sz w:val="21"/>
                <w:szCs w:val="21"/>
              </w:rPr>
            </w:pPr>
          </w:p>
        </w:tc>
        <w:tc>
          <w:tcPr>
            <w:tcW w:w="2604" w:type="dxa"/>
          </w:tcPr>
          <w:p w:rsidR="00000000" w:rsidRDefault="00C31261">
            <w:pPr>
              <w:spacing w:line="400" w:lineRule="exact"/>
              <w:rPr>
                <w:rFonts w:eastAsia="宋体" w:cs="宋体" w:hint="eastAsia"/>
                <w:kern w:val="0"/>
                <w:sz w:val="21"/>
                <w:szCs w:val="21"/>
              </w:rPr>
            </w:pPr>
            <w:r>
              <w:rPr>
                <w:rFonts w:eastAsia="宋体" w:cs="宋体" w:hint="eastAsia"/>
                <w:sz w:val="21"/>
                <w:szCs w:val="21"/>
              </w:rPr>
              <w:t>暂停转换转出起始日</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C31261">
            <w:pPr>
              <w:spacing w:line="400" w:lineRule="exact"/>
              <w:rPr>
                <w:rFonts w:eastAsia="宋体" w:cs="宋体" w:hint="eastAsia"/>
                <w:sz w:val="21"/>
                <w:szCs w:val="21"/>
              </w:rPr>
            </w:pPr>
          </w:p>
        </w:tc>
        <w:tc>
          <w:tcPr>
            <w:tcW w:w="2604" w:type="dxa"/>
          </w:tcPr>
          <w:p w:rsidR="00000000" w:rsidRDefault="00C31261">
            <w:pPr>
              <w:spacing w:line="400" w:lineRule="exact"/>
              <w:rPr>
                <w:rFonts w:eastAsia="宋体" w:cs="宋体" w:hint="eastAsia"/>
                <w:kern w:val="0"/>
                <w:sz w:val="21"/>
                <w:szCs w:val="21"/>
              </w:rPr>
            </w:pPr>
            <w:r>
              <w:rPr>
                <w:rFonts w:eastAsia="宋体" w:cs="宋体" w:hint="eastAsia"/>
                <w:sz w:val="21"/>
                <w:szCs w:val="21"/>
              </w:rPr>
              <w:t>暂停定期定额投资起始日</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C31261">
            <w:pPr>
              <w:spacing w:line="400" w:lineRule="exact"/>
              <w:rPr>
                <w:rFonts w:eastAsia="宋体" w:cs="宋体" w:hint="eastAsia"/>
                <w:sz w:val="21"/>
                <w:szCs w:val="21"/>
              </w:rPr>
            </w:pPr>
          </w:p>
        </w:tc>
        <w:tc>
          <w:tcPr>
            <w:tcW w:w="2604" w:type="dxa"/>
          </w:tcPr>
          <w:p w:rsidR="00000000" w:rsidRDefault="00C31261">
            <w:pPr>
              <w:spacing w:line="400" w:lineRule="exact"/>
              <w:rPr>
                <w:rFonts w:eastAsia="宋体" w:cs="宋体" w:hint="eastAsia"/>
                <w:sz w:val="21"/>
                <w:szCs w:val="21"/>
              </w:rPr>
            </w:pPr>
            <w:r>
              <w:rPr>
                <w:rFonts w:eastAsia="宋体" w:cs="宋体" w:hint="eastAsia"/>
                <w:sz w:val="21"/>
                <w:szCs w:val="21"/>
              </w:rPr>
              <w:t>限制申购金额（单位：元）</w:t>
            </w:r>
          </w:p>
        </w:tc>
        <w:tc>
          <w:tcPr>
            <w:tcW w:w="4416" w:type="dxa"/>
            <w:gridSpan w:val="2"/>
            <w:vAlign w:val="center"/>
          </w:tcPr>
          <w:p w:rsidR="00000000" w:rsidRDefault="00C31261">
            <w:pPr>
              <w:widowControl/>
              <w:spacing w:line="400" w:lineRule="exact"/>
              <w:jc w:val="left"/>
              <w:rPr>
                <w:rFonts w:eastAsia="宋体" w:cs="宋体" w:hint="eastAsia"/>
                <w:kern w:val="0"/>
                <w:sz w:val="21"/>
                <w:szCs w:val="21"/>
              </w:rPr>
            </w:pPr>
            <w:r>
              <w:rPr>
                <w:rFonts w:eastAsia="宋体" w:cs="宋体" w:hint="eastAsia"/>
                <w:kern w:val="0"/>
                <w:sz w:val="21"/>
                <w:szCs w:val="21"/>
              </w:rPr>
              <w:t>500,000.00</w:t>
            </w:r>
          </w:p>
        </w:tc>
      </w:tr>
      <w:tr w:rsidR="00000000">
        <w:trPr>
          <w:jc w:val="center"/>
        </w:trPr>
        <w:tc>
          <w:tcPr>
            <w:tcW w:w="1486" w:type="dxa"/>
            <w:vMerge/>
          </w:tcPr>
          <w:p w:rsidR="00000000" w:rsidRDefault="00C31261">
            <w:pPr>
              <w:spacing w:line="400" w:lineRule="exact"/>
              <w:rPr>
                <w:rFonts w:eastAsia="宋体" w:cs="宋体" w:hint="eastAsia"/>
                <w:sz w:val="21"/>
                <w:szCs w:val="21"/>
              </w:rPr>
            </w:pPr>
          </w:p>
        </w:tc>
        <w:tc>
          <w:tcPr>
            <w:tcW w:w="2604" w:type="dxa"/>
          </w:tcPr>
          <w:p w:rsidR="00000000" w:rsidRDefault="00C31261">
            <w:pPr>
              <w:spacing w:line="400" w:lineRule="exact"/>
              <w:rPr>
                <w:rFonts w:eastAsia="宋体" w:cs="宋体" w:hint="eastAsia"/>
                <w:sz w:val="21"/>
                <w:szCs w:val="21"/>
              </w:rPr>
            </w:pPr>
            <w:r>
              <w:rPr>
                <w:rFonts w:eastAsia="宋体" w:cs="宋体" w:hint="eastAsia"/>
                <w:sz w:val="21"/>
                <w:szCs w:val="21"/>
              </w:rPr>
              <w:t>限制转换转入金额（单位：元）</w:t>
            </w:r>
          </w:p>
        </w:tc>
        <w:tc>
          <w:tcPr>
            <w:tcW w:w="4416" w:type="dxa"/>
            <w:gridSpan w:val="2"/>
            <w:vAlign w:val="center"/>
          </w:tcPr>
          <w:p w:rsidR="00000000" w:rsidRDefault="00C31261">
            <w:pPr>
              <w:widowControl/>
              <w:spacing w:line="400" w:lineRule="exact"/>
              <w:jc w:val="left"/>
              <w:rPr>
                <w:rFonts w:eastAsia="宋体" w:cs="宋体" w:hint="eastAsia"/>
                <w:kern w:val="0"/>
                <w:sz w:val="21"/>
                <w:szCs w:val="21"/>
              </w:rPr>
            </w:pPr>
            <w:r>
              <w:rPr>
                <w:rFonts w:eastAsia="宋体" w:cs="宋体" w:hint="eastAsia"/>
                <w:kern w:val="0"/>
                <w:sz w:val="21"/>
                <w:szCs w:val="21"/>
              </w:rPr>
              <w:t>500,000.00</w:t>
            </w:r>
          </w:p>
        </w:tc>
      </w:tr>
      <w:tr w:rsidR="00000000">
        <w:trPr>
          <w:trHeight w:val="829"/>
          <w:jc w:val="center"/>
        </w:trPr>
        <w:tc>
          <w:tcPr>
            <w:tcW w:w="1486" w:type="dxa"/>
            <w:vMerge/>
          </w:tcPr>
          <w:p w:rsidR="00000000" w:rsidRDefault="00C31261">
            <w:pPr>
              <w:spacing w:line="400" w:lineRule="exact"/>
              <w:rPr>
                <w:rFonts w:eastAsia="宋体" w:cs="宋体" w:hint="eastAsia"/>
                <w:sz w:val="21"/>
                <w:szCs w:val="21"/>
              </w:rPr>
            </w:pPr>
          </w:p>
        </w:tc>
        <w:tc>
          <w:tcPr>
            <w:tcW w:w="2604" w:type="dxa"/>
            <w:vAlign w:val="center"/>
          </w:tcPr>
          <w:p w:rsidR="00000000" w:rsidRDefault="00C31261">
            <w:pPr>
              <w:spacing w:line="400" w:lineRule="exact"/>
              <w:rPr>
                <w:rFonts w:eastAsia="宋体" w:cs="宋体" w:hint="eastAsia"/>
                <w:kern w:val="0"/>
                <w:sz w:val="21"/>
                <w:szCs w:val="21"/>
              </w:rPr>
            </w:pPr>
            <w:r>
              <w:rPr>
                <w:rFonts w:eastAsia="宋体" w:cs="宋体" w:hint="eastAsia"/>
                <w:sz w:val="21"/>
                <w:szCs w:val="21"/>
              </w:rPr>
              <w:t>暂停（大额）申购、（大额）转换转入的原因说明</w:t>
            </w:r>
          </w:p>
        </w:tc>
        <w:tc>
          <w:tcPr>
            <w:tcW w:w="4416" w:type="dxa"/>
            <w:gridSpan w:val="2"/>
            <w:vAlign w:val="center"/>
          </w:tcPr>
          <w:p w:rsidR="00000000" w:rsidRDefault="00C31261">
            <w:pPr>
              <w:spacing w:line="400" w:lineRule="exact"/>
              <w:rPr>
                <w:rFonts w:eastAsia="宋体" w:cs="宋体" w:hint="eastAsia"/>
                <w:kern w:val="0"/>
                <w:sz w:val="21"/>
                <w:szCs w:val="21"/>
              </w:rPr>
            </w:pPr>
            <w:r>
              <w:rPr>
                <w:rFonts w:eastAsia="宋体" w:cs="宋体" w:hint="eastAsia"/>
                <w:kern w:val="0"/>
                <w:sz w:val="21"/>
                <w:szCs w:val="21"/>
              </w:rPr>
              <w:t>为保护基金份额持有人的利益，保障基金平稳运</w:t>
            </w:r>
            <w:r>
              <w:rPr>
                <w:rFonts w:eastAsia="宋体" w:cs="宋体" w:hint="eastAsia"/>
                <w:kern w:val="0"/>
                <w:sz w:val="21"/>
                <w:szCs w:val="21"/>
              </w:rPr>
              <w:t>作。</w:t>
            </w:r>
          </w:p>
        </w:tc>
      </w:tr>
      <w:tr w:rsidR="00000000">
        <w:trPr>
          <w:trHeight w:val="424"/>
          <w:jc w:val="center"/>
        </w:trPr>
        <w:tc>
          <w:tcPr>
            <w:tcW w:w="4090" w:type="dxa"/>
            <w:gridSpan w:val="2"/>
          </w:tcPr>
          <w:p w:rsidR="00000000" w:rsidRDefault="00C31261">
            <w:pPr>
              <w:spacing w:line="400" w:lineRule="exact"/>
              <w:rPr>
                <w:rFonts w:eastAsia="宋体" w:cs="宋体" w:hint="eastAsia"/>
                <w:sz w:val="21"/>
                <w:szCs w:val="21"/>
              </w:rPr>
            </w:pPr>
            <w:bookmarkStart w:id="1" w:name="_Toc275961406"/>
            <w:r>
              <w:rPr>
                <w:rFonts w:eastAsia="宋体" w:cs="宋体" w:hint="eastAsia"/>
                <w:sz w:val="21"/>
                <w:szCs w:val="21"/>
              </w:rPr>
              <w:t>下属基金的基金简称</w:t>
            </w:r>
          </w:p>
        </w:tc>
        <w:tc>
          <w:tcPr>
            <w:tcW w:w="2205"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东吴嘉禾优势精选混合</w:t>
            </w:r>
            <w:r>
              <w:rPr>
                <w:rFonts w:eastAsia="宋体" w:cs="宋体" w:hint="eastAsia"/>
                <w:kern w:val="0"/>
                <w:sz w:val="21"/>
                <w:szCs w:val="21"/>
              </w:rPr>
              <w:t>A</w:t>
            </w:r>
          </w:p>
        </w:tc>
        <w:tc>
          <w:tcPr>
            <w:tcW w:w="2211"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东吴嘉禾优势精选混合</w:t>
            </w:r>
            <w:r>
              <w:rPr>
                <w:rFonts w:eastAsia="宋体" w:cs="宋体" w:hint="eastAsia"/>
                <w:kern w:val="0"/>
                <w:sz w:val="21"/>
                <w:szCs w:val="21"/>
              </w:rPr>
              <w:t>C</w:t>
            </w:r>
          </w:p>
        </w:tc>
      </w:tr>
      <w:tr w:rsidR="00000000">
        <w:trPr>
          <w:trHeight w:val="479"/>
          <w:jc w:val="center"/>
        </w:trPr>
        <w:tc>
          <w:tcPr>
            <w:tcW w:w="4090" w:type="dxa"/>
            <w:gridSpan w:val="2"/>
          </w:tcPr>
          <w:p w:rsidR="00000000" w:rsidRDefault="00C31261">
            <w:pPr>
              <w:spacing w:line="400" w:lineRule="exact"/>
              <w:rPr>
                <w:rFonts w:eastAsia="宋体" w:cs="宋体" w:hint="eastAsia"/>
                <w:sz w:val="21"/>
                <w:szCs w:val="21"/>
              </w:rPr>
            </w:pPr>
            <w:r>
              <w:rPr>
                <w:rFonts w:eastAsia="宋体" w:cs="宋体" w:hint="eastAsia"/>
                <w:sz w:val="21"/>
                <w:szCs w:val="21"/>
              </w:rPr>
              <w:t>下属基金的交易代码</w:t>
            </w:r>
          </w:p>
        </w:tc>
        <w:tc>
          <w:tcPr>
            <w:tcW w:w="2205"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580001</w:t>
            </w:r>
          </w:p>
        </w:tc>
        <w:tc>
          <w:tcPr>
            <w:tcW w:w="2211"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color w:val="000000"/>
                <w:sz w:val="21"/>
                <w:szCs w:val="21"/>
                <w:shd w:val="clear" w:color="auto" w:fill="FFFFFF"/>
              </w:rPr>
              <w:t>015152</w:t>
            </w:r>
          </w:p>
        </w:tc>
      </w:tr>
      <w:tr w:rsidR="00000000">
        <w:trPr>
          <w:trHeight w:val="479"/>
          <w:jc w:val="center"/>
        </w:trPr>
        <w:tc>
          <w:tcPr>
            <w:tcW w:w="4090" w:type="dxa"/>
            <w:gridSpan w:val="2"/>
          </w:tcPr>
          <w:p w:rsidR="00000000" w:rsidRDefault="00C31261">
            <w:pPr>
              <w:spacing w:line="400" w:lineRule="exact"/>
              <w:rPr>
                <w:rFonts w:eastAsia="宋体" w:cs="宋体" w:hint="eastAsia"/>
                <w:sz w:val="21"/>
                <w:szCs w:val="21"/>
              </w:rPr>
            </w:pPr>
            <w:r>
              <w:rPr>
                <w:rFonts w:eastAsia="宋体" w:cs="宋体" w:hint="eastAsia"/>
                <w:sz w:val="21"/>
                <w:szCs w:val="21"/>
              </w:rPr>
              <w:t>该基金是否暂停（大额）申购、（大额）转换转入</w:t>
            </w:r>
          </w:p>
        </w:tc>
        <w:tc>
          <w:tcPr>
            <w:tcW w:w="2205" w:type="dxa"/>
            <w:vAlign w:val="center"/>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是</w:t>
            </w:r>
          </w:p>
        </w:tc>
        <w:tc>
          <w:tcPr>
            <w:tcW w:w="2211" w:type="dxa"/>
            <w:vAlign w:val="center"/>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是</w:t>
            </w:r>
          </w:p>
        </w:tc>
      </w:tr>
      <w:tr w:rsidR="00000000">
        <w:trPr>
          <w:trHeight w:val="479"/>
          <w:jc w:val="center"/>
        </w:trPr>
        <w:tc>
          <w:tcPr>
            <w:tcW w:w="4090" w:type="dxa"/>
            <w:gridSpan w:val="2"/>
          </w:tcPr>
          <w:p w:rsidR="00000000" w:rsidRDefault="00C31261">
            <w:pPr>
              <w:spacing w:line="400" w:lineRule="exact"/>
              <w:rPr>
                <w:rFonts w:eastAsia="宋体" w:cs="宋体" w:hint="eastAsia"/>
                <w:sz w:val="21"/>
                <w:szCs w:val="21"/>
              </w:rPr>
            </w:pPr>
            <w:r>
              <w:rPr>
                <w:rFonts w:eastAsia="宋体" w:cs="宋体" w:hint="eastAsia"/>
                <w:sz w:val="21"/>
                <w:szCs w:val="21"/>
              </w:rPr>
              <w:t>下属基金的限制申购金额（单位：元）</w:t>
            </w:r>
          </w:p>
        </w:tc>
        <w:tc>
          <w:tcPr>
            <w:tcW w:w="2205"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500,000.00</w:t>
            </w:r>
          </w:p>
        </w:tc>
        <w:tc>
          <w:tcPr>
            <w:tcW w:w="2211"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500,000.00</w:t>
            </w:r>
          </w:p>
        </w:tc>
      </w:tr>
      <w:tr w:rsidR="00000000">
        <w:trPr>
          <w:trHeight w:val="479"/>
          <w:jc w:val="center"/>
        </w:trPr>
        <w:tc>
          <w:tcPr>
            <w:tcW w:w="4090" w:type="dxa"/>
            <w:gridSpan w:val="2"/>
          </w:tcPr>
          <w:p w:rsidR="00000000" w:rsidRDefault="00C31261">
            <w:pPr>
              <w:spacing w:line="400" w:lineRule="exact"/>
              <w:rPr>
                <w:rFonts w:eastAsia="宋体" w:cs="宋体" w:hint="eastAsia"/>
                <w:sz w:val="21"/>
                <w:szCs w:val="21"/>
              </w:rPr>
            </w:pPr>
            <w:r>
              <w:rPr>
                <w:rFonts w:eastAsia="宋体" w:cs="宋体" w:hint="eastAsia"/>
                <w:sz w:val="21"/>
                <w:szCs w:val="21"/>
              </w:rPr>
              <w:t>下属基金的限制转换转入金额（单位：元）</w:t>
            </w:r>
          </w:p>
        </w:tc>
        <w:tc>
          <w:tcPr>
            <w:tcW w:w="2205"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500,000.00</w:t>
            </w:r>
          </w:p>
        </w:tc>
        <w:tc>
          <w:tcPr>
            <w:tcW w:w="2211" w:type="dxa"/>
          </w:tcPr>
          <w:p w:rsidR="00000000" w:rsidRDefault="00C31261">
            <w:pPr>
              <w:spacing w:line="400" w:lineRule="exact"/>
              <w:rPr>
                <w:rFonts w:eastAsia="宋体" w:cs="宋体"/>
                <w:color w:val="000000"/>
                <w:sz w:val="21"/>
                <w:szCs w:val="21"/>
                <w:shd w:val="clear" w:color="auto" w:fill="FFFFFF"/>
              </w:rPr>
            </w:pPr>
            <w:r>
              <w:rPr>
                <w:rFonts w:eastAsia="宋体" w:cs="宋体" w:hint="eastAsia"/>
                <w:kern w:val="0"/>
                <w:sz w:val="21"/>
                <w:szCs w:val="21"/>
              </w:rPr>
              <w:t>500,000.00</w:t>
            </w:r>
          </w:p>
        </w:tc>
      </w:tr>
    </w:tbl>
    <w:p w:rsidR="00000000" w:rsidRDefault="00C31261">
      <w:pPr>
        <w:pStyle w:val="2"/>
        <w:spacing w:before="0" w:after="0" w:line="360" w:lineRule="auto"/>
        <w:rPr>
          <w:rFonts w:ascii="Times New Roman" w:eastAsia="宋体" w:hAnsi="Times New Roman" w:cs="宋体" w:hint="eastAsia"/>
          <w:bCs w:val="0"/>
          <w:sz w:val="24"/>
          <w:szCs w:val="24"/>
        </w:rPr>
      </w:pPr>
    </w:p>
    <w:p w:rsidR="00000000" w:rsidRDefault="00C31261">
      <w:pPr>
        <w:pStyle w:val="2"/>
        <w:spacing w:before="0" w:after="0" w:line="360" w:lineRule="auto"/>
        <w:rPr>
          <w:rFonts w:ascii="Times New Roman" w:eastAsia="宋体" w:hAnsi="Times New Roman" w:cs="宋体" w:hint="eastAsia"/>
          <w:bCs w:val="0"/>
          <w:sz w:val="24"/>
          <w:szCs w:val="24"/>
        </w:rPr>
      </w:pPr>
      <w:r>
        <w:rPr>
          <w:rFonts w:ascii="Times New Roman" w:eastAsia="宋体" w:hAnsi="Times New Roman" w:cs="宋体" w:hint="eastAsia"/>
          <w:bCs w:val="0"/>
          <w:sz w:val="24"/>
          <w:szCs w:val="24"/>
        </w:rPr>
        <w:t xml:space="preserve">2 </w:t>
      </w:r>
      <w:r>
        <w:rPr>
          <w:rFonts w:ascii="Times New Roman" w:eastAsia="宋体" w:hAnsi="Times New Roman" w:cs="宋体" w:hint="eastAsia"/>
          <w:bCs w:val="0"/>
          <w:sz w:val="24"/>
          <w:szCs w:val="24"/>
        </w:rPr>
        <w:t>其他需要提示的事项</w:t>
      </w:r>
      <w:bookmarkEnd w:id="1"/>
    </w:p>
    <w:p w:rsidR="00000000" w:rsidRDefault="00C31261">
      <w:pPr>
        <w:numPr>
          <w:ilvl w:val="0"/>
          <w:numId w:val="1"/>
        </w:numPr>
        <w:spacing w:line="360" w:lineRule="auto"/>
        <w:ind w:left="0" w:firstLineChars="200" w:firstLine="420"/>
        <w:rPr>
          <w:rFonts w:eastAsia="宋体" w:cs="宋体" w:hint="eastAsia"/>
          <w:kern w:val="0"/>
          <w:sz w:val="21"/>
          <w:szCs w:val="21"/>
        </w:rPr>
      </w:pPr>
      <w:r>
        <w:rPr>
          <w:rFonts w:eastAsia="宋体" w:cs="宋体" w:hint="eastAsia"/>
          <w:color w:val="1E1E1E"/>
          <w:kern w:val="0"/>
          <w:sz w:val="21"/>
          <w:szCs w:val="21"/>
        </w:rPr>
        <w:t>为</w:t>
      </w:r>
      <w:r>
        <w:rPr>
          <w:rFonts w:eastAsia="宋体" w:cs="宋体" w:hint="eastAsia"/>
          <w:color w:val="1E1E1E"/>
          <w:kern w:val="0"/>
          <w:sz w:val="21"/>
          <w:szCs w:val="21"/>
        </w:rPr>
        <w:t>保护基金份额持有人的利益，保障基金平稳运作</w:t>
      </w:r>
      <w:r>
        <w:rPr>
          <w:rFonts w:eastAsia="宋体" w:cs="宋体" w:hint="eastAsia"/>
          <w:color w:val="1E1E1E"/>
          <w:kern w:val="0"/>
          <w:sz w:val="21"/>
          <w:szCs w:val="21"/>
        </w:rPr>
        <w:t>，</w:t>
      </w:r>
      <w:r>
        <w:rPr>
          <w:rFonts w:eastAsia="宋体" w:cs="宋体" w:hint="eastAsia"/>
          <w:color w:val="1E1E1E"/>
          <w:kern w:val="0"/>
          <w:sz w:val="21"/>
          <w:szCs w:val="21"/>
        </w:rPr>
        <w:t>东吴基金管理有限公司（</w:t>
      </w:r>
      <w:r>
        <w:rPr>
          <w:rFonts w:eastAsia="宋体" w:cs="宋体" w:hint="eastAsia"/>
          <w:kern w:val="0"/>
          <w:sz w:val="21"/>
          <w:szCs w:val="21"/>
        </w:rPr>
        <w:t>以下简称“本公司”</w:t>
      </w:r>
      <w:r>
        <w:rPr>
          <w:rFonts w:eastAsia="宋体" w:cs="宋体" w:hint="eastAsia"/>
          <w:color w:val="1E1E1E"/>
          <w:kern w:val="0"/>
          <w:sz w:val="21"/>
          <w:szCs w:val="21"/>
        </w:rPr>
        <w:t>）决定</w:t>
      </w:r>
      <w:r>
        <w:rPr>
          <w:rFonts w:eastAsia="宋体" w:cs="宋体" w:hint="eastAsia"/>
          <w:color w:val="1E1E1E"/>
          <w:kern w:val="0"/>
          <w:sz w:val="21"/>
          <w:szCs w:val="21"/>
        </w:rPr>
        <w:t>自</w:t>
      </w:r>
      <w:r>
        <w:rPr>
          <w:rFonts w:eastAsia="宋体" w:cs="宋体" w:hint="eastAsia"/>
          <w:color w:val="1E1E1E"/>
          <w:kern w:val="0"/>
          <w:sz w:val="21"/>
          <w:szCs w:val="21"/>
        </w:rPr>
        <w:t>202</w:t>
      </w:r>
      <w:r>
        <w:rPr>
          <w:rFonts w:eastAsia="宋体" w:cs="宋体" w:hint="eastAsia"/>
          <w:color w:val="1E1E1E"/>
          <w:kern w:val="0"/>
          <w:sz w:val="21"/>
          <w:szCs w:val="21"/>
        </w:rPr>
        <w:t>6</w:t>
      </w:r>
      <w:r>
        <w:rPr>
          <w:rFonts w:eastAsia="宋体" w:cs="宋体" w:hint="eastAsia"/>
          <w:color w:val="1E1E1E"/>
          <w:kern w:val="0"/>
          <w:sz w:val="21"/>
          <w:szCs w:val="21"/>
        </w:rPr>
        <w:t>年</w:t>
      </w:r>
      <w:r>
        <w:rPr>
          <w:rFonts w:eastAsia="宋体" w:cs="宋体" w:hint="eastAsia"/>
          <w:color w:val="1E1E1E"/>
          <w:kern w:val="0"/>
          <w:sz w:val="21"/>
          <w:szCs w:val="21"/>
        </w:rPr>
        <w:t>1</w:t>
      </w:r>
      <w:r>
        <w:rPr>
          <w:rFonts w:eastAsia="宋体" w:cs="宋体" w:hint="eastAsia"/>
          <w:color w:val="1E1E1E"/>
          <w:kern w:val="0"/>
          <w:sz w:val="21"/>
          <w:szCs w:val="21"/>
        </w:rPr>
        <w:t>月</w:t>
      </w:r>
      <w:r>
        <w:rPr>
          <w:rFonts w:eastAsia="宋体" w:cs="宋体" w:hint="eastAsia"/>
          <w:color w:val="1E1E1E"/>
          <w:kern w:val="0"/>
          <w:sz w:val="21"/>
          <w:szCs w:val="21"/>
        </w:rPr>
        <w:t>8</w:t>
      </w:r>
      <w:r>
        <w:rPr>
          <w:rFonts w:eastAsia="宋体" w:cs="宋体" w:hint="eastAsia"/>
          <w:color w:val="1E1E1E"/>
          <w:kern w:val="0"/>
          <w:sz w:val="21"/>
          <w:szCs w:val="21"/>
        </w:rPr>
        <w:t>日起</w:t>
      </w:r>
      <w:r>
        <w:rPr>
          <w:rFonts w:eastAsia="宋体" w:cs="宋体" w:hint="eastAsia"/>
          <w:color w:val="1E1E1E"/>
          <w:kern w:val="0"/>
          <w:sz w:val="21"/>
          <w:szCs w:val="21"/>
        </w:rPr>
        <w:t>暂停</w:t>
      </w:r>
      <w:r>
        <w:rPr>
          <w:rFonts w:eastAsia="宋体" w:cs="宋体" w:hint="eastAsia"/>
          <w:color w:val="1E1E1E"/>
          <w:kern w:val="0"/>
          <w:sz w:val="21"/>
          <w:szCs w:val="21"/>
        </w:rPr>
        <w:t>东吴嘉禾优势精选</w:t>
      </w:r>
      <w:r>
        <w:rPr>
          <w:rFonts w:eastAsia="宋体" w:cs="宋体" w:hint="eastAsia"/>
          <w:color w:val="1E1E1E"/>
          <w:kern w:val="0"/>
          <w:sz w:val="21"/>
          <w:szCs w:val="21"/>
        </w:rPr>
        <w:t>混合型开放式证券投资基金</w:t>
      </w:r>
      <w:r>
        <w:rPr>
          <w:rFonts w:eastAsia="宋体" w:cs="宋体" w:hint="eastAsia"/>
          <w:color w:val="1E1E1E"/>
          <w:kern w:val="0"/>
          <w:sz w:val="21"/>
          <w:szCs w:val="21"/>
        </w:rPr>
        <w:t>（以下简称“本基金”）</w:t>
      </w:r>
      <w:r>
        <w:rPr>
          <w:rFonts w:eastAsia="宋体" w:cs="宋体" w:hint="eastAsia"/>
          <w:color w:val="1E1E1E"/>
          <w:kern w:val="0"/>
          <w:sz w:val="21"/>
          <w:szCs w:val="21"/>
        </w:rPr>
        <w:t>非个人投资者</w:t>
      </w:r>
      <w:r>
        <w:rPr>
          <w:rFonts w:eastAsia="宋体" w:cs="宋体" w:hint="eastAsia"/>
          <w:color w:val="1E1E1E"/>
          <w:kern w:val="0"/>
          <w:sz w:val="21"/>
          <w:szCs w:val="21"/>
        </w:rPr>
        <w:t>的大额申购</w:t>
      </w:r>
      <w:r>
        <w:rPr>
          <w:rFonts w:eastAsia="宋体" w:cs="宋体" w:hint="eastAsia"/>
          <w:color w:val="1E1E1E"/>
          <w:kern w:val="0"/>
          <w:sz w:val="21"/>
          <w:szCs w:val="21"/>
        </w:rPr>
        <w:t>（含定期定额</w:t>
      </w:r>
      <w:r>
        <w:rPr>
          <w:rFonts w:eastAsia="宋体" w:cs="宋体" w:hint="eastAsia"/>
          <w:color w:val="1E1E1E"/>
          <w:kern w:val="0"/>
          <w:sz w:val="21"/>
          <w:szCs w:val="21"/>
        </w:rPr>
        <w:t>投资</w:t>
      </w:r>
      <w:r>
        <w:rPr>
          <w:rFonts w:eastAsia="宋体" w:cs="宋体" w:hint="eastAsia"/>
          <w:color w:val="1E1E1E"/>
          <w:kern w:val="0"/>
          <w:sz w:val="21"/>
          <w:szCs w:val="21"/>
        </w:rPr>
        <w:t>）、</w:t>
      </w:r>
      <w:r>
        <w:rPr>
          <w:rFonts w:eastAsia="宋体" w:cs="宋体" w:hint="eastAsia"/>
          <w:color w:val="1E1E1E"/>
          <w:kern w:val="0"/>
          <w:sz w:val="21"/>
          <w:szCs w:val="21"/>
        </w:rPr>
        <w:t>大额转换转入</w:t>
      </w:r>
      <w:r>
        <w:rPr>
          <w:rFonts w:eastAsia="宋体" w:cs="宋体" w:hint="eastAsia"/>
          <w:color w:val="1E1E1E"/>
          <w:kern w:val="0"/>
          <w:sz w:val="21"/>
          <w:szCs w:val="21"/>
        </w:rPr>
        <w:t>业务。在此期间</w:t>
      </w:r>
      <w:r>
        <w:rPr>
          <w:rFonts w:eastAsia="宋体" w:cs="宋体" w:hint="eastAsia"/>
          <w:kern w:val="0"/>
          <w:sz w:val="21"/>
          <w:szCs w:val="21"/>
        </w:rPr>
        <w:t>单个基金账户对单只基金日累计申购和转入金额不得超过</w:t>
      </w:r>
      <w:r>
        <w:rPr>
          <w:rFonts w:eastAsia="宋体" w:cs="宋体" w:hint="eastAsia"/>
          <w:kern w:val="0"/>
          <w:sz w:val="21"/>
          <w:szCs w:val="21"/>
        </w:rPr>
        <w:t>50</w:t>
      </w:r>
      <w:r>
        <w:rPr>
          <w:rFonts w:eastAsia="宋体" w:cs="宋体" w:hint="eastAsia"/>
          <w:kern w:val="0"/>
          <w:sz w:val="21"/>
          <w:szCs w:val="21"/>
        </w:rPr>
        <w:t>万</w:t>
      </w:r>
      <w:r>
        <w:rPr>
          <w:rFonts w:eastAsia="宋体" w:cs="宋体" w:hint="eastAsia"/>
          <w:kern w:val="0"/>
          <w:sz w:val="21"/>
          <w:szCs w:val="21"/>
        </w:rPr>
        <w:t>元。如单日单个基金账户累计申购和转入金额超过</w:t>
      </w:r>
      <w:r>
        <w:rPr>
          <w:rFonts w:eastAsia="宋体" w:cs="宋体" w:hint="eastAsia"/>
          <w:kern w:val="0"/>
          <w:sz w:val="21"/>
          <w:szCs w:val="21"/>
        </w:rPr>
        <w:t>50</w:t>
      </w:r>
      <w:r>
        <w:rPr>
          <w:rFonts w:eastAsia="宋体" w:cs="宋体" w:hint="eastAsia"/>
          <w:kern w:val="0"/>
          <w:sz w:val="21"/>
          <w:szCs w:val="21"/>
        </w:rPr>
        <w:t>万</w:t>
      </w:r>
      <w:r>
        <w:rPr>
          <w:rFonts w:eastAsia="宋体" w:cs="宋体" w:hint="eastAsia"/>
          <w:kern w:val="0"/>
          <w:sz w:val="21"/>
          <w:szCs w:val="21"/>
        </w:rPr>
        <w:t>元的</w:t>
      </w:r>
      <w:r>
        <w:rPr>
          <w:rFonts w:eastAsia="宋体" w:cs="宋体" w:hint="eastAsia"/>
          <w:kern w:val="0"/>
          <w:sz w:val="21"/>
          <w:szCs w:val="21"/>
        </w:rPr>
        <w:t>，超出部分本公司将有权予以拒绝</w:t>
      </w:r>
      <w:r>
        <w:rPr>
          <w:rFonts w:eastAsia="宋体" w:cs="宋体" w:hint="eastAsia"/>
          <w:kern w:val="0"/>
          <w:sz w:val="21"/>
          <w:szCs w:val="21"/>
        </w:rPr>
        <w:t>，个人投资者不设业务限额。</w:t>
      </w:r>
    </w:p>
    <w:p w:rsidR="00000000" w:rsidRDefault="00C31261">
      <w:pPr>
        <w:numPr>
          <w:ilvl w:val="0"/>
          <w:numId w:val="1"/>
        </w:numPr>
        <w:spacing w:line="360" w:lineRule="auto"/>
        <w:ind w:left="0" w:firstLineChars="200" w:firstLine="420"/>
        <w:rPr>
          <w:rFonts w:eastAsia="宋体" w:cs="宋体" w:hint="eastAsia"/>
          <w:kern w:val="0"/>
          <w:sz w:val="21"/>
          <w:szCs w:val="21"/>
        </w:rPr>
      </w:pPr>
      <w:r>
        <w:rPr>
          <w:rFonts w:eastAsia="宋体" w:cs="宋体" w:hint="eastAsia"/>
          <w:kern w:val="0"/>
          <w:sz w:val="21"/>
          <w:szCs w:val="21"/>
        </w:rPr>
        <w:t>本基金暂停上述业务期间，本基金的转换转出及赎回等其他业务仍照常办理</w:t>
      </w:r>
      <w:r>
        <w:rPr>
          <w:rFonts w:eastAsia="宋体" w:cs="宋体" w:hint="eastAsia"/>
          <w:kern w:val="0"/>
          <w:sz w:val="21"/>
          <w:szCs w:val="21"/>
        </w:rPr>
        <w:t>。</w:t>
      </w:r>
    </w:p>
    <w:p w:rsidR="00000000" w:rsidRDefault="00C31261">
      <w:pPr>
        <w:numPr>
          <w:ilvl w:val="0"/>
          <w:numId w:val="1"/>
        </w:numPr>
        <w:spacing w:line="360" w:lineRule="auto"/>
        <w:ind w:left="0" w:firstLineChars="200" w:firstLine="420"/>
        <w:rPr>
          <w:rFonts w:eastAsia="宋体" w:cs="宋体" w:hint="eastAsia"/>
          <w:kern w:val="0"/>
          <w:sz w:val="21"/>
          <w:szCs w:val="21"/>
        </w:rPr>
      </w:pPr>
      <w:r>
        <w:rPr>
          <w:rFonts w:eastAsia="宋体" w:cs="宋体" w:hint="eastAsia"/>
          <w:kern w:val="0"/>
          <w:sz w:val="21"/>
          <w:szCs w:val="21"/>
        </w:rPr>
        <w:t>自</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14</w:t>
      </w:r>
      <w:r>
        <w:rPr>
          <w:rFonts w:eastAsia="宋体" w:cs="宋体" w:hint="eastAsia"/>
          <w:kern w:val="0"/>
          <w:sz w:val="21"/>
          <w:szCs w:val="21"/>
        </w:rPr>
        <w:t>日</w:t>
      </w:r>
      <w:r>
        <w:rPr>
          <w:rFonts w:eastAsia="宋体" w:cs="宋体" w:hint="eastAsia"/>
          <w:kern w:val="0"/>
          <w:sz w:val="21"/>
          <w:szCs w:val="21"/>
        </w:rPr>
        <w:t>起，本基金将恢复办理非个人投资者的大额申购（含定期定额投资）、大额转换转入业务，</w:t>
      </w:r>
      <w:r>
        <w:rPr>
          <w:rFonts w:eastAsia="宋体" w:cs="宋体" w:hint="eastAsia"/>
          <w:kern w:val="0"/>
          <w:sz w:val="21"/>
          <w:szCs w:val="21"/>
        </w:rPr>
        <w:t>届时不再另行公告。</w:t>
      </w:r>
    </w:p>
    <w:p w:rsidR="00000000" w:rsidRDefault="00C31261">
      <w:pPr>
        <w:numPr>
          <w:ilvl w:val="0"/>
          <w:numId w:val="1"/>
        </w:numPr>
        <w:spacing w:line="360" w:lineRule="auto"/>
        <w:ind w:left="0" w:firstLineChars="200" w:firstLine="420"/>
        <w:rPr>
          <w:rFonts w:eastAsia="宋体" w:cs="宋体" w:hint="eastAsia"/>
          <w:kern w:val="0"/>
          <w:sz w:val="21"/>
          <w:szCs w:val="21"/>
        </w:rPr>
      </w:pPr>
      <w:r>
        <w:rPr>
          <w:rFonts w:eastAsia="宋体" w:cs="宋体" w:hint="eastAsia"/>
          <w:kern w:val="0"/>
          <w:sz w:val="21"/>
          <w:szCs w:val="21"/>
        </w:rPr>
        <w:t>本公司已于</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25</w:t>
      </w:r>
      <w:r>
        <w:rPr>
          <w:rFonts w:eastAsia="宋体" w:cs="宋体" w:hint="eastAsia"/>
          <w:kern w:val="0"/>
          <w:sz w:val="21"/>
          <w:szCs w:val="21"/>
        </w:rPr>
        <w:t>日关闭直</w:t>
      </w:r>
      <w:r>
        <w:rPr>
          <w:rFonts w:eastAsia="宋体" w:cs="宋体" w:hint="eastAsia"/>
          <w:kern w:val="0"/>
          <w:sz w:val="21"/>
          <w:szCs w:val="21"/>
        </w:rPr>
        <w:t>销网上交易平台。投资者如有开户、认购、申购、基金转换、赎回等业务需求，可通过本公司直销柜台或者合作的基金销售机构办理。详情请见本公司</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11</w:t>
      </w:r>
      <w:r>
        <w:rPr>
          <w:rFonts w:eastAsia="宋体" w:cs="宋体" w:hint="eastAsia"/>
          <w:kern w:val="0"/>
          <w:sz w:val="21"/>
          <w:szCs w:val="21"/>
        </w:rPr>
        <w:t>月</w:t>
      </w:r>
      <w:r>
        <w:rPr>
          <w:rFonts w:eastAsia="宋体" w:cs="宋体" w:hint="eastAsia"/>
          <w:kern w:val="0"/>
          <w:sz w:val="21"/>
          <w:szCs w:val="21"/>
        </w:rPr>
        <w:t>25</w:t>
      </w:r>
      <w:r>
        <w:rPr>
          <w:rFonts w:eastAsia="宋体" w:cs="宋体" w:hint="eastAsia"/>
          <w:kern w:val="0"/>
          <w:sz w:val="21"/>
          <w:szCs w:val="21"/>
        </w:rPr>
        <w:t>日发布的《东吴基金管理有限公司关于关闭直销网上交易平台的公告》。</w:t>
      </w:r>
    </w:p>
    <w:p w:rsidR="00000000" w:rsidRDefault="00C31261">
      <w:pPr>
        <w:numPr>
          <w:ilvl w:val="0"/>
          <w:numId w:val="1"/>
        </w:numPr>
        <w:spacing w:line="360" w:lineRule="auto"/>
        <w:ind w:left="0" w:firstLineChars="200" w:firstLine="420"/>
        <w:rPr>
          <w:rFonts w:eastAsia="宋体" w:cs="宋体" w:hint="eastAsia"/>
          <w:kern w:val="0"/>
          <w:sz w:val="21"/>
          <w:szCs w:val="21"/>
        </w:rPr>
      </w:pPr>
      <w:r>
        <w:rPr>
          <w:rFonts w:eastAsia="宋体" w:cs="宋体" w:hint="eastAsia"/>
          <w:kern w:val="0"/>
          <w:sz w:val="21"/>
          <w:szCs w:val="21"/>
        </w:rPr>
        <w:t>本公告仅对本公司管理的</w:t>
      </w:r>
      <w:r>
        <w:rPr>
          <w:rFonts w:eastAsia="宋体" w:cs="宋体" w:hint="eastAsia"/>
          <w:kern w:val="0"/>
          <w:sz w:val="21"/>
          <w:szCs w:val="21"/>
        </w:rPr>
        <w:t>东吴嘉禾优势精选混合型开放式证券投资基金</w:t>
      </w:r>
      <w:r>
        <w:rPr>
          <w:rFonts w:eastAsia="宋体" w:cs="宋体" w:hint="eastAsia"/>
          <w:kern w:val="0"/>
          <w:sz w:val="21"/>
          <w:szCs w:val="21"/>
        </w:rPr>
        <w:t>暂停大额申购</w:t>
      </w:r>
      <w:r>
        <w:rPr>
          <w:rFonts w:eastAsia="宋体" w:cs="宋体" w:hint="eastAsia"/>
          <w:kern w:val="0"/>
          <w:sz w:val="21"/>
          <w:szCs w:val="21"/>
        </w:rPr>
        <w:t>（含定期定额投资）</w:t>
      </w:r>
      <w:r>
        <w:rPr>
          <w:rFonts w:eastAsia="宋体" w:cs="宋体" w:hint="eastAsia"/>
          <w:kern w:val="0"/>
          <w:sz w:val="21"/>
          <w:szCs w:val="21"/>
        </w:rPr>
        <w:t>、</w:t>
      </w:r>
      <w:r>
        <w:rPr>
          <w:rFonts w:eastAsia="宋体" w:cs="宋体" w:hint="eastAsia"/>
          <w:kern w:val="0"/>
          <w:sz w:val="21"/>
          <w:szCs w:val="21"/>
        </w:rPr>
        <w:t>大额转换转入</w:t>
      </w:r>
      <w:r>
        <w:rPr>
          <w:rFonts w:eastAsia="宋体" w:cs="宋体" w:hint="eastAsia"/>
          <w:kern w:val="0"/>
          <w:sz w:val="21"/>
          <w:szCs w:val="21"/>
        </w:rPr>
        <w:t>业务</w:t>
      </w:r>
      <w:r>
        <w:rPr>
          <w:rFonts w:eastAsia="宋体" w:cs="宋体" w:hint="eastAsia"/>
          <w:kern w:val="0"/>
          <w:sz w:val="21"/>
          <w:szCs w:val="21"/>
        </w:rPr>
        <w:t>有关事项予以说明。投资者欲了解本基金的详细情况，可通过本公司网站查阅本基金的相关法律文件。</w:t>
      </w:r>
    </w:p>
    <w:p w:rsidR="00000000" w:rsidRDefault="00C31261">
      <w:pPr>
        <w:spacing w:line="360" w:lineRule="auto"/>
        <w:ind w:firstLineChars="200" w:firstLine="420"/>
        <w:rPr>
          <w:rFonts w:eastAsia="宋体" w:cs="宋体" w:hint="eastAsia"/>
          <w:kern w:val="0"/>
          <w:sz w:val="21"/>
          <w:szCs w:val="21"/>
        </w:rPr>
      </w:pPr>
    </w:p>
    <w:p w:rsidR="00000000" w:rsidRDefault="00C31261">
      <w:pPr>
        <w:spacing w:line="360" w:lineRule="auto"/>
        <w:ind w:firstLineChars="200" w:firstLine="420"/>
        <w:rPr>
          <w:rFonts w:eastAsia="宋体" w:cs="宋体" w:hint="eastAsia"/>
          <w:kern w:val="0"/>
          <w:sz w:val="21"/>
          <w:szCs w:val="21"/>
        </w:rPr>
      </w:pPr>
      <w:r>
        <w:rPr>
          <w:rFonts w:eastAsia="宋体" w:cs="宋体" w:hint="eastAsia"/>
          <w:kern w:val="0"/>
          <w:sz w:val="21"/>
          <w:szCs w:val="21"/>
        </w:rPr>
        <w:t>投资者如有疑问，请拨打本公司客户服务热线：</w:t>
      </w:r>
      <w:r>
        <w:rPr>
          <w:rFonts w:eastAsia="宋体" w:cs="宋体" w:hint="eastAsia"/>
          <w:kern w:val="0"/>
          <w:sz w:val="21"/>
          <w:szCs w:val="21"/>
        </w:rPr>
        <w:t>400-821-0588</w:t>
      </w:r>
      <w:r>
        <w:rPr>
          <w:rFonts w:eastAsia="宋体" w:cs="宋体" w:hint="eastAsia"/>
          <w:kern w:val="0"/>
          <w:sz w:val="21"/>
          <w:szCs w:val="21"/>
        </w:rPr>
        <w:t>，或登录本公司网站</w:t>
      </w:r>
      <w:r>
        <w:rPr>
          <w:rFonts w:eastAsia="宋体" w:cs="宋体" w:hint="eastAsia"/>
          <w:kern w:val="0"/>
          <w:sz w:val="21"/>
          <w:szCs w:val="21"/>
        </w:rPr>
        <w:t>www</w:t>
      </w:r>
      <w:r>
        <w:rPr>
          <w:rFonts w:eastAsia="宋体" w:cs="宋体" w:hint="eastAsia"/>
          <w:kern w:val="0"/>
          <w:sz w:val="21"/>
          <w:szCs w:val="21"/>
        </w:rPr>
        <w:t>.scfund.com.cn</w:t>
      </w:r>
      <w:r>
        <w:rPr>
          <w:rFonts w:eastAsia="宋体" w:cs="宋体" w:hint="eastAsia"/>
          <w:kern w:val="0"/>
          <w:sz w:val="21"/>
          <w:szCs w:val="21"/>
        </w:rPr>
        <w:t>获取相关信息。</w:t>
      </w:r>
    </w:p>
    <w:p w:rsidR="00000000" w:rsidRDefault="00C31261">
      <w:pPr>
        <w:spacing w:line="360" w:lineRule="auto"/>
        <w:ind w:firstLineChars="200" w:firstLine="420"/>
        <w:rPr>
          <w:rFonts w:eastAsia="宋体" w:cs="宋体" w:hint="eastAsia"/>
          <w:kern w:val="0"/>
          <w:sz w:val="21"/>
          <w:szCs w:val="21"/>
        </w:rPr>
      </w:pPr>
      <w:r>
        <w:rPr>
          <w:rFonts w:eastAsia="宋体" w:cs="宋体" w:hint="eastAsia"/>
          <w:kern w:val="0"/>
          <w:sz w:val="21"/>
          <w:szCs w:val="21"/>
        </w:rPr>
        <w:t>风险提示：基金管理人承诺以诚实信用、勤勉尽责的原则管理和运用基金资产，但不保证基金一定盈利，也不保证最低收益。基金的过往业绩及其净值高低并不预示其未来业绩表现</w:t>
      </w:r>
      <w:r>
        <w:rPr>
          <w:rFonts w:eastAsia="宋体" w:cs="宋体" w:hint="eastAsia"/>
          <w:kern w:val="0"/>
          <w:sz w:val="21"/>
          <w:szCs w:val="21"/>
        </w:rPr>
        <w:t>，基金管理人管理的其他基金的业绩不构成对本基金业绩表现的保证</w:t>
      </w:r>
      <w:r>
        <w:rPr>
          <w:rFonts w:eastAsia="宋体" w:cs="宋体" w:hint="eastAsia"/>
          <w:kern w:val="0"/>
          <w:sz w:val="21"/>
          <w:szCs w:val="21"/>
        </w:rPr>
        <w:t>。投资有风险，敬请投资者在投资基金</w:t>
      </w:r>
      <w:r>
        <w:rPr>
          <w:rFonts w:eastAsia="宋体" w:cs="宋体" w:hint="eastAsia"/>
          <w:kern w:val="0"/>
          <w:sz w:val="21"/>
          <w:szCs w:val="21"/>
        </w:rPr>
        <w:t>前</w:t>
      </w:r>
      <w:r>
        <w:rPr>
          <w:rFonts w:eastAsia="宋体" w:cs="宋体" w:hint="eastAsia"/>
          <w:kern w:val="0"/>
          <w:sz w:val="21"/>
          <w:szCs w:val="21"/>
        </w:rPr>
        <w:t>仔细阅读基金的《基金合同》、《招募说明书》、《基金产品资料概要》</w:t>
      </w:r>
      <w:r>
        <w:rPr>
          <w:rFonts w:eastAsia="宋体" w:cs="宋体" w:hint="eastAsia"/>
          <w:kern w:val="0"/>
          <w:sz w:val="21"/>
          <w:szCs w:val="21"/>
        </w:rPr>
        <w:t>及其更新</w:t>
      </w:r>
      <w:r>
        <w:rPr>
          <w:rFonts w:eastAsia="宋体" w:cs="宋体" w:hint="eastAsia"/>
          <w:kern w:val="0"/>
          <w:sz w:val="21"/>
          <w:szCs w:val="21"/>
        </w:rPr>
        <w:t>等法律文件，全面认识基金的风险收益特征和产品特性，充分考虑自身的风险承受能力，在了解产品情况、听取销售机构适当性匹配意见的基础上，理性判断市场</w:t>
      </w:r>
      <w:r>
        <w:rPr>
          <w:rFonts w:eastAsia="宋体" w:cs="宋体" w:hint="eastAsia"/>
          <w:kern w:val="0"/>
          <w:sz w:val="21"/>
          <w:szCs w:val="21"/>
        </w:rPr>
        <w:t>，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p>
    <w:p w:rsidR="00000000" w:rsidRDefault="00C31261">
      <w:pPr>
        <w:spacing w:line="360" w:lineRule="auto"/>
        <w:rPr>
          <w:rFonts w:eastAsia="宋体" w:cs="宋体" w:hint="eastAsia"/>
          <w:kern w:val="0"/>
          <w:sz w:val="21"/>
          <w:szCs w:val="21"/>
        </w:rPr>
      </w:pPr>
    </w:p>
    <w:p w:rsidR="00000000" w:rsidRDefault="00C31261">
      <w:pPr>
        <w:spacing w:line="360" w:lineRule="auto"/>
        <w:ind w:firstLine="420"/>
        <w:rPr>
          <w:rFonts w:eastAsia="宋体" w:cs="宋体" w:hint="eastAsia"/>
          <w:kern w:val="0"/>
          <w:sz w:val="21"/>
          <w:szCs w:val="21"/>
        </w:rPr>
      </w:pPr>
      <w:r>
        <w:rPr>
          <w:rFonts w:eastAsia="宋体" w:cs="宋体" w:hint="eastAsia"/>
          <w:kern w:val="0"/>
          <w:sz w:val="21"/>
          <w:szCs w:val="21"/>
        </w:rPr>
        <w:t>特此公告。</w:t>
      </w:r>
    </w:p>
    <w:p w:rsidR="00000000" w:rsidRDefault="00C31261">
      <w:pPr>
        <w:spacing w:line="400" w:lineRule="exact"/>
        <w:jc w:val="left"/>
        <w:rPr>
          <w:rFonts w:eastAsia="宋体" w:cs="宋体" w:hint="eastAsia"/>
          <w:kern w:val="0"/>
          <w:sz w:val="21"/>
          <w:szCs w:val="21"/>
        </w:rPr>
      </w:pPr>
      <w:r>
        <w:rPr>
          <w:rFonts w:eastAsia="宋体" w:cs="宋体" w:hint="eastAsia"/>
          <w:kern w:val="0"/>
          <w:sz w:val="21"/>
          <w:szCs w:val="21"/>
        </w:rPr>
        <w:t xml:space="preserve">                                                        </w:t>
      </w:r>
    </w:p>
    <w:p w:rsidR="00000000" w:rsidRDefault="00C31261">
      <w:pPr>
        <w:spacing w:line="400" w:lineRule="exact"/>
        <w:jc w:val="left"/>
        <w:rPr>
          <w:rFonts w:eastAsia="宋体" w:cs="宋体" w:hint="eastAsia"/>
          <w:kern w:val="0"/>
          <w:sz w:val="21"/>
          <w:szCs w:val="21"/>
        </w:rPr>
      </w:pPr>
    </w:p>
    <w:p w:rsidR="00000000" w:rsidRDefault="00C31261">
      <w:pPr>
        <w:spacing w:line="400" w:lineRule="exact"/>
        <w:ind w:firstLineChars="2900" w:firstLine="6090"/>
        <w:jc w:val="left"/>
        <w:rPr>
          <w:rFonts w:eastAsia="宋体" w:cs="宋体" w:hint="eastAsia"/>
          <w:kern w:val="0"/>
          <w:sz w:val="21"/>
          <w:szCs w:val="21"/>
        </w:rPr>
      </w:pPr>
      <w:r>
        <w:rPr>
          <w:rFonts w:eastAsia="宋体" w:cs="宋体" w:hint="eastAsia"/>
          <w:kern w:val="0"/>
          <w:sz w:val="21"/>
          <w:szCs w:val="21"/>
        </w:rPr>
        <w:t>东吴基金管理有限公司</w:t>
      </w:r>
    </w:p>
    <w:p w:rsidR="00000000" w:rsidRDefault="00C31261">
      <w:pPr>
        <w:spacing w:line="400" w:lineRule="exact"/>
        <w:jc w:val="left"/>
        <w:rPr>
          <w:rFonts w:eastAsia="宋体" w:cs="宋体" w:hint="eastAsia"/>
          <w:kern w:val="0"/>
          <w:sz w:val="21"/>
          <w:szCs w:val="21"/>
        </w:rPr>
      </w:pPr>
      <w:r>
        <w:rPr>
          <w:rFonts w:eastAsia="宋体" w:cs="宋体" w:hint="eastAsia"/>
          <w:kern w:val="0"/>
          <w:sz w:val="21"/>
          <w:szCs w:val="21"/>
        </w:rPr>
        <w:t xml:space="preserve">                                                          </w:t>
      </w:r>
      <w:r>
        <w:rPr>
          <w:rFonts w:eastAsia="宋体" w:cs="宋体" w:hint="eastAsia"/>
          <w:kern w:val="0"/>
          <w:sz w:val="21"/>
          <w:szCs w:val="21"/>
        </w:rPr>
        <w:t xml:space="preserve">   202</w:t>
      </w:r>
      <w:r>
        <w:rPr>
          <w:rFonts w:eastAsia="宋体" w:cs="宋体" w:hint="eastAsia"/>
          <w:kern w:val="0"/>
          <w:sz w:val="21"/>
          <w:szCs w:val="21"/>
        </w:rPr>
        <w:t>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8</w:t>
      </w:r>
      <w:r>
        <w:rPr>
          <w:rFonts w:eastAsia="宋体" w:cs="宋体" w:hint="eastAsia"/>
          <w:kern w:val="0"/>
          <w:sz w:val="21"/>
          <w:szCs w:val="21"/>
        </w:rPr>
        <w:t>日</w:t>
      </w:r>
    </w:p>
    <w:p w:rsidR="00000000" w:rsidRDefault="00C31261">
      <w:pPr>
        <w:spacing w:line="400" w:lineRule="exact"/>
        <w:jc w:val="right"/>
        <w:rPr>
          <w:rFonts w:eastAsia="宋体" w:hint="eastAsia"/>
          <w:kern w:val="0"/>
          <w:sz w:val="21"/>
          <w:szCs w:val="21"/>
        </w:rPr>
      </w:pPr>
    </w:p>
    <w:p w:rsidR="00000000" w:rsidRDefault="00C31261">
      <w:pPr>
        <w:rPr>
          <w:rFonts w:hint="eastAsia"/>
        </w:rPr>
      </w:pPr>
    </w:p>
    <w:p w:rsidR="00000000" w:rsidRDefault="00C31261"/>
    <w:p w:rsidR="00000000" w:rsidRDefault="00C31261"/>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EAF1D4"/>
    <w:multiLevelType w:val="singleLevel"/>
    <w:tmpl w:val="C5EAF1D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240574cf-4f75-4e6d-9c3b-342c8bf981bf"/>
  </w:docVars>
  <w:rsids>
    <w:rsidRoot w:val="009A5ADF"/>
    <w:rsid w:val="00012D89"/>
    <w:rsid w:val="00015134"/>
    <w:rsid w:val="00030509"/>
    <w:rsid w:val="00051BB5"/>
    <w:rsid w:val="00071F2A"/>
    <w:rsid w:val="00087C16"/>
    <w:rsid w:val="000A77F7"/>
    <w:rsid w:val="000C4372"/>
    <w:rsid w:val="000D6EFB"/>
    <w:rsid w:val="000F5641"/>
    <w:rsid w:val="00105890"/>
    <w:rsid w:val="00137DAF"/>
    <w:rsid w:val="00154BD2"/>
    <w:rsid w:val="00167B7D"/>
    <w:rsid w:val="00170637"/>
    <w:rsid w:val="00183A96"/>
    <w:rsid w:val="00190DA3"/>
    <w:rsid w:val="001934CC"/>
    <w:rsid w:val="00195605"/>
    <w:rsid w:val="00196F80"/>
    <w:rsid w:val="001970EA"/>
    <w:rsid w:val="001C4454"/>
    <w:rsid w:val="001D495F"/>
    <w:rsid w:val="001D5655"/>
    <w:rsid w:val="001D608B"/>
    <w:rsid w:val="001E438A"/>
    <w:rsid w:val="002331B4"/>
    <w:rsid w:val="002624E4"/>
    <w:rsid w:val="00266B79"/>
    <w:rsid w:val="0028625F"/>
    <w:rsid w:val="002C0D90"/>
    <w:rsid w:val="002C4FDF"/>
    <w:rsid w:val="002E6B78"/>
    <w:rsid w:val="0031482A"/>
    <w:rsid w:val="00316295"/>
    <w:rsid w:val="003300D4"/>
    <w:rsid w:val="00330474"/>
    <w:rsid w:val="00332E0B"/>
    <w:rsid w:val="003473E3"/>
    <w:rsid w:val="00350153"/>
    <w:rsid w:val="0037356D"/>
    <w:rsid w:val="003769CC"/>
    <w:rsid w:val="003B0E5E"/>
    <w:rsid w:val="003B29DE"/>
    <w:rsid w:val="003C44B1"/>
    <w:rsid w:val="003D2EBA"/>
    <w:rsid w:val="003E6BE6"/>
    <w:rsid w:val="00416E36"/>
    <w:rsid w:val="0047416A"/>
    <w:rsid w:val="00474335"/>
    <w:rsid w:val="00487A34"/>
    <w:rsid w:val="00490775"/>
    <w:rsid w:val="00491EFC"/>
    <w:rsid w:val="004D7338"/>
    <w:rsid w:val="005048CF"/>
    <w:rsid w:val="00585C7B"/>
    <w:rsid w:val="0059648E"/>
    <w:rsid w:val="005C537E"/>
    <w:rsid w:val="005E1347"/>
    <w:rsid w:val="005E4C60"/>
    <w:rsid w:val="005F59BB"/>
    <w:rsid w:val="00666D5C"/>
    <w:rsid w:val="00670662"/>
    <w:rsid w:val="0067431B"/>
    <w:rsid w:val="006751D9"/>
    <w:rsid w:val="00675F82"/>
    <w:rsid w:val="00677A67"/>
    <w:rsid w:val="006A25D1"/>
    <w:rsid w:val="006C3E8F"/>
    <w:rsid w:val="006F44BA"/>
    <w:rsid w:val="007111B4"/>
    <w:rsid w:val="00726F0D"/>
    <w:rsid w:val="00727A17"/>
    <w:rsid w:val="00730266"/>
    <w:rsid w:val="007A0AD4"/>
    <w:rsid w:val="007C07DD"/>
    <w:rsid w:val="007C5E8A"/>
    <w:rsid w:val="007D25F7"/>
    <w:rsid w:val="007D6D0E"/>
    <w:rsid w:val="007F217C"/>
    <w:rsid w:val="007F49B5"/>
    <w:rsid w:val="00811890"/>
    <w:rsid w:val="00831C60"/>
    <w:rsid w:val="008962D9"/>
    <w:rsid w:val="008A2325"/>
    <w:rsid w:val="008A331A"/>
    <w:rsid w:val="008C783C"/>
    <w:rsid w:val="008E51FE"/>
    <w:rsid w:val="00904C74"/>
    <w:rsid w:val="00930619"/>
    <w:rsid w:val="00931774"/>
    <w:rsid w:val="0093688E"/>
    <w:rsid w:val="0098264E"/>
    <w:rsid w:val="00986F5A"/>
    <w:rsid w:val="009A29DE"/>
    <w:rsid w:val="009A4A3D"/>
    <w:rsid w:val="009A5ADF"/>
    <w:rsid w:val="009B1C5B"/>
    <w:rsid w:val="00A0294B"/>
    <w:rsid w:val="00A473EE"/>
    <w:rsid w:val="00A47827"/>
    <w:rsid w:val="00A760CB"/>
    <w:rsid w:val="00A80024"/>
    <w:rsid w:val="00AA12F5"/>
    <w:rsid w:val="00AB0EFD"/>
    <w:rsid w:val="00AC10CD"/>
    <w:rsid w:val="00AF425C"/>
    <w:rsid w:val="00AF5A90"/>
    <w:rsid w:val="00AF74C9"/>
    <w:rsid w:val="00B05D6E"/>
    <w:rsid w:val="00B15D7B"/>
    <w:rsid w:val="00B56F72"/>
    <w:rsid w:val="00B77AF0"/>
    <w:rsid w:val="00B9537C"/>
    <w:rsid w:val="00BC471C"/>
    <w:rsid w:val="00BD3D33"/>
    <w:rsid w:val="00C31261"/>
    <w:rsid w:val="00C50D48"/>
    <w:rsid w:val="00C847A1"/>
    <w:rsid w:val="00C90A2D"/>
    <w:rsid w:val="00CA0D4F"/>
    <w:rsid w:val="00CC685D"/>
    <w:rsid w:val="00CF7A4E"/>
    <w:rsid w:val="00D0791A"/>
    <w:rsid w:val="00D16584"/>
    <w:rsid w:val="00D21D19"/>
    <w:rsid w:val="00D32333"/>
    <w:rsid w:val="00D359B1"/>
    <w:rsid w:val="00D40563"/>
    <w:rsid w:val="00D41432"/>
    <w:rsid w:val="00D60C03"/>
    <w:rsid w:val="00D614CC"/>
    <w:rsid w:val="00D76447"/>
    <w:rsid w:val="00D86378"/>
    <w:rsid w:val="00DA70DB"/>
    <w:rsid w:val="00DD0F38"/>
    <w:rsid w:val="00DD3F54"/>
    <w:rsid w:val="00DF2C55"/>
    <w:rsid w:val="00E0763E"/>
    <w:rsid w:val="00E16FE4"/>
    <w:rsid w:val="00E41647"/>
    <w:rsid w:val="00EB0381"/>
    <w:rsid w:val="00ED0460"/>
    <w:rsid w:val="00ED5A92"/>
    <w:rsid w:val="00EF5285"/>
    <w:rsid w:val="00EF6956"/>
    <w:rsid w:val="00F5718E"/>
    <w:rsid w:val="00F6254C"/>
    <w:rsid w:val="00F7117C"/>
    <w:rsid w:val="00F83E71"/>
    <w:rsid w:val="00FB455F"/>
    <w:rsid w:val="00FC15D5"/>
    <w:rsid w:val="00FE2D2D"/>
    <w:rsid w:val="01347C6D"/>
    <w:rsid w:val="02A93107"/>
    <w:rsid w:val="04824419"/>
    <w:rsid w:val="04AD6D59"/>
    <w:rsid w:val="05516DDE"/>
    <w:rsid w:val="059576B4"/>
    <w:rsid w:val="059E00DB"/>
    <w:rsid w:val="05DD030C"/>
    <w:rsid w:val="05EA528E"/>
    <w:rsid w:val="06BD0AF1"/>
    <w:rsid w:val="07215F41"/>
    <w:rsid w:val="078C1976"/>
    <w:rsid w:val="07A079D2"/>
    <w:rsid w:val="07E9590B"/>
    <w:rsid w:val="08187648"/>
    <w:rsid w:val="0903259D"/>
    <w:rsid w:val="093C5C76"/>
    <w:rsid w:val="09656A3D"/>
    <w:rsid w:val="09836F21"/>
    <w:rsid w:val="099866AB"/>
    <w:rsid w:val="0A2F2581"/>
    <w:rsid w:val="0A5F2B10"/>
    <w:rsid w:val="0AB4001B"/>
    <w:rsid w:val="0AC74442"/>
    <w:rsid w:val="0AFB2A7D"/>
    <w:rsid w:val="0B413038"/>
    <w:rsid w:val="0B427292"/>
    <w:rsid w:val="0B9839B0"/>
    <w:rsid w:val="0BE637C9"/>
    <w:rsid w:val="0BF944E2"/>
    <w:rsid w:val="0C3E575D"/>
    <w:rsid w:val="0D4B2F68"/>
    <w:rsid w:val="0DAB7EAA"/>
    <w:rsid w:val="0DD663C3"/>
    <w:rsid w:val="0E952A69"/>
    <w:rsid w:val="0EA53794"/>
    <w:rsid w:val="0EAA5535"/>
    <w:rsid w:val="0F306FDA"/>
    <w:rsid w:val="0F4237E1"/>
    <w:rsid w:val="0F9F10E2"/>
    <w:rsid w:val="101504F3"/>
    <w:rsid w:val="10A24812"/>
    <w:rsid w:val="11015B72"/>
    <w:rsid w:val="1122349C"/>
    <w:rsid w:val="11A71B81"/>
    <w:rsid w:val="12BE1A93"/>
    <w:rsid w:val="12CB0D26"/>
    <w:rsid w:val="12D755F5"/>
    <w:rsid w:val="132B6CD5"/>
    <w:rsid w:val="13EF5AC2"/>
    <w:rsid w:val="13FF0B47"/>
    <w:rsid w:val="147F19B5"/>
    <w:rsid w:val="14C9218E"/>
    <w:rsid w:val="15C33D3B"/>
    <w:rsid w:val="15F0378C"/>
    <w:rsid w:val="1630469E"/>
    <w:rsid w:val="16397525"/>
    <w:rsid w:val="169B1FA7"/>
    <w:rsid w:val="16B6705D"/>
    <w:rsid w:val="17263809"/>
    <w:rsid w:val="18996AF3"/>
    <w:rsid w:val="18C67588"/>
    <w:rsid w:val="19065300"/>
    <w:rsid w:val="191B6341"/>
    <w:rsid w:val="198E370D"/>
    <w:rsid w:val="1AB62E35"/>
    <w:rsid w:val="1AD90660"/>
    <w:rsid w:val="1BD371CC"/>
    <w:rsid w:val="1CFE0F09"/>
    <w:rsid w:val="1D48588C"/>
    <w:rsid w:val="1DA568CF"/>
    <w:rsid w:val="1DB94325"/>
    <w:rsid w:val="1E345E26"/>
    <w:rsid w:val="1F291E7D"/>
    <w:rsid w:val="203B1CD3"/>
    <w:rsid w:val="22655338"/>
    <w:rsid w:val="235B2E1A"/>
    <w:rsid w:val="23DD7990"/>
    <w:rsid w:val="23FE30A7"/>
    <w:rsid w:val="24EE3666"/>
    <w:rsid w:val="25AD5428"/>
    <w:rsid w:val="25CF1565"/>
    <w:rsid w:val="263B5F5E"/>
    <w:rsid w:val="266B7930"/>
    <w:rsid w:val="26F357BA"/>
    <w:rsid w:val="27912859"/>
    <w:rsid w:val="27C216A5"/>
    <w:rsid w:val="28766940"/>
    <w:rsid w:val="288A1D3E"/>
    <w:rsid w:val="289D71BA"/>
    <w:rsid w:val="28A84C63"/>
    <w:rsid w:val="28BC1F5F"/>
    <w:rsid w:val="28C2468A"/>
    <w:rsid w:val="2A46118C"/>
    <w:rsid w:val="2A902352"/>
    <w:rsid w:val="2ABF453A"/>
    <w:rsid w:val="2B3C4E1C"/>
    <w:rsid w:val="2B676BA6"/>
    <w:rsid w:val="2BA51941"/>
    <w:rsid w:val="2C485AF8"/>
    <w:rsid w:val="2CC06EE8"/>
    <w:rsid w:val="2D6C7BF4"/>
    <w:rsid w:val="2D885DEC"/>
    <w:rsid w:val="2DA372EF"/>
    <w:rsid w:val="2DDC4CA4"/>
    <w:rsid w:val="2E3E6C53"/>
    <w:rsid w:val="2E5816FC"/>
    <w:rsid w:val="2EFA32F7"/>
    <w:rsid w:val="2F106BA7"/>
    <w:rsid w:val="2F635BF9"/>
    <w:rsid w:val="2F6B3F4E"/>
    <w:rsid w:val="30541C6C"/>
    <w:rsid w:val="307B7231"/>
    <w:rsid w:val="30A45AD9"/>
    <w:rsid w:val="30DD2FBC"/>
    <w:rsid w:val="30E61B12"/>
    <w:rsid w:val="310170FC"/>
    <w:rsid w:val="313C0AFC"/>
    <w:rsid w:val="316B58A2"/>
    <w:rsid w:val="317A7C58"/>
    <w:rsid w:val="31AA403A"/>
    <w:rsid w:val="31B54A1D"/>
    <w:rsid w:val="31B833C5"/>
    <w:rsid w:val="322819C3"/>
    <w:rsid w:val="322F20A0"/>
    <w:rsid w:val="32627E61"/>
    <w:rsid w:val="32DA34FB"/>
    <w:rsid w:val="3374692B"/>
    <w:rsid w:val="337D39E5"/>
    <w:rsid w:val="3402102E"/>
    <w:rsid w:val="341D0453"/>
    <w:rsid w:val="34881634"/>
    <w:rsid w:val="34EA48E1"/>
    <w:rsid w:val="35295A1B"/>
    <w:rsid w:val="35865E78"/>
    <w:rsid w:val="35D377AF"/>
    <w:rsid w:val="369D3BA6"/>
    <w:rsid w:val="3701300A"/>
    <w:rsid w:val="37850187"/>
    <w:rsid w:val="380F0C72"/>
    <w:rsid w:val="383D4C97"/>
    <w:rsid w:val="393A3157"/>
    <w:rsid w:val="39DC78DF"/>
    <w:rsid w:val="3A3D316F"/>
    <w:rsid w:val="3A7B63C6"/>
    <w:rsid w:val="3A9A4A4B"/>
    <w:rsid w:val="3AE11B58"/>
    <w:rsid w:val="3B185F20"/>
    <w:rsid w:val="3B66479A"/>
    <w:rsid w:val="3B992C1D"/>
    <w:rsid w:val="3BB77A90"/>
    <w:rsid w:val="3BCD4126"/>
    <w:rsid w:val="3C09460C"/>
    <w:rsid w:val="3CB0609F"/>
    <w:rsid w:val="3DC34121"/>
    <w:rsid w:val="3E994352"/>
    <w:rsid w:val="3EBD7A3D"/>
    <w:rsid w:val="3F1217F6"/>
    <w:rsid w:val="3F5037B8"/>
    <w:rsid w:val="40122D85"/>
    <w:rsid w:val="404D4F0A"/>
    <w:rsid w:val="40B725D0"/>
    <w:rsid w:val="415232F0"/>
    <w:rsid w:val="41A8572B"/>
    <w:rsid w:val="42E4524A"/>
    <w:rsid w:val="433B57B2"/>
    <w:rsid w:val="43C42AB3"/>
    <w:rsid w:val="440A11EB"/>
    <w:rsid w:val="44B75ED4"/>
    <w:rsid w:val="44E14B56"/>
    <w:rsid w:val="44F270C1"/>
    <w:rsid w:val="451F07BE"/>
    <w:rsid w:val="45EB708A"/>
    <w:rsid w:val="4603646C"/>
    <w:rsid w:val="46732FF1"/>
    <w:rsid w:val="46751744"/>
    <w:rsid w:val="46847CBF"/>
    <w:rsid w:val="47432337"/>
    <w:rsid w:val="485B78C5"/>
    <w:rsid w:val="497E745A"/>
    <w:rsid w:val="4AC34A9F"/>
    <w:rsid w:val="4AD320E5"/>
    <w:rsid w:val="4AE821DB"/>
    <w:rsid w:val="4AF77F60"/>
    <w:rsid w:val="4AF9238C"/>
    <w:rsid w:val="4B2D09E0"/>
    <w:rsid w:val="4B49690B"/>
    <w:rsid w:val="4B683F67"/>
    <w:rsid w:val="4BB412B6"/>
    <w:rsid w:val="4C0C69D1"/>
    <w:rsid w:val="4C7E4716"/>
    <w:rsid w:val="4D424595"/>
    <w:rsid w:val="4DA2629E"/>
    <w:rsid w:val="4E411725"/>
    <w:rsid w:val="4E45090D"/>
    <w:rsid w:val="4E996303"/>
    <w:rsid w:val="4F5937C0"/>
    <w:rsid w:val="50BF41AC"/>
    <w:rsid w:val="50F5242B"/>
    <w:rsid w:val="51226553"/>
    <w:rsid w:val="51500C6E"/>
    <w:rsid w:val="5151242D"/>
    <w:rsid w:val="52781AFC"/>
    <w:rsid w:val="52AF013D"/>
    <w:rsid w:val="54340D79"/>
    <w:rsid w:val="569710C5"/>
    <w:rsid w:val="57A4167B"/>
    <w:rsid w:val="57C7299B"/>
    <w:rsid w:val="57EE28CF"/>
    <w:rsid w:val="583D7E76"/>
    <w:rsid w:val="58663167"/>
    <w:rsid w:val="58CE6BAD"/>
    <w:rsid w:val="592F5209"/>
    <w:rsid w:val="59481264"/>
    <w:rsid w:val="598E457A"/>
    <w:rsid w:val="59AC6C42"/>
    <w:rsid w:val="5A455B7F"/>
    <w:rsid w:val="5A877428"/>
    <w:rsid w:val="5BC861CA"/>
    <w:rsid w:val="5CA23D47"/>
    <w:rsid w:val="5D6E176C"/>
    <w:rsid w:val="5D7002B5"/>
    <w:rsid w:val="5E6D40F8"/>
    <w:rsid w:val="5EBA364B"/>
    <w:rsid w:val="5F610897"/>
    <w:rsid w:val="5F7822F0"/>
    <w:rsid w:val="5FD05B60"/>
    <w:rsid w:val="60217E62"/>
    <w:rsid w:val="60982482"/>
    <w:rsid w:val="60AB1504"/>
    <w:rsid w:val="60B72887"/>
    <w:rsid w:val="60D33C53"/>
    <w:rsid w:val="614A38B3"/>
    <w:rsid w:val="620671E2"/>
    <w:rsid w:val="62B94201"/>
    <w:rsid w:val="62C53843"/>
    <w:rsid w:val="63EF473B"/>
    <w:rsid w:val="64FA3AEB"/>
    <w:rsid w:val="65B95B58"/>
    <w:rsid w:val="661C75BD"/>
    <w:rsid w:val="66AF4DEC"/>
    <w:rsid w:val="6745795C"/>
    <w:rsid w:val="6763500E"/>
    <w:rsid w:val="6783188B"/>
    <w:rsid w:val="681945B4"/>
    <w:rsid w:val="68601D62"/>
    <w:rsid w:val="68693DFB"/>
    <w:rsid w:val="68DB0E24"/>
    <w:rsid w:val="693D3C62"/>
    <w:rsid w:val="6966443A"/>
    <w:rsid w:val="6AC02D0D"/>
    <w:rsid w:val="6B6945F9"/>
    <w:rsid w:val="6C755500"/>
    <w:rsid w:val="6C866D08"/>
    <w:rsid w:val="6C8B7BB9"/>
    <w:rsid w:val="6CD96830"/>
    <w:rsid w:val="6CDA6799"/>
    <w:rsid w:val="6DA265FA"/>
    <w:rsid w:val="6DA4665E"/>
    <w:rsid w:val="6E487B6C"/>
    <w:rsid w:val="6E6B32BD"/>
    <w:rsid w:val="6E777D50"/>
    <w:rsid w:val="6E9D6230"/>
    <w:rsid w:val="6F1654F2"/>
    <w:rsid w:val="6FF74A66"/>
    <w:rsid w:val="707E12AA"/>
    <w:rsid w:val="711A76C2"/>
    <w:rsid w:val="72115523"/>
    <w:rsid w:val="73405C11"/>
    <w:rsid w:val="74305837"/>
    <w:rsid w:val="74B405F4"/>
    <w:rsid w:val="76C114FA"/>
    <w:rsid w:val="76E1484C"/>
    <w:rsid w:val="77811976"/>
    <w:rsid w:val="77D66227"/>
    <w:rsid w:val="78795929"/>
    <w:rsid w:val="789019D5"/>
    <w:rsid w:val="78A75468"/>
    <w:rsid w:val="78AA64BD"/>
    <w:rsid w:val="797B4D57"/>
    <w:rsid w:val="79C7243B"/>
    <w:rsid w:val="79E81143"/>
    <w:rsid w:val="7A3F4A1F"/>
    <w:rsid w:val="7A550379"/>
    <w:rsid w:val="7AE701D0"/>
    <w:rsid w:val="7B8C4D91"/>
    <w:rsid w:val="7B902188"/>
    <w:rsid w:val="7BC15AF1"/>
    <w:rsid w:val="7D28025A"/>
    <w:rsid w:val="7DD56A95"/>
    <w:rsid w:val="7DEB332D"/>
    <w:rsid w:val="7E68067F"/>
    <w:rsid w:val="7E8C4BAD"/>
    <w:rsid w:val="7E9B04E7"/>
    <w:rsid w:val="7F051474"/>
    <w:rsid w:val="7F5646F6"/>
    <w:rsid w:val="7F586FA1"/>
    <w:rsid w:val="7FC01B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Pr>
      <w:rFonts w:ascii="Arial" w:eastAsia="黑体" w:hAnsi="Arial"/>
      <w:b/>
      <w:bCs/>
      <w:kern w:val="2"/>
      <w:sz w:val="32"/>
      <w:szCs w:val="32"/>
      <w:lang w:val="en-US" w:eastAsia="zh-CN" w:bidi="ar-SA"/>
    </w:rPr>
  </w:style>
  <w:style w:type="paragraph" w:styleId="a3">
    <w:name w:val="Date"/>
    <w:basedOn w:val="a"/>
    <w:next w:val="a"/>
    <w:pPr>
      <w:ind w:leftChars="2500" w:left="100"/>
    </w:pPr>
  </w:style>
  <w:style w:type="paragraph" w:styleId="a4">
    <w:name w:val="Balloon Text"/>
    <w:basedOn w:val="a"/>
    <w:semiHidden/>
    <w:rPr>
      <w:sz w:val="18"/>
      <w:szCs w:val="18"/>
    </w:rPr>
  </w:style>
  <w:style w:type="paragraph" w:styleId="a5">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5"/>
    <w:rPr>
      <w:rFonts w:eastAsia="方正仿宋简体"/>
      <w:kern w:val="2"/>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Pr>
      <w:rFonts w:eastAsia="方正仿宋简体"/>
      <w:kern w:val="2"/>
      <w:sz w:val="18"/>
      <w:szCs w:val="18"/>
    </w:rPr>
  </w:style>
  <w:style w:type="paragraph" w:styleId="a7">
    <w:name w:val="footnote text"/>
    <w:basedOn w:val="a"/>
    <w:pPr>
      <w:snapToGrid w:val="0"/>
      <w:jc w:val="left"/>
    </w:pPr>
    <w:rPr>
      <w:rFonts w:eastAsia="宋体"/>
      <w:sz w:val="18"/>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HTML 预设格式 Char"/>
    <w:basedOn w:val="a0"/>
    <w:link w:val="HTML"/>
    <w:rPr>
      <w:rFonts w:ascii="Courier New" w:eastAsia="方正仿宋简体" w:hAnsi="Courier New" w:cs="Courier New" w:hint="default"/>
      <w:kern w:val="2"/>
    </w:rPr>
  </w:style>
  <w:style w:type="paragraph" w:styleId="a8">
    <w:name w:val="Normal (Web)"/>
    <w:basedOn w:val="a"/>
    <w:pPr>
      <w:widowControl/>
      <w:jc w:val="left"/>
    </w:pPr>
    <w:rPr>
      <w:rFonts w:ascii="宋体" w:eastAsia="宋体" w:hAnsi="宋体" w:cs="宋体"/>
      <w:kern w:val="0"/>
      <w:sz w:val="18"/>
      <w:szCs w:val="18"/>
    </w:rPr>
  </w:style>
  <w:style w:type="character" w:styleId="a9">
    <w:name w:val="FollowedHyperlink"/>
    <w:basedOn w:val="a0"/>
    <w:rPr>
      <w:color w:val="666666"/>
      <w:u w:val="none"/>
    </w:rPr>
  </w:style>
  <w:style w:type="character" w:styleId="aa">
    <w:name w:val="Hyperlink"/>
    <w:basedOn w:val="a0"/>
    <w:rPr>
      <w:strike w:val="0"/>
      <w:dstrike w:val="0"/>
      <w:color w:val="000000"/>
      <w:u w:val="none"/>
    </w:rPr>
  </w:style>
  <w:style w:type="character" w:styleId="ab">
    <w:name w:val="footnote reference"/>
    <w:basedOn w:val="a0"/>
    <w:rPr>
      <w:vertAlign w:val="superscript"/>
    </w:rPr>
  </w:style>
  <w:style w:type="character" w:customStyle="1" w:styleId="bg2">
    <w:name w:val="bg2"/>
    <w:basedOn w:val="a0"/>
  </w:style>
  <w:style w:type="character" w:customStyle="1" w:styleId="hover53">
    <w:name w:val="hover53"/>
    <w:basedOn w:val="a0"/>
    <w:rPr>
      <w:color w:val="FFFFFF"/>
      <w:shd w:val="clear" w:color="auto" w:fill="EDC211"/>
    </w:rPr>
  </w:style>
  <w:style w:type="character" w:customStyle="1" w:styleId="over">
    <w:name w:val="over"/>
    <w:basedOn w:val="a0"/>
  </w:style>
  <w:style w:type="character" w:customStyle="1" w:styleId="over2">
    <w:name w:val="over2"/>
    <w:basedOn w:val="a0"/>
  </w:style>
  <w:style w:type="character" w:customStyle="1" w:styleId="hover52">
    <w:name w:val="hover52"/>
    <w:basedOn w:val="a0"/>
    <w:rPr>
      <w:color w:val="FFFFFF"/>
      <w:shd w:val="clear" w:color="auto" w:fill="C9A363"/>
    </w:rPr>
  </w:style>
  <w:style w:type="character" w:customStyle="1" w:styleId="bg41">
    <w:name w:val="bg41"/>
    <w:basedOn w:val="a0"/>
  </w:style>
  <w:style w:type="character" w:customStyle="1" w:styleId="ios">
    <w:name w:val="ios"/>
    <w:basedOn w:val="a0"/>
    <w:rPr>
      <w:bdr w:val="single" w:sz="6" w:space="0" w:color="DFDFDF"/>
    </w:rPr>
  </w:style>
  <w:style w:type="character" w:customStyle="1" w:styleId="lsx">
    <w:name w:val="lsx"/>
    <w:basedOn w:val="a0"/>
    <w:rPr>
      <w:color w:val="00FF00"/>
    </w:rPr>
  </w:style>
  <w:style w:type="character" w:customStyle="1" w:styleId="bg4">
    <w:name w:val="bg4"/>
    <w:basedOn w:val="a0"/>
  </w:style>
  <w:style w:type="character" w:customStyle="1" w:styleId="bg11">
    <w:name w:val="bg11"/>
    <w:basedOn w:val="a0"/>
  </w:style>
  <w:style w:type="character" w:customStyle="1" w:styleId="hover58">
    <w:name w:val="hover58"/>
    <w:basedOn w:val="a0"/>
    <w:rPr>
      <w:color w:val="FFFFFF"/>
      <w:shd w:val="clear" w:color="auto" w:fill="ED686E"/>
    </w:rPr>
  </w:style>
  <w:style w:type="character" w:customStyle="1" w:styleId="hover55">
    <w:name w:val="hover55"/>
    <w:basedOn w:val="a0"/>
    <w:rPr>
      <w:color w:val="666666"/>
    </w:rPr>
  </w:style>
  <w:style w:type="character" w:customStyle="1" w:styleId="hover51">
    <w:name w:val="hover51"/>
    <w:basedOn w:val="a0"/>
    <w:rPr>
      <w:color w:val="666666"/>
    </w:rPr>
  </w:style>
  <w:style w:type="character" w:customStyle="1" w:styleId="over1">
    <w:name w:val="over1"/>
    <w:basedOn w:val="a0"/>
  </w:style>
  <w:style w:type="character" w:customStyle="1" w:styleId="hover56">
    <w:name w:val="hover56"/>
    <w:basedOn w:val="a0"/>
    <w:rPr>
      <w:color w:val="FFFFFF"/>
      <w:shd w:val="clear" w:color="auto" w:fill="C9A363"/>
    </w:rPr>
  </w:style>
  <w:style w:type="character" w:customStyle="1" w:styleId="hot49">
    <w:name w:val="hot49"/>
    <w:basedOn w:val="a0"/>
  </w:style>
  <w:style w:type="character" w:customStyle="1" w:styleId="bg31">
    <w:name w:val="bg31"/>
    <w:basedOn w:val="a0"/>
  </w:style>
  <w:style w:type="character" w:customStyle="1" w:styleId="bg21">
    <w:name w:val="bg21"/>
    <w:basedOn w:val="a0"/>
  </w:style>
  <w:style w:type="character" w:customStyle="1" w:styleId="az">
    <w:name w:val="az"/>
    <w:basedOn w:val="a0"/>
    <w:rPr>
      <w:bdr w:val="single" w:sz="6" w:space="0" w:color="DFDFDF"/>
    </w:rPr>
  </w:style>
  <w:style w:type="character" w:customStyle="1" w:styleId="hover54">
    <w:name w:val="hover54"/>
    <w:basedOn w:val="a0"/>
    <w:rPr>
      <w:color w:val="666666"/>
    </w:rPr>
  </w:style>
  <w:style w:type="character" w:customStyle="1" w:styleId="hot46">
    <w:name w:val="hot46"/>
    <w:basedOn w:val="a0"/>
  </w:style>
  <w:style w:type="character" w:customStyle="1" w:styleId="hot47">
    <w:name w:val="hot47"/>
    <w:basedOn w:val="a0"/>
  </w:style>
  <w:style w:type="character" w:customStyle="1" w:styleId="ls">
    <w:name w:val="ls"/>
    <w:basedOn w:val="a0"/>
    <w:rPr>
      <w:color w:val="666666"/>
    </w:rPr>
  </w:style>
  <w:style w:type="character" w:customStyle="1" w:styleId="hover57">
    <w:name w:val="hover57"/>
    <w:basedOn w:val="a0"/>
    <w:rPr>
      <w:color w:val="FFFFFF"/>
      <w:shd w:val="clear" w:color="auto" w:fill="EDC211"/>
    </w:rPr>
  </w:style>
  <w:style w:type="character" w:customStyle="1" w:styleId="bg5">
    <w:name w:val="bg5"/>
    <w:basedOn w:val="a0"/>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eastAsia="宋体"/>
      <w:kern w:val="0"/>
      <w:sz w:val="3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4</DocSecurity>
  <PresentationFormat/>
  <Lines>12</Lines>
  <Paragraphs>3</Paragraphs>
  <Slides>0</Slides>
  <Notes>0</Notes>
  <HiddenSlides>0</HiddenSlides>
  <MMClips>0</MMClips>
  <ScaleCrop>false</ScaleCrop>
  <Manager/>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东吴嘉禾优势精选混合型开放式证券投资基金暂停非个人投资者大额申购（含定期定额投资）、大额转换转入业务的公告</dc:title>
  <dc:subject/>
  <dc:creator>dingxue</dc:creator>
  <cp:keywords/>
  <dc:description/>
  <cp:lastModifiedBy>ZHONGM</cp:lastModifiedBy>
  <cp:revision>2</cp:revision>
  <cp:lastPrinted>2012-12-21T09:32:00Z</cp:lastPrinted>
  <dcterms:created xsi:type="dcterms:W3CDTF">2026-01-07T16:00:00Z</dcterms:created>
  <dcterms:modified xsi:type="dcterms:W3CDTF">2026-01-07T16:00:00Z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0B0058759C1B450E9F48D34B014CAA5D_13</vt:lpwstr>
  </property>
  <property fmtid="{D5CDD505-2E9C-101B-9397-08002B2CF9AE}" pid="4" name="commondata">
    <vt:lpwstr>eyJoZGlkIjoiODNhODdlMzhlODAzYzYyZGY0ZjhmMDc3ODIxZTJiMzQifQ==</vt:lpwstr>
  </property>
</Properties>
</file>