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AEC" w:rsidRDefault="00273ACB">
      <w:pPr>
        <w:autoSpaceDE w:val="0"/>
        <w:autoSpaceDN w:val="0"/>
        <w:adjustRightInd w:val="0"/>
        <w:spacing w:line="288" w:lineRule="auto"/>
        <w:jc w:val="center"/>
        <w:rPr>
          <w:rFonts w:ascii="Times New Roman" w:eastAsia="宋体" w:hAnsi="Times New Roman" w:cs="宋体"/>
          <w:b/>
          <w:bCs/>
          <w:color w:val="000000"/>
          <w:kern w:val="0"/>
          <w:sz w:val="28"/>
          <w:szCs w:val="28"/>
        </w:rPr>
      </w:pPr>
      <w:bookmarkStart w:id="0" w:name="_GoBack"/>
      <w:bookmarkEnd w:id="0"/>
      <w:r>
        <w:rPr>
          <w:rFonts w:ascii="Times New Roman" w:eastAsia="宋体" w:hAnsi="Times New Roman" w:cs="宋体" w:hint="eastAsia"/>
          <w:b/>
          <w:bCs/>
          <w:color w:val="000000"/>
          <w:kern w:val="0"/>
          <w:sz w:val="28"/>
          <w:szCs w:val="28"/>
        </w:rPr>
        <w:t>上银医疗创新混合型发起式证券投资基金开放日常申购、赎回、转换及定期定额投资业务的公告</w:t>
      </w:r>
    </w:p>
    <w:p w:rsidR="00575AEC" w:rsidRDefault="00575AEC">
      <w:pPr>
        <w:autoSpaceDE w:val="0"/>
        <w:autoSpaceDN w:val="0"/>
        <w:adjustRightInd w:val="0"/>
        <w:spacing w:line="288" w:lineRule="auto"/>
        <w:jc w:val="left"/>
        <w:rPr>
          <w:rFonts w:ascii="Times New Roman" w:hAnsi="Times New Roman" w:cs="MS Sans Serif"/>
          <w:color w:val="000000"/>
          <w:kern w:val="0"/>
          <w:sz w:val="7"/>
          <w:szCs w:val="7"/>
        </w:rPr>
      </w:pPr>
    </w:p>
    <w:p w:rsidR="00575AEC" w:rsidRDefault="00273ACB">
      <w:pPr>
        <w:autoSpaceDE w:val="0"/>
        <w:autoSpaceDN w:val="0"/>
        <w:adjustRightInd w:val="0"/>
        <w:spacing w:before="29" w:line="288" w:lineRule="auto"/>
        <w:ind w:left="15"/>
        <w:jc w:val="center"/>
        <w:rPr>
          <w:rFonts w:ascii="Times New Roman" w:eastAsia="宋体" w:hAnsi="Times New Roman" w:cs="宋体"/>
          <w:b/>
          <w:bCs/>
          <w:color w:val="000000"/>
          <w:kern w:val="0"/>
          <w:sz w:val="24"/>
          <w:szCs w:val="24"/>
        </w:rPr>
      </w:pPr>
      <w:r>
        <w:rPr>
          <w:rFonts w:ascii="Times New Roman" w:eastAsia="宋体" w:hAnsi="Times New Roman" w:cs="宋体" w:hint="eastAsia"/>
          <w:b/>
          <w:bCs/>
          <w:color w:val="000000"/>
          <w:kern w:val="0"/>
          <w:sz w:val="24"/>
          <w:szCs w:val="24"/>
        </w:rPr>
        <w:t>公告送出日期：</w:t>
      </w:r>
      <w:r>
        <w:rPr>
          <w:rFonts w:ascii="Times New Roman" w:eastAsia="宋体" w:hAnsi="Times New Roman" w:cs="宋体" w:hint="eastAsia"/>
          <w:b/>
          <w:bCs/>
          <w:color w:val="000000"/>
          <w:kern w:val="0"/>
          <w:sz w:val="24"/>
          <w:szCs w:val="24"/>
        </w:rPr>
        <w:t>2026</w:t>
      </w:r>
      <w:r>
        <w:rPr>
          <w:rFonts w:ascii="Times New Roman" w:eastAsia="宋体" w:hAnsi="Times New Roman" w:cs="宋体" w:hint="eastAsia"/>
          <w:b/>
          <w:bCs/>
          <w:color w:val="000000"/>
          <w:kern w:val="0"/>
          <w:sz w:val="24"/>
          <w:szCs w:val="24"/>
        </w:rPr>
        <w:t>年</w:t>
      </w:r>
      <w:r>
        <w:rPr>
          <w:rFonts w:ascii="Times New Roman" w:eastAsia="宋体" w:hAnsi="Times New Roman" w:cs="宋体" w:hint="eastAsia"/>
          <w:b/>
          <w:bCs/>
          <w:color w:val="000000"/>
          <w:kern w:val="0"/>
          <w:sz w:val="24"/>
          <w:szCs w:val="24"/>
        </w:rPr>
        <w:t>1</w:t>
      </w:r>
      <w:r>
        <w:rPr>
          <w:rFonts w:ascii="Times New Roman" w:eastAsia="宋体" w:hAnsi="Times New Roman" w:cs="宋体" w:hint="eastAsia"/>
          <w:b/>
          <w:bCs/>
          <w:color w:val="000000"/>
          <w:kern w:val="0"/>
          <w:sz w:val="24"/>
          <w:szCs w:val="24"/>
        </w:rPr>
        <w:t>月</w:t>
      </w:r>
      <w:r>
        <w:rPr>
          <w:rFonts w:ascii="Times New Roman" w:eastAsia="宋体" w:hAnsi="Times New Roman" w:cs="宋体" w:hint="eastAsia"/>
          <w:b/>
          <w:bCs/>
          <w:color w:val="000000"/>
          <w:kern w:val="0"/>
          <w:sz w:val="24"/>
          <w:szCs w:val="24"/>
        </w:rPr>
        <w:t>8</w:t>
      </w:r>
      <w:r>
        <w:rPr>
          <w:rFonts w:ascii="Times New Roman" w:eastAsia="宋体" w:hAnsi="Times New Roman" w:cs="宋体" w:hint="eastAsia"/>
          <w:b/>
          <w:bCs/>
          <w:color w:val="000000"/>
          <w:kern w:val="0"/>
          <w:sz w:val="24"/>
          <w:szCs w:val="24"/>
        </w:rPr>
        <w:t>日</w:t>
      </w:r>
    </w:p>
    <w:p w:rsidR="00575AEC" w:rsidRDefault="00575AEC">
      <w:pPr>
        <w:autoSpaceDE w:val="0"/>
        <w:autoSpaceDN w:val="0"/>
        <w:adjustRightInd w:val="0"/>
        <w:spacing w:before="29" w:line="288" w:lineRule="auto"/>
        <w:ind w:left="15"/>
        <w:jc w:val="left"/>
        <w:rPr>
          <w:rFonts w:ascii="宋体" w:eastAsia="宋体" w:hAnsi="Arial" w:cs="宋体"/>
          <w:b/>
          <w:bCs/>
          <w:color w:val="000000"/>
          <w:kern w:val="0"/>
          <w:sz w:val="24"/>
          <w:szCs w:val="24"/>
        </w:rPr>
      </w:pP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1 </w:t>
      </w:r>
      <w:r>
        <w:rPr>
          <w:rFonts w:ascii="宋体" w:eastAsia="宋体" w:hAnsi="Arial" w:cs="宋体" w:hint="eastAsia"/>
          <w:b/>
          <w:bCs/>
          <w:color w:val="000000"/>
          <w:kern w:val="0"/>
          <w:sz w:val="24"/>
          <w:szCs w:val="24"/>
        </w:rPr>
        <w:t>公告基本信息</w:t>
      </w:r>
    </w:p>
    <w:tbl>
      <w:tblPr>
        <w:tblW w:w="9030" w:type="dxa"/>
        <w:tblInd w:w="108" w:type="dxa"/>
        <w:tblLayout w:type="fixed"/>
        <w:tblLook w:val="04A0"/>
      </w:tblPr>
      <w:tblGrid>
        <w:gridCol w:w="3402"/>
        <w:gridCol w:w="2835"/>
        <w:gridCol w:w="2793"/>
      </w:tblGrid>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基金名称</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bCs/>
                <w:color w:val="000000"/>
                <w:kern w:val="0"/>
                <w:sz w:val="24"/>
                <w:szCs w:val="24"/>
              </w:rPr>
            </w:pPr>
            <w:r>
              <w:rPr>
                <w:rFonts w:ascii="宋体" w:eastAsia="宋体" w:hAnsi="宋体" w:cs="宋体" w:hint="eastAsia"/>
                <w:sz w:val="24"/>
                <w:szCs w:val="24"/>
              </w:rPr>
              <w:t>上银医疗创新混合型发起式证券投资基金</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基金简称</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宋体" w:cs="宋体" w:hint="eastAsia"/>
                <w:sz w:val="24"/>
                <w:szCs w:val="24"/>
              </w:rPr>
              <w:t>上银医疗创新混合发起式</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基金主代码</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宋体" w:eastAsia="宋体" w:hAnsi="宋体" w:cs="宋体" w:hint="eastAsia"/>
                <w:sz w:val="24"/>
                <w:szCs w:val="24"/>
              </w:rPr>
              <w:t>026089</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基金运作方式</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宋体" w:cs="宋体" w:hint="eastAsia"/>
                <w:sz w:val="24"/>
                <w:szCs w:val="24"/>
              </w:rPr>
              <w:t>契约型、开放式</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基金合同生效日</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2025</w:t>
            </w:r>
            <w:r>
              <w:rPr>
                <w:rFonts w:ascii="Times New Roman" w:eastAsia="宋体" w:hAnsi="Times New Roman" w:hint="eastAsia"/>
                <w:color w:val="000000"/>
                <w:kern w:val="0"/>
                <w:sz w:val="24"/>
                <w:szCs w:val="24"/>
              </w:rPr>
              <w:t>年</w:t>
            </w:r>
            <w:r>
              <w:rPr>
                <w:rFonts w:ascii="Times New Roman" w:eastAsia="宋体" w:hAnsi="Times New Roman" w:hint="eastAsia"/>
                <w:color w:val="000000"/>
                <w:kern w:val="0"/>
                <w:sz w:val="24"/>
                <w:szCs w:val="24"/>
              </w:rPr>
              <w:t>12</w:t>
            </w:r>
            <w:r>
              <w:rPr>
                <w:rFonts w:ascii="Times New Roman" w:eastAsia="宋体" w:hAnsi="Times New Roman" w:hint="eastAsia"/>
                <w:color w:val="000000"/>
                <w:kern w:val="0"/>
                <w:sz w:val="24"/>
                <w:szCs w:val="24"/>
              </w:rPr>
              <w:t>月</w:t>
            </w:r>
            <w:r>
              <w:rPr>
                <w:rFonts w:ascii="Times New Roman" w:eastAsia="宋体" w:hAnsi="Times New Roman" w:hint="eastAsia"/>
                <w:color w:val="000000"/>
                <w:kern w:val="0"/>
                <w:sz w:val="24"/>
                <w:szCs w:val="24"/>
              </w:rPr>
              <w:t>16</w:t>
            </w:r>
            <w:r>
              <w:rPr>
                <w:rFonts w:ascii="Times New Roman" w:eastAsia="宋体" w:hAnsi="Times New Roman" w:hint="eastAsia"/>
                <w:color w:val="000000"/>
                <w:kern w:val="0"/>
                <w:sz w:val="24"/>
                <w:szCs w:val="24"/>
              </w:rPr>
              <w:t>日</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基金管理人名称</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上银基金管理有限公司</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基金托管人名称</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宋体" w:cs="宋体" w:hint="eastAsia"/>
                <w:sz w:val="24"/>
                <w:szCs w:val="24"/>
              </w:rPr>
              <w:t>上海农村商业银行股份有限公司</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基金注册登记机构名称</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上银基金管理有限公司</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公告依据</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宋体" w:cs="宋体" w:hint="eastAsia"/>
                <w:sz w:val="24"/>
                <w:szCs w:val="24"/>
              </w:rPr>
              <w:t>上银医疗创新混合型发起式证券投资基金</w:t>
            </w:r>
            <w:r>
              <w:rPr>
                <w:rFonts w:ascii="宋体" w:eastAsia="宋体" w:hAnsi="Arial" w:cs="宋体" w:hint="eastAsia"/>
                <w:color w:val="000000"/>
                <w:kern w:val="0"/>
                <w:sz w:val="24"/>
                <w:szCs w:val="24"/>
              </w:rPr>
              <w:t>基金合同》和《</w:t>
            </w:r>
            <w:r>
              <w:rPr>
                <w:rFonts w:ascii="宋体" w:eastAsia="宋体" w:hAnsi="宋体" w:cs="宋体" w:hint="eastAsia"/>
                <w:sz w:val="24"/>
                <w:szCs w:val="24"/>
              </w:rPr>
              <w:t>上银医疗创新混合型发起式证券投资基金</w:t>
            </w:r>
            <w:r>
              <w:rPr>
                <w:rFonts w:ascii="宋体" w:eastAsia="宋体" w:hAnsi="Arial" w:cs="宋体" w:hint="eastAsia"/>
                <w:color w:val="000000"/>
                <w:kern w:val="0"/>
                <w:sz w:val="24"/>
                <w:szCs w:val="24"/>
              </w:rPr>
              <w:t>招募说明书》的相关规定</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申购起始日</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Times New Roman" w:eastAsia="宋体" w:hAnsi="Times New Roman"/>
                <w:color w:val="000000"/>
                <w:kern w:val="0"/>
                <w:sz w:val="24"/>
                <w:szCs w:val="24"/>
              </w:rPr>
              <w:t>202</w:t>
            </w:r>
            <w:r>
              <w:rPr>
                <w:rFonts w:ascii="Times New Roman" w:eastAsia="宋体" w:hAnsi="Times New Roman" w:hint="eastAsia"/>
                <w:color w:val="000000"/>
                <w:kern w:val="0"/>
                <w:sz w:val="24"/>
                <w:szCs w:val="24"/>
              </w:rPr>
              <w:t>6</w:t>
            </w:r>
            <w:r>
              <w:rPr>
                <w:rFonts w:ascii="Times New Roman" w:eastAsia="宋体" w:hAnsi="Times New Roman"/>
                <w:color w:val="000000"/>
                <w:kern w:val="0"/>
                <w:sz w:val="24"/>
                <w:szCs w:val="24"/>
              </w:rPr>
              <w:t>年</w:t>
            </w:r>
            <w:r>
              <w:rPr>
                <w:rFonts w:ascii="Times New Roman" w:eastAsia="宋体" w:hAnsi="Times New Roman" w:hint="eastAsia"/>
                <w:color w:val="000000"/>
                <w:kern w:val="0"/>
                <w:sz w:val="24"/>
                <w:szCs w:val="24"/>
              </w:rPr>
              <w:t>1</w:t>
            </w:r>
            <w:r>
              <w:rPr>
                <w:rFonts w:ascii="Times New Roman" w:eastAsia="宋体" w:hAnsi="Times New Roman"/>
                <w:color w:val="000000"/>
                <w:kern w:val="0"/>
                <w:sz w:val="24"/>
                <w:szCs w:val="24"/>
              </w:rPr>
              <w:t>月</w:t>
            </w:r>
            <w:r>
              <w:rPr>
                <w:rFonts w:ascii="Times New Roman" w:eastAsia="宋体" w:hAnsi="Times New Roman" w:hint="eastAsia"/>
                <w:color w:val="000000"/>
                <w:kern w:val="0"/>
                <w:sz w:val="24"/>
                <w:szCs w:val="24"/>
              </w:rPr>
              <w:t>8</w:t>
            </w:r>
            <w:r>
              <w:rPr>
                <w:rFonts w:ascii="Times New Roman" w:eastAsia="宋体" w:hAnsi="Times New Roman"/>
                <w:color w:val="000000"/>
                <w:kern w:val="0"/>
                <w:sz w:val="24"/>
                <w:szCs w:val="24"/>
              </w:rPr>
              <w:t>日</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赎回起始日</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Times New Roman" w:eastAsia="宋体" w:hAnsi="Times New Roman"/>
                <w:color w:val="000000"/>
                <w:kern w:val="0"/>
                <w:sz w:val="24"/>
                <w:szCs w:val="24"/>
              </w:rPr>
              <w:t>202</w:t>
            </w:r>
            <w:r>
              <w:rPr>
                <w:rFonts w:ascii="Times New Roman" w:eastAsia="宋体" w:hAnsi="Times New Roman" w:hint="eastAsia"/>
                <w:color w:val="000000"/>
                <w:kern w:val="0"/>
                <w:sz w:val="24"/>
                <w:szCs w:val="24"/>
              </w:rPr>
              <w:t>6</w:t>
            </w:r>
            <w:r>
              <w:rPr>
                <w:rFonts w:ascii="Times New Roman" w:eastAsia="宋体" w:hAnsi="Times New Roman"/>
                <w:color w:val="000000"/>
                <w:kern w:val="0"/>
                <w:sz w:val="24"/>
                <w:szCs w:val="24"/>
              </w:rPr>
              <w:t>年</w:t>
            </w:r>
            <w:r>
              <w:rPr>
                <w:rFonts w:ascii="Times New Roman" w:eastAsia="宋体" w:hAnsi="Times New Roman" w:hint="eastAsia"/>
                <w:color w:val="000000"/>
                <w:kern w:val="0"/>
                <w:sz w:val="24"/>
                <w:szCs w:val="24"/>
              </w:rPr>
              <w:t>1</w:t>
            </w:r>
            <w:r>
              <w:rPr>
                <w:rFonts w:ascii="Times New Roman" w:eastAsia="宋体" w:hAnsi="Times New Roman"/>
                <w:color w:val="000000"/>
                <w:kern w:val="0"/>
                <w:sz w:val="24"/>
                <w:szCs w:val="24"/>
              </w:rPr>
              <w:t>月</w:t>
            </w:r>
            <w:r>
              <w:rPr>
                <w:rFonts w:ascii="Times New Roman" w:eastAsia="宋体" w:hAnsi="Times New Roman" w:hint="eastAsia"/>
                <w:color w:val="000000"/>
                <w:kern w:val="0"/>
                <w:sz w:val="24"/>
                <w:szCs w:val="24"/>
              </w:rPr>
              <w:t>8</w:t>
            </w:r>
            <w:r>
              <w:rPr>
                <w:rFonts w:ascii="Times New Roman" w:eastAsia="宋体" w:hAnsi="Times New Roman"/>
                <w:color w:val="000000"/>
                <w:kern w:val="0"/>
                <w:sz w:val="24"/>
                <w:szCs w:val="24"/>
              </w:rPr>
              <w:t>日</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转换转入起始日</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Times New Roman" w:eastAsia="宋体" w:hAnsi="Times New Roman"/>
                <w:color w:val="000000"/>
                <w:kern w:val="0"/>
                <w:sz w:val="24"/>
                <w:szCs w:val="24"/>
              </w:rPr>
              <w:t>202</w:t>
            </w:r>
            <w:r>
              <w:rPr>
                <w:rFonts w:ascii="Times New Roman" w:eastAsia="宋体" w:hAnsi="Times New Roman" w:hint="eastAsia"/>
                <w:color w:val="000000"/>
                <w:kern w:val="0"/>
                <w:sz w:val="24"/>
                <w:szCs w:val="24"/>
              </w:rPr>
              <w:t>6</w:t>
            </w:r>
            <w:r>
              <w:rPr>
                <w:rFonts w:ascii="Times New Roman" w:eastAsia="宋体" w:hAnsi="Times New Roman"/>
                <w:color w:val="000000"/>
                <w:kern w:val="0"/>
                <w:sz w:val="24"/>
                <w:szCs w:val="24"/>
              </w:rPr>
              <w:t>年</w:t>
            </w:r>
            <w:r>
              <w:rPr>
                <w:rFonts w:ascii="Times New Roman" w:eastAsia="宋体" w:hAnsi="Times New Roman" w:hint="eastAsia"/>
                <w:color w:val="000000"/>
                <w:kern w:val="0"/>
                <w:sz w:val="24"/>
                <w:szCs w:val="24"/>
              </w:rPr>
              <w:t>1</w:t>
            </w:r>
            <w:r>
              <w:rPr>
                <w:rFonts w:ascii="Times New Roman" w:eastAsia="宋体" w:hAnsi="Times New Roman"/>
                <w:color w:val="000000"/>
                <w:kern w:val="0"/>
                <w:sz w:val="24"/>
                <w:szCs w:val="24"/>
              </w:rPr>
              <w:t>月</w:t>
            </w:r>
            <w:r>
              <w:rPr>
                <w:rFonts w:ascii="Times New Roman" w:eastAsia="宋体" w:hAnsi="Times New Roman" w:hint="eastAsia"/>
                <w:color w:val="000000"/>
                <w:kern w:val="0"/>
                <w:sz w:val="24"/>
                <w:szCs w:val="24"/>
              </w:rPr>
              <w:t>8</w:t>
            </w:r>
            <w:r>
              <w:rPr>
                <w:rFonts w:ascii="Times New Roman" w:eastAsia="宋体" w:hAnsi="Times New Roman"/>
                <w:color w:val="000000"/>
                <w:kern w:val="0"/>
                <w:sz w:val="24"/>
                <w:szCs w:val="24"/>
              </w:rPr>
              <w:t>日</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转换转出起始日</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202</w:t>
            </w:r>
            <w:r>
              <w:rPr>
                <w:rFonts w:ascii="Times New Roman" w:eastAsia="宋体" w:hAnsi="Times New Roman" w:hint="eastAsia"/>
                <w:color w:val="000000"/>
                <w:kern w:val="0"/>
                <w:sz w:val="24"/>
                <w:szCs w:val="24"/>
              </w:rPr>
              <w:t>6</w:t>
            </w:r>
            <w:r>
              <w:rPr>
                <w:rFonts w:ascii="Times New Roman" w:eastAsia="宋体" w:hAnsi="Times New Roman"/>
                <w:color w:val="000000"/>
                <w:kern w:val="0"/>
                <w:sz w:val="24"/>
                <w:szCs w:val="24"/>
              </w:rPr>
              <w:t>年</w:t>
            </w:r>
            <w:r>
              <w:rPr>
                <w:rFonts w:ascii="Times New Roman" w:eastAsia="宋体" w:hAnsi="Times New Roman" w:hint="eastAsia"/>
                <w:color w:val="000000"/>
                <w:kern w:val="0"/>
                <w:sz w:val="24"/>
                <w:szCs w:val="24"/>
              </w:rPr>
              <w:t>1</w:t>
            </w:r>
            <w:r>
              <w:rPr>
                <w:rFonts w:ascii="Times New Roman" w:eastAsia="宋体" w:hAnsi="Times New Roman"/>
                <w:color w:val="000000"/>
                <w:kern w:val="0"/>
                <w:sz w:val="24"/>
                <w:szCs w:val="24"/>
              </w:rPr>
              <w:t>月</w:t>
            </w:r>
            <w:r>
              <w:rPr>
                <w:rFonts w:ascii="Times New Roman" w:eastAsia="宋体" w:hAnsi="Times New Roman" w:hint="eastAsia"/>
                <w:color w:val="000000"/>
                <w:kern w:val="0"/>
                <w:sz w:val="24"/>
                <w:szCs w:val="24"/>
              </w:rPr>
              <w:t>8</w:t>
            </w:r>
            <w:r>
              <w:rPr>
                <w:rFonts w:ascii="Times New Roman" w:eastAsia="宋体" w:hAnsi="Times New Roman"/>
                <w:color w:val="000000"/>
                <w:kern w:val="0"/>
                <w:sz w:val="24"/>
                <w:szCs w:val="24"/>
              </w:rPr>
              <w:t>日</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定期定额投资起始日</w:t>
            </w:r>
          </w:p>
        </w:tc>
        <w:tc>
          <w:tcPr>
            <w:tcW w:w="5628" w:type="dxa"/>
            <w:gridSpan w:val="2"/>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Times New Roman" w:eastAsia="宋体" w:hAnsi="Times New Roman"/>
                <w:color w:val="000000"/>
                <w:kern w:val="0"/>
                <w:sz w:val="24"/>
                <w:szCs w:val="24"/>
              </w:rPr>
              <w:t>202</w:t>
            </w:r>
            <w:r>
              <w:rPr>
                <w:rFonts w:ascii="Times New Roman" w:eastAsia="宋体" w:hAnsi="Times New Roman" w:hint="eastAsia"/>
                <w:color w:val="000000"/>
                <w:kern w:val="0"/>
                <w:sz w:val="24"/>
                <w:szCs w:val="24"/>
              </w:rPr>
              <w:t>6</w:t>
            </w:r>
            <w:r>
              <w:rPr>
                <w:rFonts w:ascii="Times New Roman" w:eastAsia="宋体" w:hAnsi="Times New Roman"/>
                <w:color w:val="000000"/>
                <w:kern w:val="0"/>
                <w:sz w:val="24"/>
                <w:szCs w:val="24"/>
              </w:rPr>
              <w:t>年</w:t>
            </w:r>
            <w:r>
              <w:rPr>
                <w:rFonts w:ascii="Times New Roman" w:eastAsia="宋体" w:hAnsi="Times New Roman" w:hint="eastAsia"/>
                <w:color w:val="000000"/>
                <w:kern w:val="0"/>
                <w:sz w:val="24"/>
                <w:szCs w:val="24"/>
              </w:rPr>
              <w:t>1</w:t>
            </w:r>
            <w:r>
              <w:rPr>
                <w:rFonts w:ascii="Times New Roman" w:eastAsia="宋体" w:hAnsi="Times New Roman"/>
                <w:color w:val="000000"/>
                <w:kern w:val="0"/>
                <w:sz w:val="24"/>
                <w:szCs w:val="24"/>
              </w:rPr>
              <w:t>月</w:t>
            </w:r>
            <w:r>
              <w:rPr>
                <w:rFonts w:ascii="Times New Roman" w:eastAsia="宋体" w:hAnsi="Times New Roman" w:hint="eastAsia"/>
                <w:color w:val="000000"/>
                <w:kern w:val="0"/>
                <w:sz w:val="24"/>
                <w:szCs w:val="24"/>
              </w:rPr>
              <w:t>8</w:t>
            </w:r>
            <w:r>
              <w:rPr>
                <w:rFonts w:ascii="Times New Roman" w:eastAsia="宋体" w:hAnsi="Times New Roman"/>
                <w:color w:val="000000"/>
                <w:kern w:val="0"/>
                <w:sz w:val="24"/>
                <w:szCs w:val="24"/>
              </w:rPr>
              <w:t>日</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下属分级基金的基金简称</w:t>
            </w:r>
          </w:p>
        </w:tc>
        <w:tc>
          <w:tcPr>
            <w:tcW w:w="2835"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宋体" w:cs="宋体"/>
                <w:sz w:val="24"/>
                <w:szCs w:val="24"/>
              </w:rPr>
            </w:pPr>
            <w:r>
              <w:rPr>
                <w:rFonts w:ascii="宋体" w:eastAsia="宋体" w:hAnsi="宋体" w:cs="宋体" w:hint="eastAsia"/>
                <w:sz w:val="24"/>
                <w:szCs w:val="24"/>
              </w:rPr>
              <w:t>上银医疗创新混合发起式</w:t>
            </w:r>
            <w:r>
              <w:rPr>
                <w:rFonts w:ascii="宋体" w:eastAsia="宋体" w:hAnsi="宋体" w:cs="宋体" w:hint="eastAsia"/>
                <w:sz w:val="24"/>
                <w:szCs w:val="24"/>
              </w:rPr>
              <w:t>A</w:t>
            </w:r>
          </w:p>
        </w:tc>
        <w:tc>
          <w:tcPr>
            <w:tcW w:w="2793"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宋体" w:cs="宋体"/>
                <w:sz w:val="24"/>
                <w:szCs w:val="24"/>
              </w:rPr>
            </w:pPr>
            <w:r>
              <w:rPr>
                <w:rFonts w:ascii="宋体" w:eastAsia="宋体" w:hAnsi="宋体" w:cs="宋体" w:hint="eastAsia"/>
                <w:sz w:val="24"/>
                <w:szCs w:val="24"/>
              </w:rPr>
              <w:t>上银医疗创新混合发起式</w:t>
            </w:r>
            <w:r>
              <w:rPr>
                <w:rFonts w:ascii="宋体" w:eastAsia="宋体" w:hAnsi="宋体" w:cs="宋体" w:hint="eastAsia"/>
                <w:sz w:val="24"/>
                <w:szCs w:val="24"/>
              </w:rPr>
              <w:t>C</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下属分级基金的交易代码</w:t>
            </w:r>
          </w:p>
        </w:tc>
        <w:tc>
          <w:tcPr>
            <w:tcW w:w="2835"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026089</w:t>
            </w:r>
          </w:p>
        </w:tc>
        <w:tc>
          <w:tcPr>
            <w:tcW w:w="2793"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026090</w:t>
            </w:r>
          </w:p>
        </w:tc>
      </w:tr>
      <w:tr w:rsidR="00575AEC">
        <w:tc>
          <w:tcPr>
            <w:tcW w:w="3402"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该分级基金是否开放申购、赎回、转换及</w:t>
            </w:r>
            <w:r>
              <w:rPr>
                <w:rFonts w:ascii="宋体" w:hAnsi="宋体" w:cs="宋体" w:hint="eastAsia"/>
                <w:color w:val="000000"/>
                <w:kern w:val="0"/>
                <w:sz w:val="24"/>
                <w:szCs w:val="24"/>
              </w:rPr>
              <w:t>定期定额投资</w:t>
            </w:r>
          </w:p>
        </w:tc>
        <w:tc>
          <w:tcPr>
            <w:tcW w:w="2835"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w:t>
            </w:r>
          </w:p>
        </w:tc>
        <w:tc>
          <w:tcPr>
            <w:tcW w:w="2793" w:type="dxa"/>
            <w:tcBorders>
              <w:top w:val="single" w:sz="8" w:space="0" w:color="000000"/>
              <w:left w:val="single" w:sz="8" w:space="0" w:color="000000"/>
              <w:bottom w:val="single" w:sz="8" w:space="0" w:color="000000"/>
              <w:right w:val="single" w:sz="8" w:space="0" w:color="000000"/>
            </w:tcBorders>
            <w:vAlign w:val="center"/>
          </w:tcPr>
          <w:p w:rsidR="00575AEC" w:rsidRDefault="00273ACB">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w:t>
            </w:r>
          </w:p>
        </w:tc>
      </w:tr>
    </w:tbl>
    <w:p w:rsidR="00575AEC" w:rsidRDefault="00273ACB">
      <w:pPr>
        <w:autoSpaceDE w:val="0"/>
        <w:autoSpaceDN w:val="0"/>
        <w:adjustRightInd w:val="0"/>
        <w:spacing w:before="29" w:line="288" w:lineRule="auto"/>
        <w:ind w:left="15"/>
        <w:jc w:val="left"/>
        <w:rPr>
          <w:rFonts w:ascii="宋体" w:eastAsia="宋体" w:hAnsi="宋体" w:cs="宋体"/>
          <w:sz w:val="24"/>
          <w:szCs w:val="24"/>
        </w:rPr>
      </w:pPr>
      <w:r>
        <w:rPr>
          <w:rFonts w:ascii="宋体" w:eastAsia="宋体" w:hAnsi="宋体" w:cs="宋体" w:hint="eastAsia"/>
          <w:sz w:val="24"/>
          <w:szCs w:val="24"/>
        </w:rPr>
        <w:t>注：上银医疗创新混合发起式</w:t>
      </w:r>
      <w:r>
        <w:rPr>
          <w:rFonts w:ascii="宋体" w:eastAsia="宋体" w:hAnsi="宋体" w:cs="宋体" w:hint="eastAsia"/>
          <w:sz w:val="24"/>
          <w:szCs w:val="24"/>
        </w:rPr>
        <w:t>A</w:t>
      </w:r>
      <w:r>
        <w:rPr>
          <w:rFonts w:ascii="宋体" w:eastAsia="宋体" w:hAnsi="宋体" w:cs="宋体" w:hint="eastAsia"/>
          <w:sz w:val="24"/>
          <w:szCs w:val="24"/>
        </w:rPr>
        <w:t>（交易代码：</w:t>
      </w:r>
      <w:r>
        <w:rPr>
          <w:rFonts w:ascii="宋体" w:eastAsia="宋体" w:hAnsi="宋体" w:cs="宋体" w:hint="eastAsia"/>
          <w:sz w:val="24"/>
          <w:szCs w:val="24"/>
        </w:rPr>
        <w:t>026089</w:t>
      </w:r>
      <w:r>
        <w:rPr>
          <w:rFonts w:ascii="宋体" w:eastAsia="宋体" w:hAnsi="宋体" w:cs="宋体" w:hint="eastAsia"/>
          <w:sz w:val="24"/>
          <w:szCs w:val="24"/>
        </w:rPr>
        <w:t>）以下简称“</w:t>
      </w:r>
      <w:r>
        <w:rPr>
          <w:rFonts w:ascii="宋体" w:eastAsia="宋体" w:hAnsi="宋体" w:cs="宋体" w:hint="eastAsia"/>
          <w:sz w:val="24"/>
          <w:szCs w:val="24"/>
        </w:rPr>
        <w:t>A</w:t>
      </w:r>
      <w:r>
        <w:rPr>
          <w:rFonts w:ascii="宋体" w:eastAsia="宋体" w:hAnsi="宋体" w:cs="宋体" w:hint="eastAsia"/>
          <w:sz w:val="24"/>
          <w:szCs w:val="24"/>
        </w:rPr>
        <w:t>类基金份额”，</w:t>
      </w:r>
      <w:r>
        <w:rPr>
          <w:rFonts w:ascii="宋体" w:eastAsia="宋体" w:hAnsi="宋体" w:cs="宋体" w:hint="eastAsia"/>
          <w:sz w:val="24"/>
          <w:szCs w:val="24"/>
        </w:rPr>
        <w:t xml:space="preserve"> </w:t>
      </w:r>
      <w:r>
        <w:rPr>
          <w:rFonts w:ascii="宋体" w:eastAsia="宋体" w:hAnsi="宋体" w:cs="宋体" w:hint="eastAsia"/>
          <w:sz w:val="24"/>
          <w:szCs w:val="24"/>
        </w:rPr>
        <w:t>上银医疗创新混合发起式</w:t>
      </w:r>
      <w:r>
        <w:rPr>
          <w:rFonts w:ascii="宋体" w:eastAsia="宋体" w:hAnsi="宋体" w:cs="宋体" w:hint="eastAsia"/>
          <w:sz w:val="24"/>
          <w:szCs w:val="24"/>
        </w:rPr>
        <w:t>C</w:t>
      </w:r>
      <w:r>
        <w:rPr>
          <w:rFonts w:ascii="宋体" w:eastAsia="宋体" w:hAnsi="宋体" w:cs="宋体" w:hint="eastAsia"/>
          <w:sz w:val="24"/>
          <w:szCs w:val="24"/>
        </w:rPr>
        <w:t>（交易代码：</w:t>
      </w:r>
      <w:r>
        <w:rPr>
          <w:rFonts w:ascii="宋体" w:eastAsia="宋体" w:hAnsi="宋体" w:cs="宋体" w:hint="eastAsia"/>
          <w:sz w:val="24"/>
          <w:szCs w:val="24"/>
        </w:rPr>
        <w:t>026090</w:t>
      </w:r>
      <w:r>
        <w:rPr>
          <w:rFonts w:ascii="宋体" w:eastAsia="宋体" w:hAnsi="宋体" w:cs="宋体" w:hint="eastAsia"/>
          <w:sz w:val="24"/>
          <w:szCs w:val="24"/>
        </w:rPr>
        <w:t>）以下简称“</w:t>
      </w:r>
      <w:r>
        <w:rPr>
          <w:rFonts w:ascii="宋体" w:eastAsia="宋体" w:hAnsi="宋体" w:cs="宋体" w:hint="eastAsia"/>
          <w:sz w:val="24"/>
          <w:szCs w:val="24"/>
        </w:rPr>
        <w:t>C</w:t>
      </w:r>
      <w:r>
        <w:rPr>
          <w:rFonts w:ascii="宋体" w:eastAsia="宋体" w:hAnsi="宋体" w:cs="宋体" w:hint="eastAsia"/>
          <w:sz w:val="24"/>
          <w:szCs w:val="24"/>
        </w:rPr>
        <w:t>类基金份额”。</w:t>
      </w:r>
    </w:p>
    <w:p w:rsidR="00575AEC" w:rsidRDefault="00575AEC">
      <w:pPr>
        <w:autoSpaceDE w:val="0"/>
        <w:autoSpaceDN w:val="0"/>
        <w:adjustRightInd w:val="0"/>
        <w:spacing w:before="29" w:line="288" w:lineRule="auto"/>
        <w:jc w:val="left"/>
        <w:rPr>
          <w:rFonts w:ascii="MS Sans Serif" w:hAnsi="MS Sans Serif" w:cs="MS Sans Serif"/>
          <w:color w:val="000000"/>
          <w:kern w:val="0"/>
          <w:sz w:val="23"/>
          <w:szCs w:val="23"/>
        </w:rPr>
      </w:pP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2 </w:t>
      </w:r>
      <w:r>
        <w:rPr>
          <w:rFonts w:ascii="宋体" w:eastAsia="宋体" w:hAnsi="Arial" w:cs="宋体" w:hint="eastAsia"/>
          <w:b/>
          <w:bCs/>
          <w:color w:val="000000"/>
          <w:kern w:val="0"/>
          <w:sz w:val="24"/>
          <w:szCs w:val="24"/>
        </w:rPr>
        <w:t>日常申购、赎回业务的办理时间</w:t>
      </w:r>
    </w:p>
    <w:p w:rsidR="00575AEC" w:rsidRDefault="00273ACB">
      <w:pPr>
        <w:spacing w:line="360" w:lineRule="auto"/>
        <w:ind w:firstLineChars="200" w:firstLine="480"/>
        <w:rPr>
          <w:sz w:val="24"/>
        </w:rPr>
      </w:pPr>
      <w:r>
        <w:rPr>
          <w:sz w:val="24"/>
        </w:rPr>
        <w:t>投资人在开放日办理基金份额的申购和赎回，具体办理时间为上海证券交易</w:t>
      </w:r>
      <w:r>
        <w:rPr>
          <w:sz w:val="24"/>
        </w:rPr>
        <w:lastRenderedPageBreak/>
        <w:t>所、深圳证券交易所的正常交易日的交易时间</w:t>
      </w:r>
      <w:r>
        <w:rPr>
          <w:rFonts w:hint="eastAsia"/>
          <w:sz w:val="24"/>
        </w:rPr>
        <w:t>（若本基金参与港股通交易且该工作日为非港股通交易日或遇港股通因其他原因暂停交易的情形，则基金管理人有权暂停办理基金份额的申购和赎回业务，并按规定进行公告）</w:t>
      </w:r>
      <w:r>
        <w:rPr>
          <w:sz w:val="24"/>
        </w:rPr>
        <w:t>，但基金管理人根据法律法规、中国证监会的要求或基金合同的规定公告暂停申购、赎回时除外。</w:t>
      </w:r>
    </w:p>
    <w:p w:rsidR="00575AEC" w:rsidRDefault="00273ACB">
      <w:pPr>
        <w:pStyle w:val="a4"/>
        <w:spacing w:line="360" w:lineRule="auto"/>
        <w:ind w:firstLineChars="200" w:firstLine="480"/>
        <w:rPr>
          <w:kern w:val="0"/>
          <w:sz w:val="24"/>
          <w:szCs w:val="24"/>
        </w:rPr>
      </w:pPr>
      <w:r>
        <w:rPr>
          <w:sz w:val="24"/>
        </w:rPr>
        <w:t>基金合同生效后，若出现新的证券</w:t>
      </w:r>
      <w:r>
        <w:rPr>
          <w:bCs/>
          <w:sz w:val="24"/>
        </w:rPr>
        <w:t>/</w:t>
      </w:r>
      <w:r>
        <w:rPr>
          <w:bCs/>
          <w:sz w:val="24"/>
        </w:rPr>
        <w:t>期货</w:t>
      </w:r>
      <w:r>
        <w:rPr>
          <w:sz w:val="24"/>
        </w:rPr>
        <w:t>交易市场、证券</w:t>
      </w:r>
      <w:r>
        <w:rPr>
          <w:bCs/>
          <w:sz w:val="24"/>
        </w:rPr>
        <w:t>/</w:t>
      </w:r>
      <w:r>
        <w:rPr>
          <w:bCs/>
          <w:sz w:val="24"/>
        </w:rPr>
        <w:t>期货</w:t>
      </w:r>
      <w:r>
        <w:rPr>
          <w:sz w:val="24"/>
        </w:rPr>
        <w:t>交易所交易时间变更</w:t>
      </w:r>
      <w:r>
        <w:rPr>
          <w:rFonts w:hint="eastAsia"/>
          <w:sz w:val="24"/>
        </w:rPr>
        <w:t>、港股通交易规则变更</w:t>
      </w:r>
      <w:r>
        <w:rPr>
          <w:sz w:val="24"/>
        </w:rPr>
        <w:t>或其他特殊情况，基金管理人将视情况对前述开放日及开放时间进行相应的调整，但应在实施日前依照《信息披露办法》的有关规定</w:t>
      </w:r>
      <w:r>
        <w:rPr>
          <w:bCs/>
          <w:sz w:val="24"/>
        </w:rPr>
        <w:t>在规定媒介上</w:t>
      </w:r>
      <w:r>
        <w:rPr>
          <w:sz w:val="24"/>
        </w:rPr>
        <w:t>公告。</w:t>
      </w: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 </w:t>
      </w:r>
      <w:r>
        <w:rPr>
          <w:rFonts w:ascii="宋体" w:eastAsia="宋体" w:hAnsi="Arial" w:cs="宋体" w:hint="eastAsia"/>
          <w:b/>
          <w:bCs/>
          <w:color w:val="000000"/>
          <w:kern w:val="0"/>
          <w:sz w:val="24"/>
          <w:szCs w:val="24"/>
        </w:rPr>
        <w:t>日常申购业务</w:t>
      </w: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3.1 </w:t>
      </w:r>
      <w:r>
        <w:rPr>
          <w:rFonts w:ascii="宋体" w:eastAsia="宋体" w:hAnsi="Arial" w:cs="宋体" w:hint="eastAsia"/>
          <w:b/>
          <w:bCs/>
          <w:color w:val="000000"/>
          <w:kern w:val="0"/>
          <w:sz w:val="24"/>
          <w:szCs w:val="24"/>
        </w:rPr>
        <w:t>申购金额限制</w:t>
      </w:r>
    </w:p>
    <w:p w:rsidR="00575AEC" w:rsidRDefault="00273ACB">
      <w:pPr>
        <w:spacing w:line="360" w:lineRule="auto"/>
        <w:ind w:firstLineChars="200" w:firstLine="480"/>
        <w:rPr>
          <w:bCs/>
          <w:sz w:val="24"/>
        </w:rPr>
      </w:pPr>
      <w:r>
        <w:rPr>
          <w:bCs/>
          <w:sz w:val="24"/>
        </w:rPr>
        <w:t>投资者通过销售机构首次申购单笔最低限额为人民币</w:t>
      </w:r>
      <w:r>
        <w:rPr>
          <w:bCs/>
          <w:sz w:val="24"/>
        </w:rPr>
        <w:t>1</w:t>
      </w:r>
      <w:r>
        <w:rPr>
          <w:bCs/>
          <w:sz w:val="24"/>
        </w:rPr>
        <w:t>元</w:t>
      </w:r>
      <w:r>
        <w:rPr>
          <w:rFonts w:hint="eastAsia"/>
          <w:kern w:val="0"/>
          <w:sz w:val="24"/>
        </w:rPr>
        <w:t>（含申购费）</w:t>
      </w:r>
      <w:r>
        <w:rPr>
          <w:bCs/>
          <w:sz w:val="24"/>
        </w:rPr>
        <w:t>。投资者通过销售机构追加申购单笔最低限额为人民币</w:t>
      </w:r>
      <w:r>
        <w:rPr>
          <w:bCs/>
          <w:sz w:val="24"/>
        </w:rPr>
        <w:t>1</w:t>
      </w:r>
      <w:r>
        <w:rPr>
          <w:bCs/>
          <w:sz w:val="24"/>
        </w:rPr>
        <w:t>元</w:t>
      </w:r>
      <w:r>
        <w:rPr>
          <w:rFonts w:hint="eastAsia"/>
          <w:kern w:val="0"/>
          <w:sz w:val="24"/>
        </w:rPr>
        <w:t>（含申购费）</w:t>
      </w:r>
      <w:r>
        <w:rPr>
          <w:bCs/>
          <w:sz w:val="24"/>
        </w:rPr>
        <w:t>。</w:t>
      </w:r>
    </w:p>
    <w:p w:rsidR="00575AEC" w:rsidRDefault="00273ACB">
      <w:pPr>
        <w:spacing w:line="360" w:lineRule="auto"/>
        <w:ind w:firstLineChars="200" w:firstLine="480"/>
        <w:rPr>
          <w:bCs/>
          <w:sz w:val="24"/>
        </w:rPr>
      </w:pPr>
      <w:r>
        <w:rPr>
          <w:bCs/>
          <w:sz w:val="24"/>
        </w:rPr>
        <w:t>投资者将当期分配的基金收</w:t>
      </w:r>
      <w:r>
        <w:rPr>
          <w:bCs/>
          <w:sz w:val="24"/>
        </w:rPr>
        <w:t>益转购基金份额时，不受最低申购金额的限制。</w:t>
      </w:r>
    </w:p>
    <w:p w:rsidR="00575AEC" w:rsidRDefault="00273ACB">
      <w:pPr>
        <w:spacing w:line="360" w:lineRule="auto"/>
        <w:ind w:firstLineChars="200" w:firstLine="480"/>
        <w:rPr>
          <w:bCs/>
          <w:sz w:val="24"/>
        </w:rPr>
      </w:pPr>
      <w:r>
        <w:rPr>
          <w:rFonts w:hint="eastAsia"/>
          <w:bCs/>
          <w:sz w:val="24"/>
        </w:rPr>
        <w:t>在符合法律法规规定的前提下，各销售机构对申购金额限制有其他规定的，需同时遵循该销售机构的相关规定。</w:t>
      </w:r>
    </w:p>
    <w:p w:rsidR="00575AEC" w:rsidRDefault="00273ACB">
      <w:pPr>
        <w:spacing w:line="360" w:lineRule="auto"/>
        <w:ind w:firstLineChars="200" w:firstLine="480"/>
        <w:rPr>
          <w:bCs/>
          <w:sz w:val="24"/>
        </w:rPr>
      </w:pPr>
      <w:r>
        <w:rPr>
          <w:bCs/>
          <w:sz w:val="24"/>
        </w:rPr>
        <w:t>投资者可多次申购，对单个投资者累计持有</w:t>
      </w:r>
      <w:r>
        <w:rPr>
          <w:rFonts w:hint="eastAsia"/>
          <w:bCs/>
          <w:sz w:val="24"/>
        </w:rPr>
        <w:t>基金</w:t>
      </w:r>
      <w:r>
        <w:rPr>
          <w:bCs/>
          <w:sz w:val="24"/>
        </w:rPr>
        <w:t>份额不设上限。</w:t>
      </w:r>
    </w:p>
    <w:p w:rsidR="00575AEC" w:rsidRDefault="00273ACB">
      <w:pPr>
        <w:spacing w:line="360" w:lineRule="auto"/>
        <w:ind w:firstLineChars="200" w:firstLine="480"/>
        <w:rPr>
          <w:rFonts w:asciiTheme="minorEastAsia" w:hAnsiTheme="minorEastAsia" w:cs="MS Sans Serif"/>
          <w:color w:val="000000"/>
          <w:kern w:val="0"/>
          <w:sz w:val="24"/>
          <w:szCs w:val="24"/>
        </w:rPr>
      </w:pPr>
      <w:r>
        <w:rPr>
          <w:bCs/>
          <w:sz w:val="24"/>
        </w:rPr>
        <w:t>法律法规、中国证监会另有规定的除外。</w:t>
      </w: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3.2 </w:t>
      </w:r>
      <w:r>
        <w:rPr>
          <w:rFonts w:ascii="宋体" w:eastAsia="宋体" w:hAnsi="Arial" w:cs="宋体" w:hint="eastAsia"/>
          <w:b/>
          <w:bCs/>
          <w:color w:val="000000"/>
          <w:kern w:val="0"/>
          <w:sz w:val="24"/>
          <w:szCs w:val="24"/>
        </w:rPr>
        <w:t>申购费率</w:t>
      </w:r>
      <w:r>
        <w:rPr>
          <w:rFonts w:ascii="宋体" w:eastAsia="宋体" w:hAnsi="Arial" w:cs="宋体" w:hint="eastAsia"/>
          <w:b/>
          <w:bCs/>
          <w:color w:val="000000"/>
          <w:kern w:val="0"/>
          <w:sz w:val="24"/>
          <w:szCs w:val="24"/>
        </w:rPr>
        <w:t xml:space="preserve"> </w:t>
      </w:r>
    </w:p>
    <w:p w:rsidR="00575AEC" w:rsidRDefault="00273ACB" w:rsidP="00273ACB">
      <w:pPr>
        <w:pStyle w:val="a4"/>
        <w:spacing w:afterLines="50" w:line="360" w:lineRule="auto"/>
        <w:ind w:firstLineChars="200" w:firstLine="480"/>
        <w:rPr>
          <w:kern w:val="0"/>
          <w:sz w:val="24"/>
          <w:szCs w:val="24"/>
        </w:rPr>
      </w:pPr>
      <w:r>
        <w:rPr>
          <w:rFonts w:hint="eastAsia"/>
          <w:kern w:val="0"/>
          <w:sz w:val="24"/>
          <w:szCs w:val="24"/>
        </w:rPr>
        <w:t>本基金根据申购费用、销售服务费收取方式的不同，分为</w:t>
      </w:r>
      <w:r>
        <w:rPr>
          <w:rFonts w:hint="eastAsia"/>
          <w:kern w:val="0"/>
          <w:sz w:val="24"/>
          <w:szCs w:val="24"/>
        </w:rPr>
        <w:t xml:space="preserve">A </w:t>
      </w:r>
      <w:r>
        <w:rPr>
          <w:rFonts w:hint="eastAsia"/>
          <w:kern w:val="0"/>
          <w:sz w:val="24"/>
          <w:szCs w:val="24"/>
        </w:rPr>
        <w:t>类基金份额和</w:t>
      </w:r>
      <w:r>
        <w:rPr>
          <w:rFonts w:hint="eastAsia"/>
          <w:kern w:val="0"/>
          <w:sz w:val="24"/>
          <w:szCs w:val="24"/>
        </w:rPr>
        <w:t xml:space="preserve"> C </w:t>
      </w:r>
      <w:r>
        <w:rPr>
          <w:rFonts w:hint="eastAsia"/>
          <w:kern w:val="0"/>
          <w:sz w:val="24"/>
          <w:szCs w:val="24"/>
        </w:rPr>
        <w:t>类基金份额。</w:t>
      </w:r>
      <w:r>
        <w:rPr>
          <w:rFonts w:hint="eastAsia"/>
          <w:kern w:val="0"/>
          <w:sz w:val="24"/>
          <w:szCs w:val="24"/>
        </w:rPr>
        <w:t>C</w:t>
      </w:r>
      <w:r>
        <w:rPr>
          <w:rFonts w:hint="eastAsia"/>
          <w:kern w:val="0"/>
          <w:sz w:val="24"/>
          <w:szCs w:val="24"/>
        </w:rPr>
        <w:t>类基金份额不收取申购费用。</w:t>
      </w:r>
      <w:r>
        <w:rPr>
          <w:kern w:val="0"/>
          <w:sz w:val="24"/>
        </w:rPr>
        <w:t>本基金</w:t>
      </w:r>
      <w:r>
        <w:rPr>
          <w:kern w:val="0"/>
          <w:sz w:val="24"/>
        </w:rPr>
        <w:t>A</w:t>
      </w:r>
      <w:r>
        <w:rPr>
          <w:kern w:val="0"/>
          <w:sz w:val="24"/>
        </w:rPr>
        <w:t>类基金份额的申购费率最高不高于</w:t>
      </w:r>
      <w:r>
        <w:rPr>
          <w:kern w:val="0"/>
          <w:sz w:val="24"/>
        </w:rPr>
        <w:t>1.50%</w:t>
      </w:r>
      <w:r>
        <w:rPr>
          <w:kern w:val="0"/>
          <w:sz w:val="24"/>
        </w:rPr>
        <w:t>，且随申购金额的增加而递减。具体申购费率如下表：</w:t>
      </w:r>
    </w:p>
    <w:tbl>
      <w:tblPr>
        <w:tblW w:w="3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6"/>
        <w:gridCol w:w="2045"/>
      </w:tblGrid>
      <w:tr w:rsidR="00575AEC">
        <w:trPr>
          <w:trHeight w:val="425"/>
          <w:jc w:val="center"/>
        </w:trPr>
        <w:tc>
          <w:tcPr>
            <w:tcW w:w="4073" w:type="dxa"/>
            <w:tcBorders>
              <w:top w:val="single" w:sz="4" w:space="0" w:color="auto"/>
              <w:left w:val="single" w:sz="4" w:space="0" w:color="FFFFFF"/>
              <w:bottom w:val="single" w:sz="4" w:space="0" w:color="auto"/>
              <w:right w:val="single" w:sz="4" w:space="0" w:color="auto"/>
            </w:tcBorders>
            <w:vAlign w:val="center"/>
          </w:tcPr>
          <w:p w:rsidR="00575AEC" w:rsidRDefault="00273ACB">
            <w:pPr>
              <w:pStyle w:val="a4"/>
              <w:spacing w:line="240" w:lineRule="auto"/>
              <w:ind w:firstLine="442"/>
              <w:jc w:val="center"/>
              <w:rPr>
                <w:b/>
                <w:kern w:val="0"/>
                <w:sz w:val="22"/>
                <w:szCs w:val="24"/>
              </w:rPr>
            </w:pPr>
            <w:r>
              <w:rPr>
                <w:rFonts w:hint="eastAsia"/>
                <w:b/>
                <w:kern w:val="0"/>
                <w:sz w:val="22"/>
                <w:szCs w:val="24"/>
              </w:rPr>
              <w:t>申购金额（</w:t>
            </w:r>
            <w:r>
              <w:rPr>
                <w:b/>
                <w:kern w:val="0"/>
                <w:sz w:val="22"/>
                <w:szCs w:val="24"/>
              </w:rPr>
              <w:t>M</w:t>
            </w:r>
            <w:r>
              <w:rPr>
                <w:rFonts w:hint="eastAsia"/>
                <w:b/>
                <w:kern w:val="0"/>
                <w:sz w:val="22"/>
                <w:szCs w:val="24"/>
              </w:rPr>
              <w:t>，含申购费）</w:t>
            </w:r>
          </w:p>
        </w:tc>
        <w:tc>
          <w:tcPr>
            <w:tcW w:w="1976" w:type="dxa"/>
            <w:tcBorders>
              <w:top w:val="single" w:sz="4" w:space="0" w:color="auto"/>
              <w:left w:val="single" w:sz="4" w:space="0" w:color="auto"/>
              <w:bottom w:val="single" w:sz="4" w:space="0" w:color="auto"/>
              <w:right w:val="single" w:sz="4" w:space="0" w:color="FFFFFF"/>
            </w:tcBorders>
            <w:vAlign w:val="center"/>
          </w:tcPr>
          <w:p w:rsidR="00575AEC" w:rsidRDefault="00273ACB">
            <w:pPr>
              <w:pStyle w:val="a4"/>
              <w:spacing w:line="240" w:lineRule="auto"/>
              <w:ind w:firstLine="442"/>
              <w:jc w:val="center"/>
              <w:rPr>
                <w:b/>
                <w:kern w:val="0"/>
                <w:sz w:val="22"/>
                <w:szCs w:val="24"/>
              </w:rPr>
            </w:pPr>
            <w:r>
              <w:rPr>
                <w:rFonts w:hint="eastAsia"/>
                <w:b/>
                <w:kern w:val="0"/>
                <w:sz w:val="22"/>
                <w:szCs w:val="24"/>
              </w:rPr>
              <w:t>申购费率</w:t>
            </w:r>
          </w:p>
        </w:tc>
      </w:tr>
      <w:tr w:rsidR="00575AEC">
        <w:trPr>
          <w:trHeight w:val="425"/>
          <w:jc w:val="center"/>
        </w:trPr>
        <w:tc>
          <w:tcPr>
            <w:tcW w:w="4073" w:type="dxa"/>
            <w:tcBorders>
              <w:top w:val="single" w:sz="4" w:space="0" w:color="auto"/>
              <w:left w:val="single" w:sz="4" w:space="0" w:color="FFFFFF"/>
              <w:bottom w:val="single" w:sz="4" w:space="0" w:color="auto"/>
              <w:right w:val="single" w:sz="4" w:space="0" w:color="auto"/>
            </w:tcBorders>
            <w:vAlign w:val="center"/>
          </w:tcPr>
          <w:p w:rsidR="00575AEC" w:rsidRDefault="00273ACB">
            <w:pPr>
              <w:pStyle w:val="a4"/>
              <w:spacing w:line="240" w:lineRule="auto"/>
              <w:ind w:firstLine="440"/>
              <w:jc w:val="center"/>
              <w:rPr>
                <w:kern w:val="0"/>
                <w:sz w:val="22"/>
                <w:szCs w:val="24"/>
              </w:rPr>
            </w:pPr>
            <w:r>
              <w:rPr>
                <w:bCs/>
                <w:sz w:val="22"/>
                <w:szCs w:val="24"/>
              </w:rPr>
              <w:t>M</w:t>
            </w:r>
            <w:r>
              <w:rPr>
                <w:rFonts w:hint="eastAsia"/>
                <w:bCs/>
                <w:sz w:val="22"/>
                <w:szCs w:val="24"/>
              </w:rPr>
              <w:t>＜</w:t>
            </w:r>
            <w:r>
              <w:rPr>
                <w:bCs/>
                <w:sz w:val="22"/>
                <w:szCs w:val="24"/>
              </w:rPr>
              <w:t>100</w:t>
            </w:r>
            <w:r>
              <w:rPr>
                <w:rFonts w:hint="eastAsia"/>
                <w:bCs/>
                <w:sz w:val="22"/>
                <w:szCs w:val="24"/>
              </w:rPr>
              <w:t>万元</w:t>
            </w:r>
          </w:p>
        </w:tc>
        <w:tc>
          <w:tcPr>
            <w:tcW w:w="1976" w:type="dxa"/>
            <w:tcBorders>
              <w:top w:val="single" w:sz="4" w:space="0" w:color="auto"/>
              <w:left w:val="single" w:sz="4" w:space="0" w:color="auto"/>
              <w:bottom w:val="single" w:sz="4" w:space="0" w:color="auto"/>
              <w:right w:val="single" w:sz="4" w:space="0" w:color="FFFFFF"/>
            </w:tcBorders>
            <w:vAlign w:val="center"/>
          </w:tcPr>
          <w:p w:rsidR="00575AEC" w:rsidRDefault="00273ACB">
            <w:pPr>
              <w:pStyle w:val="a4"/>
              <w:spacing w:line="240" w:lineRule="auto"/>
              <w:ind w:firstLine="440"/>
              <w:jc w:val="center"/>
              <w:rPr>
                <w:kern w:val="0"/>
                <w:sz w:val="22"/>
                <w:szCs w:val="24"/>
              </w:rPr>
            </w:pPr>
            <w:r>
              <w:rPr>
                <w:bCs/>
                <w:sz w:val="22"/>
                <w:szCs w:val="24"/>
              </w:rPr>
              <w:t>1.50%</w:t>
            </w:r>
          </w:p>
        </w:tc>
      </w:tr>
      <w:tr w:rsidR="00575AEC">
        <w:trPr>
          <w:trHeight w:val="425"/>
          <w:jc w:val="center"/>
        </w:trPr>
        <w:tc>
          <w:tcPr>
            <w:tcW w:w="4073" w:type="dxa"/>
            <w:tcBorders>
              <w:top w:val="single" w:sz="4" w:space="0" w:color="auto"/>
              <w:left w:val="single" w:sz="4" w:space="0" w:color="FFFFFF"/>
              <w:bottom w:val="single" w:sz="4" w:space="0" w:color="auto"/>
              <w:right w:val="single" w:sz="4" w:space="0" w:color="auto"/>
            </w:tcBorders>
            <w:vAlign w:val="center"/>
          </w:tcPr>
          <w:p w:rsidR="00575AEC" w:rsidRDefault="00273ACB">
            <w:pPr>
              <w:pStyle w:val="a4"/>
              <w:spacing w:line="240" w:lineRule="auto"/>
              <w:ind w:firstLine="440"/>
              <w:jc w:val="center"/>
              <w:rPr>
                <w:bCs/>
                <w:sz w:val="22"/>
                <w:szCs w:val="24"/>
              </w:rPr>
            </w:pPr>
            <w:r>
              <w:rPr>
                <w:bCs/>
                <w:sz w:val="22"/>
                <w:szCs w:val="24"/>
              </w:rPr>
              <w:t>100</w:t>
            </w:r>
            <w:r>
              <w:rPr>
                <w:rFonts w:hint="eastAsia"/>
                <w:bCs/>
                <w:sz w:val="22"/>
                <w:szCs w:val="24"/>
              </w:rPr>
              <w:t>万元≤</w:t>
            </w:r>
            <w:r>
              <w:rPr>
                <w:bCs/>
                <w:sz w:val="22"/>
                <w:szCs w:val="24"/>
              </w:rPr>
              <w:t>M</w:t>
            </w:r>
            <w:r>
              <w:rPr>
                <w:rFonts w:hint="eastAsia"/>
                <w:bCs/>
                <w:sz w:val="22"/>
                <w:szCs w:val="24"/>
              </w:rPr>
              <w:t>＜</w:t>
            </w:r>
            <w:r>
              <w:rPr>
                <w:bCs/>
                <w:sz w:val="22"/>
                <w:szCs w:val="24"/>
              </w:rPr>
              <w:t>200</w:t>
            </w:r>
            <w:r>
              <w:rPr>
                <w:rFonts w:hint="eastAsia"/>
                <w:bCs/>
                <w:sz w:val="22"/>
                <w:szCs w:val="24"/>
              </w:rPr>
              <w:t>万元</w:t>
            </w:r>
          </w:p>
        </w:tc>
        <w:tc>
          <w:tcPr>
            <w:tcW w:w="1976" w:type="dxa"/>
            <w:tcBorders>
              <w:top w:val="single" w:sz="4" w:space="0" w:color="auto"/>
              <w:left w:val="single" w:sz="4" w:space="0" w:color="auto"/>
              <w:bottom w:val="single" w:sz="4" w:space="0" w:color="auto"/>
              <w:right w:val="single" w:sz="4" w:space="0" w:color="FFFFFF"/>
            </w:tcBorders>
            <w:vAlign w:val="center"/>
          </w:tcPr>
          <w:p w:rsidR="00575AEC" w:rsidRDefault="00273ACB">
            <w:pPr>
              <w:pStyle w:val="a4"/>
              <w:spacing w:line="240" w:lineRule="auto"/>
              <w:ind w:firstLine="440"/>
              <w:jc w:val="center"/>
              <w:rPr>
                <w:bCs/>
                <w:sz w:val="22"/>
                <w:szCs w:val="24"/>
              </w:rPr>
            </w:pPr>
            <w:r>
              <w:rPr>
                <w:sz w:val="22"/>
                <w:szCs w:val="24"/>
              </w:rPr>
              <w:t>1.20%</w:t>
            </w:r>
          </w:p>
        </w:tc>
      </w:tr>
      <w:tr w:rsidR="00575AEC">
        <w:trPr>
          <w:trHeight w:val="425"/>
          <w:jc w:val="center"/>
        </w:trPr>
        <w:tc>
          <w:tcPr>
            <w:tcW w:w="4073" w:type="dxa"/>
            <w:tcBorders>
              <w:top w:val="single" w:sz="4" w:space="0" w:color="auto"/>
              <w:left w:val="single" w:sz="4" w:space="0" w:color="FFFFFF"/>
              <w:bottom w:val="single" w:sz="4" w:space="0" w:color="auto"/>
              <w:right w:val="single" w:sz="4" w:space="0" w:color="auto"/>
            </w:tcBorders>
            <w:vAlign w:val="center"/>
          </w:tcPr>
          <w:p w:rsidR="00575AEC" w:rsidRDefault="00273ACB">
            <w:pPr>
              <w:pStyle w:val="a4"/>
              <w:spacing w:line="240" w:lineRule="auto"/>
              <w:ind w:firstLine="440"/>
              <w:jc w:val="center"/>
              <w:rPr>
                <w:kern w:val="0"/>
                <w:sz w:val="22"/>
                <w:szCs w:val="24"/>
              </w:rPr>
            </w:pPr>
            <w:r>
              <w:rPr>
                <w:bCs/>
                <w:sz w:val="22"/>
                <w:szCs w:val="24"/>
              </w:rPr>
              <w:t>200</w:t>
            </w:r>
            <w:r>
              <w:rPr>
                <w:rFonts w:hint="eastAsia"/>
                <w:bCs/>
                <w:sz w:val="22"/>
                <w:szCs w:val="24"/>
              </w:rPr>
              <w:t>万元≤</w:t>
            </w:r>
            <w:r>
              <w:rPr>
                <w:bCs/>
                <w:sz w:val="22"/>
                <w:szCs w:val="24"/>
              </w:rPr>
              <w:t>M</w:t>
            </w:r>
            <w:r>
              <w:rPr>
                <w:rFonts w:hint="eastAsia"/>
                <w:bCs/>
                <w:sz w:val="22"/>
                <w:szCs w:val="24"/>
              </w:rPr>
              <w:t>＜</w:t>
            </w:r>
            <w:r>
              <w:rPr>
                <w:bCs/>
                <w:sz w:val="22"/>
                <w:szCs w:val="24"/>
              </w:rPr>
              <w:t>500</w:t>
            </w:r>
            <w:r>
              <w:rPr>
                <w:rFonts w:hint="eastAsia"/>
                <w:bCs/>
                <w:sz w:val="22"/>
                <w:szCs w:val="24"/>
              </w:rPr>
              <w:t>万元</w:t>
            </w:r>
          </w:p>
        </w:tc>
        <w:tc>
          <w:tcPr>
            <w:tcW w:w="1976" w:type="dxa"/>
            <w:tcBorders>
              <w:top w:val="single" w:sz="4" w:space="0" w:color="auto"/>
              <w:left w:val="single" w:sz="4" w:space="0" w:color="auto"/>
              <w:bottom w:val="single" w:sz="4" w:space="0" w:color="auto"/>
              <w:right w:val="single" w:sz="4" w:space="0" w:color="FFFFFF"/>
            </w:tcBorders>
            <w:vAlign w:val="center"/>
          </w:tcPr>
          <w:p w:rsidR="00575AEC" w:rsidRDefault="00273ACB">
            <w:pPr>
              <w:pStyle w:val="a4"/>
              <w:spacing w:line="240" w:lineRule="auto"/>
              <w:ind w:firstLine="440"/>
              <w:jc w:val="center"/>
              <w:rPr>
                <w:kern w:val="0"/>
                <w:sz w:val="22"/>
                <w:szCs w:val="24"/>
              </w:rPr>
            </w:pPr>
            <w:r>
              <w:rPr>
                <w:sz w:val="22"/>
                <w:szCs w:val="24"/>
              </w:rPr>
              <w:t>0.80%</w:t>
            </w:r>
          </w:p>
        </w:tc>
      </w:tr>
      <w:tr w:rsidR="00575AEC">
        <w:trPr>
          <w:trHeight w:val="425"/>
          <w:jc w:val="center"/>
        </w:trPr>
        <w:tc>
          <w:tcPr>
            <w:tcW w:w="4073" w:type="dxa"/>
            <w:tcBorders>
              <w:top w:val="single" w:sz="4" w:space="0" w:color="auto"/>
              <w:left w:val="single" w:sz="4" w:space="0" w:color="FFFFFF"/>
              <w:bottom w:val="single" w:sz="4" w:space="0" w:color="auto"/>
              <w:right w:val="single" w:sz="4" w:space="0" w:color="auto"/>
            </w:tcBorders>
            <w:vAlign w:val="center"/>
          </w:tcPr>
          <w:p w:rsidR="00575AEC" w:rsidRDefault="00273ACB">
            <w:pPr>
              <w:pStyle w:val="a4"/>
              <w:spacing w:line="240" w:lineRule="auto"/>
              <w:ind w:firstLine="440"/>
              <w:jc w:val="center"/>
              <w:rPr>
                <w:kern w:val="0"/>
                <w:sz w:val="22"/>
                <w:szCs w:val="24"/>
              </w:rPr>
            </w:pPr>
            <w:r>
              <w:rPr>
                <w:bCs/>
                <w:sz w:val="22"/>
                <w:szCs w:val="24"/>
              </w:rPr>
              <w:t>M</w:t>
            </w:r>
            <w:r>
              <w:rPr>
                <w:rFonts w:hint="eastAsia"/>
                <w:bCs/>
                <w:sz w:val="22"/>
                <w:szCs w:val="24"/>
              </w:rPr>
              <w:t>≥</w:t>
            </w:r>
            <w:r>
              <w:rPr>
                <w:bCs/>
                <w:sz w:val="22"/>
                <w:szCs w:val="24"/>
              </w:rPr>
              <w:t>500</w:t>
            </w:r>
            <w:r>
              <w:rPr>
                <w:rFonts w:hint="eastAsia"/>
                <w:bCs/>
                <w:sz w:val="22"/>
                <w:szCs w:val="24"/>
              </w:rPr>
              <w:t>万元</w:t>
            </w:r>
          </w:p>
        </w:tc>
        <w:tc>
          <w:tcPr>
            <w:tcW w:w="1976" w:type="dxa"/>
            <w:tcBorders>
              <w:top w:val="single" w:sz="4" w:space="0" w:color="auto"/>
              <w:left w:val="single" w:sz="4" w:space="0" w:color="auto"/>
              <w:bottom w:val="single" w:sz="4" w:space="0" w:color="auto"/>
              <w:right w:val="single" w:sz="4" w:space="0" w:color="FFFFFF"/>
            </w:tcBorders>
            <w:vAlign w:val="center"/>
          </w:tcPr>
          <w:p w:rsidR="00575AEC" w:rsidRDefault="00273ACB">
            <w:pPr>
              <w:pStyle w:val="a4"/>
              <w:spacing w:line="240" w:lineRule="auto"/>
              <w:ind w:firstLine="440"/>
              <w:jc w:val="center"/>
              <w:rPr>
                <w:kern w:val="0"/>
                <w:sz w:val="22"/>
                <w:szCs w:val="24"/>
              </w:rPr>
            </w:pPr>
            <w:r>
              <w:rPr>
                <w:rFonts w:hint="eastAsia"/>
                <w:bCs/>
                <w:sz w:val="22"/>
                <w:szCs w:val="24"/>
              </w:rPr>
              <w:t>按笔收取，每笔</w:t>
            </w:r>
            <w:r>
              <w:rPr>
                <w:bCs/>
                <w:sz w:val="22"/>
                <w:szCs w:val="24"/>
              </w:rPr>
              <w:t>1,000</w:t>
            </w:r>
            <w:r>
              <w:rPr>
                <w:rFonts w:hint="eastAsia"/>
                <w:bCs/>
                <w:sz w:val="22"/>
                <w:szCs w:val="24"/>
              </w:rPr>
              <w:t>元</w:t>
            </w:r>
          </w:p>
        </w:tc>
      </w:tr>
    </w:tbl>
    <w:p w:rsidR="00575AEC" w:rsidRDefault="00273ACB">
      <w:pPr>
        <w:pStyle w:val="a4"/>
        <w:spacing w:line="360" w:lineRule="auto"/>
        <w:ind w:firstLine="422"/>
        <w:rPr>
          <w:kern w:val="0"/>
          <w:sz w:val="24"/>
          <w:szCs w:val="24"/>
        </w:rPr>
      </w:pPr>
      <w:r>
        <w:rPr>
          <w:b/>
          <w:kern w:val="0"/>
          <w:sz w:val="21"/>
          <w:szCs w:val="21"/>
        </w:rPr>
        <w:t>注：</w:t>
      </w:r>
      <w:r>
        <w:rPr>
          <w:b/>
          <w:kern w:val="0"/>
          <w:sz w:val="21"/>
          <w:szCs w:val="21"/>
        </w:rPr>
        <w:t>M</w:t>
      </w:r>
      <w:r>
        <w:rPr>
          <w:b/>
          <w:kern w:val="0"/>
          <w:sz w:val="21"/>
          <w:szCs w:val="21"/>
        </w:rPr>
        <w:t>为投资金额</w:t>
      </w:r>
    </w:p>
    <w:p w:rsidR="00575AEC" w:rsidRDefault="00273ACB">
      <w:pPr>
        <w:pStyle w:val="a4"/>
        <w:spacing w:line="360" w:lineRule="auto"/>
        <w:ind w:firstLineChars="200" w:firstLine="480"/>
        <w:rPr>
          <w:rFonts w:ascii="宋体" w:hAnsi="Arial" w:cs="宋体"/>
          <w:b/>
          <w:bCs/>
          <w:color w:val="000000"/>
          <w:kern w:val="0"/>
          <w:sz w:val="24"/>
          <w:szCs w:val="24"/>
        </w:rPr>
      </w:pPr>
      <w:r>
        <w:rPr>
          <w:rFonts w:hint="eastAsia"/>
          <w:kern w:val="0"/>
          <w:sz w:val="24"/>
          <w:szCs w:val="24"/>
        </w:rPr>
        <w:t>投资人重复申购本基金</w:t>
      </w:r>
      <w:r>
        <w:rPr>
          <w:rFonts w:hint="eastAsia"/>
          <w:kern w:val="0"/>
          <w:sz w:val="24"/>
          <w:szCs w:val="24"/>
        </w:rPr>
        <w:t>A</w:t>
      </w:r>
      <w:r>
        <w:rPr>
          <w:rFonts w:hint="eastAsia"/>
          <w:kern w:val="0"/>
          <w:sz w:val="24"/>
          <w:szCs w:val="24"/>
        </w:rPr>
        <w:t>类基金份额，须按每次申购所对应的费率档次分</w:t>
      </w:r>
      <w:r>
        <w:rPr>
          <w:rFonts w:hint="eastAsia"/>
          <w:kern w:val="0"/>
          <w:sz w:val="24"/>
          <w:szCs w:val="24"/>
        </w:rPr>
        <w:lastRenderedPageBreak/>
        <w:t>别计费。</w:t>
      </w:r>
      <w:r>
        <w:rPr>
          <w:kern w:val="0"/>
          <w:sz w:val="24"/>
          <w:szCs w:val="24"/>
        </w:rPr>
        <w:t>本基金</w:t>
      </w:r>
      <w:r>
        <w:rPr>
          <w:kern w:val="0"/>
          <w:sz w:val="24"/>
          <w:szCs w:val="24"/>
        </w:rPr>
        <w:t>A</w:t>
      </w:r>
      <w:r>
        <w:rPr>
          <w:kern w:val="0"/>
          <w:sz w:val="24"/>
          <w:szCs w:val="24"/>
        </w:rPr>
        <w:t>类基金份额的申购费用由申购</w:t>
      </w:r>
      <w:r>
        <w:rPr>
          <w:kern w:val="0"/>
          <w:sz w:val="24"/>
          <w:szCs w:val="24"/>
        </w:rPr>
        <w:t>A</w:t>
      </w:r>
      <w:r>
        <w:rPr>
          <w:kern w:val="0"/>
          <w:sz w:val="24"/>
          <w:szCs w:val="24"/>
        </w:rPr>
        <w:t>类基金份额的</w:t>
      </w:r>
      <w:r>
        <w:rPr>
          <w:rFonts w:hint="eastAsia"/>
          <w:kern w:val="0"/>
          <w:sz w:val="24"/>
          <w:szCs w:val="24"/>
        </w:rPr>
        <w:t>投资人</w:t>
      </w:r>
      <w:r>
        <w:rPr>
          <w:kern w:val="0"/>
          <w:sz w:val="24"/>
          <w:szCs w:val="24"/>
        </w:rPr>
        <w:t>承担，不列入基金</w:t>
      </w:r>
      <w:r>
        <w:rPr>
          <w:rFonts w:hint="eastAsia"/>
          <w:kern w:val="0"/>
          <w:sz w:val="24"/>
          <w:szCs w:val="24"/>
        </w:rPr>
        <w:t>财</w:t>
      </w:r>
      <w:r>
        <w:rPr>
          <w:kern w:val="0"/>
          <w:sz w:val="24"/>
          <w:szCs w:val="24"/>
        </w:rPr>
        <w:t>产，用于基金的市场推广、销售、登记等各项费用。</w:t>
      </w:r>
    </w:p>
    <w:p w:rsidR="00575AEC" w:rsidRDefault="00273ACB">
      <w:pPr>
        <w:autoSpaceDE w:val="0"/>
        <w:autoSpaceDN w:val="0"/>
        <w:adjustRightInd w:val="0"/>
        <w:spacing w:before="29" w:line="288" w:lineRule="auto"/>
        <w:jc w:val="left"/>
        <w:rPr>
          <w:rFonts w:ascii="宋体" w:eastAsia="宋体" w:hAnsi="Arial" w:cs="宋体"/>
          <w:b/>
          <w:bCs/>
          <w:kern w:val="0"/>
          <w:sz w:val="24"/>
          <w:szCs w:val="24"/>
        </w:rPr>
      </w:pPr>
      <w:r>
        <w:rPr>
          <w:rFonts w:ascii="宋体" w:eastAsia="宋体" w:hAnsi="Arial" w:cs="宋体"/>
          <w:b/>
          <w:bCs/>
          <w:kern w:val="0"/>
          <w:sz w:val="24"/>
          <w:szCs w:val="24"/>
        </w:rPr>
        <w:t xml:space="preserve">3.3 </w:t>
      </w:r>
      <w:r>
        <w:rPr>
          <w:rFonts w:ascii="宋体" w:eastAsia="宋体" w:hAnsi="Arial" w:cs="宋体" w:hint="eastAsia"/>
          <w:b/>
          <w:bCs/>
          <w:kern w:val="0"/>
          <w:sz w:val="24"/>
          <w:szCs w:val="24"/>
        </w:rPr>
        <w:t>其他与申购相关的事项</w:t>
      </w:r>
    </w:p>
    <w:p w:rsidR="00575AEC" w:rsidRDefault="00273ACB">
      <w:pPr>
        <w:autoSpaceDE w:val="0"/>
        <w:autoSpaceDN w:val="0"/>
        <w:adjustRightInd w:val="0"/>
        <w:spacing w:before="29" w:line="360" w:lineRule="auto"/>
        <w:ind w:firstLineChars="200" w:firstLine="480"/>
        <w:jc w:val="left"/>
        <w:rPr>
          <w:kern w:val="0"/>
          <w:sz w:val="24"/>
          <w:szCs w:val="24"/>
        </w:rPr>
      </w:pPr>
      <w:r>
        <w:rPr>
          <w:rFonts w:hint="eastAsia"/>
          <w:kern w:val="0"/>
          <w:sz w:val="24"/>
          <w:szCs w:val="24"/>
        </w:rPr>
        <w:t>基金管理人可以在基金合同约定的范围内调整费率或收费方式，并最迟应于新的费率或收费方式实施日前依照《信息披露办法》的有关规定在规定媒介上公告。</w:t>
      </w:r>
    </w:p>
    <w:p w:rsidR="00575AEC" w:rsidRDefault="00575AEC">
      <w:pPr>
        <w:autoSpaceDE w:val="0"/>
        <w:autoSpaceDN w:val="0"/>
        <w:adjustRightInd w:val="0"/>
        <w:spacing w:before="29" w:line="360" w:lineRule="auto"/>
        <w:ind w:firstLineChars="200" w:firstLine="480"/>
        <w:jc w:val="left"/>
        <w:rPr>
          <w:kern w:val="0"/>
          <w:sz w:val="24"/>
          <w:szCs w:val="24"/>
        </w:rPr>
      </w:pP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 </w:t>
      </w:r>
      <w:r>
        <w:rPr>
          <w:rFonts w:ascii="宋体" w:eastAsia="宋体" w:hAnsi="Arial" w:cs="宋体" w:hint="eastAsia"/>
          <w:b/>
          <w:bCs/>
          <w:color w:val="000000"/>
          <w:kern w:val="0"/>
          <w:sz w:val="24"/>
          <w:szCs w:val="24"/>
        </w:rPr>
        <w:t>日常赎回业务</w:t>
      </w: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4.1 </w:t>
      </w:r>
      <w:r>
        <w:rPr>
          <w:rFonts w:ascii="宋体" w:eastAsia="宋体" w:hAnsi="Arial" w:cs="宋体" w:hint="eastAsia"/>
          <w:b/>
          <w:bCs/>
          <w:color w:val="000000"/>
          <w:kern w:val="0"/>
          <w:sz w:val="24"/>
          <w:szCs w:val="24"/>
        </w:rPr>
        <w:t>赎回份额限制</w:t>
      </w:r>
    </w:p>
    <w:p w:rsidR="00575AEC" w:rsidRDefault="00273ACB">
      <w:pPr>
        <w:pStyle w:val="a4"/>
        <w:spacing w:line="360" w:lineRule="auto"/>
        <w:ind w:firstLineChars="200" w:firstLine="480"/>
        <w:rPr>
          <w:kern w:val="0"/>
          <w:sz w:val="24"/>
          <w:szCs w:val="24"/>
        </w:rPr>
      </w:pPr>
      <w:r>
        <w:rPr>
          <w:kern w:val="0"/>
          <w:sz w:val="24"/>
          <w:szCs w:val="24"/>
        </w:rPr>
        <w:t>基金份额持有人在销售机构赎回时，基金份额持有人可将其全部或部分基金份额赎回，投资者</w:t>
      </w:r>
      <w:r>
        <w:rPr>
          <w:rFonts w:hint="eastAsia"/>
          <w:kern w:val="0"/>
          <w:sz w:val="24"/>
          <w:szCs w:val="24"/>
        </w:rPr>
        <w:t>单笔</w:t>
      </w:r>
      <w:r>
        <w:rPr>
          <w:kern w:val="0"/>
          <w:sz w:val="24"/>
          <w:szCs w:val="24"/>
        </w:rPr>
        <w:t>赎回</w:t>
      </w:r>
      <w:r>
        <w:rPr>
          <w:rFonts w:hint="eastAsia"/>
          <w:kern w:val="0"/>
          <w:sz w:val="24"/>
          <w:szCs w:val="24"/>
        </w:rPr>
        <w:t>或转换</w:t>
      </w:r>
      <w:r>
        <w:rPr>
          <w:kern w:val="0"/>
          <w:sz w:val="24"/>
          <w:szCs w:val="24"/>
        </w:rPr>
        <w:t>申请不得低于</w:t>
      </w:r>
      <w:r>
        <w:rPr>
          <w:kern w:val="0"/>
          <w:sz w:val="24"/>
          <w:szCs w:val="24"/>
        </w:rPr>
        <w:t>1</w:t>
      </w:r>
      <w:r>
        <w:rPr>
          <w:kern w:val="0"/>
          <w:sz w:val="24"/>
          <w:szCs w:val="24"/>
        </w:rPr>
        <w:t>份基金份额</w:t>
      </w:r>
      <w:r>
        <w:rPr>
          <w:rFonts w:hint="eastAsia"/>
          <w:kern w:val="0"/>
          <w:sz w:val="24"/>
          <w:szCs w:val="24"/>
        </w:rPr>
        <w:t>，</w:t>
      </w:r>
      <w:r>
        <w:rPr>
          <w:kern w:val="0"/>
          <w:sz w:val="24"/>
          <w:szCs w:val="24"/>
        </w:rPr>
        <w:t>投资者在销售机构保留的基金份额最低余额为</w:t>
      </w:r>
      <w:r>
        <w:rPr>
          <w:rFonts w:hint="eastAsia"/>
          <w:kern w:val="0"/>
          <w:sz w:val="24"/>
          <w:szCs w:val="24"/>
        </w:rPr>
        <w:t>0</w:t>
      </w:r>
      <w:r>
        <w:rPr>
          <w:kern w:val="0"/>
          <w:sz w:val="24"/>
          <w:szCs w:val="24"/>
        </w:rPr>
        <w:t>.01</w:t>
      </w:r>
      <w:r>
        <w:rPr>
          <w:kern w:val="0"/>
          <w:sz w:val="24"/>
          <w:szCs w:val="24"/>
        </w:rPr>
        <w:t>份。</w:t>
      </w:r>
    </w:p>
    <w:p w:rsidR="00575AEC" w:rsidRDefault="00273ACB">
      <w:pPr>
        <w:pStyle w:val="a4"/>
        <w:spacing w:line="360" w:lineRule="auto"/>
        <w:ind w:firstLineChars="200" w:firstLine="480"/>
        <w:rPr>
          <w:kern w:val="0"/>
          <w:sz w:val="24"/>
          <w:szCs w:val="24"/>
        </w:rPr>
      </w:pPr>
      <w:r>
        <w:rPr>
          <w:rFonts w:hint="eastAsia"/>
          <w:kern w:val="0"/>
          <w:sz w:val="24"/>
          <w:szCs w:val="24"/>
        </w:rPr>
        <w:t>若某笔赎回将导致投资人在该销售机构托管的该类基金份额余额不足</w:t>
      </w:r>
      <w:r>
        <w:rPr>
          <w:rFonts w:hint="eastAsia"/>
          <w:kern w:val="0"/>
          <w:sz w:val="24"/>
          <w:szCs w:val="24"/>
        </w:rPr>
        <w:t>0</w:t>
      </w:r>
      <w:r>
        <w:rPr>
          <w:kern w:val="0"/>
          <w:sz w:val="24"/>
          <w:szCs w:val="24"/>
        </w:rPr>
        <w:t>.0</w:t>
      </w:r>
      <w:r>
        <w:rPr>
          <w:rFonts w:hint="eastAsia"/>
          <w:kern w:val="0"/>
          <w:sz w:val="24"/>
          <w:szCs w:val="24"/>
        </w:rPr>
        <w:t>1</w:t>
      </w:r>
      <w:r>
        <w:rPr>
          <w:rFonts w:hint="eastAsia"/>
          <w:kern w:val="0"/>
          <w:sz w:val="24"/>
          <w:szCs w:val="24"/>
        </w:rPr>
        <w:t>份时，基金管理人有权将投资人在该销售机构托管的该类基金份额剩余基金份额一次性全部赎回</w:t>
      </w:r>
      <w:r>
        <w:rPr>
          <w:rFonts w:hint="eastAsia"/>
          <w:kern w:val="0"/>
          <w:sz w:val="24"/>
          <w:szCs w:val="24"/>
        </w:rPr>
        <w:t>。在符合法律法规规定的前提下，各销售机构对赎回份额限制有其他规定的，需同时遵循该销售机构的相关规定。</w:t>
      </w: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4.2 </w:t>
      </w:r>
      <w:r>
        <w:rPr>
          <w:rFonts w:ascii="宋体" w:eastAsia="宋体" w:hAnsi="Arial" w:cs="宋体" w:hint="eastAsia"/>
          <w:b/>
          <w:bCs/>
          <w:color w:val="000000"/>
          <w:kern w:val="0"/>
          <w:sz w:val="24"/>
          <w:szCs w:val="24"/>
        </w:rPr>
        <w:t>赎回费率</w:t>
      </w:r>
    </w:p>
    <w:p w:rsidR="00575AEC" w:rsidRDefault="00273ACB">
      <w:pPr>
        <w:spacing w:line="360" w:lineRule="auto"/>
        <w:ind w:firstLineChars="200" w:firstLine="480"/>
      </w:pPr>
      <w:r>
        <w:rPr>
          <w:rFonts w:hint="eastAsia"/>
          <w:kern w:val="0"/>
          <w:sz w:val="24"/>
        </w:rPr>
        <w:t>本基金赎回费用由赎回基金份额的基金份额持有人承担，在基金份额持有人赎回基金份额时收取。赎回费率随赎回基金份额持有期限的增加而递减</w:t>
      </w:r>
      <w:r>
        <w:rPr>
          <w:rFonts w:hint="eastAsia"/>
        </w:rPr>
        <w:t>。</w:t>
      </w:r>
    </w:p>
    <w:p w:rsidR="00575AEC" w:rsidRDefault="00273ACB">
      <w:pPr>
        <w:spacing w:line="360" w:lineRule="auto"/>
        <w:ind w:firstLineChars="200" w:firstLine="480"/>
        <w:rPr>
          <w:kern w:val="0"/>
          <w:sz w:val="24"/>
        </w:rPr>
      </w:pPr>
      <w:r>
        <w:rPr>
          <w:rFonts w:hint="eastAsia"/>
          <w:kern w:val="0"/>
          <w:sz w:val="24"/>
        </w:rPr>
        <w:t>本基金各类基金份额的具体赎回费率如下表：</w:t>
      </w:r>
    </w:p>
    <w:tbl>
      <w:tblPr>
        <w:tblStyle w:val="a9"/>
        <w:tblW w:w="0" w:type="auto"/>
        <w:jc w:val="center"/>
        <w:tblLayout w:type="fixed"/>
        <w:tblLook w:val="04A0"/>
      </w:tblPr>
      <w:tblGrid>
        <w:gridCol w:w="1715"/>
        <w:gridCol w:w="2466"/>
        <w:gridCol w:w="1463"/>
      </w:tblGrid>
      <w:tr w:rsidR="00575AEC">
        <w:trPr>
          <w:jc w:val="center"/>
        </w:trPr>
        <w:tc>
          <w:tcPr>
            <w:tcW w:w="1715" w:type="dxa"/>
          </w:tcPr>
          <w:p w:rsidR="00575AEC" w:rsidRDefault="00273ACB">
            <w:pPr>
              <w:spacing w:line="360" w:lineRule="auto"/>
              <w:jc w:val="center"/>
              <w:rPr>
                <w:sz w:val="22"/>
              </w:rPr>
            </w:pPr>
            <w:r>
              <w:rPr>
                <w:rFonts w:hint="eastAsia"/>
                <w:b/>
                <w:bCs/>
                <w:sz w:val="22"/>
              </w:rPr>
              <w:t>基金份额类别</w:t>
            </w:r>
          </w:p>
        </w:tc>
        <w:tc>
          <w:tcPr>
            <w:tcW w:w="2466" w:type="dxa"/>
            <w:vAlign w:val="center"/>
          </w:tcPr>
          <w:p w:rsidR="00575AEC" w:rsidRDefault="00273ACB">
            <w:pPr>
              <w:spacing w:line="360" w:lineRule="auto"/>
              <w:jc w:val="center"/>
              <w:rPr>
                <w:sz w:val="22"/>
              </w:rPr>
            </w:pPr>
            <w:r>
              <w:rPr>
                <w:rFonts w:hint="eastAsia"/>
                <w:b/>
                <w:bCs/>
                <w:sz w:val="22"/>
              </w:rPr>
              <w:t>持有期限（</w:t>
            </w:r>
            <w:r>
              <w:rPr>
                <w:b/>
                <w:bCs/>
                <w:sz w:val="22"/>
              </w:rPr>
              <w:t>N</w:t>
            </w:r>
            <w:r>
              <w:rPr>
                <w:rFonts w:hint="eastAsia"/>
                <w:b/>
                <w:bCs/>
                <w:sz w:val="22"/>
              </w:rPr>
              <w:t>）</w:t>
            </w:r>
          </w:p>
        </w:tc>
        <w:tc>
          <w:tcPr>
            <w:tcW w:w="1463" w:type="dxa"/>
            <w:vAlign w:val="center"/>
          </w:tcPr>
          <w:p w:rsidR="00575AEC" w:rsidRDefault="00273ACB">
            <w:pPr>
              <w:spacing w:line="360" w:lineRule="auto"/>
              <w:jc w:val="center"/>
              <w:rPr>
                <w:sz w:val="22"/>
              </w:rPr>
            </w:pPr>
            <w:r>
              <w:rPr>
                <w:rFonts w:hint="eastAsia"/>
                <w:b/>
                <w:bCs/>
                <w:sz w:val="22"/>
              </w:rPr>
              <w:t>赎回费率</w:t>
            </w:r>
          </w:p>
        </w:tc>
      </w:tr>
      <w:tr w:rsidR="00575AEC">
        <w:trPr>
          <w:jc w:val="center"/>
        </w:trPr>
        <w:tc>
          <w:tcPr>
            <w:tcW w:w="1715" w:type="dxa"/>
            <w:vMerge w:val="restart"/>
            <w:vAlign w:val="center"/>
          </w:tcPr>
          <w:p w:rsidR="00575AEC" w:rsidRDefault="00273ACB">
            <w:pPr>
              <w:spacing w:line="360" w:lineRule="auto"/>
              <w:jc w:val="center"/>
              <w:rPr>
                <w:sz w:val="22"/>
              </w:rPr>
            </w:pPr>
            <w:r>
              <w:rPr>
                <w:sz w:val="22"/>
              </w:rPr>
              <w:t>A</w:t>
            </w:r>
            <w:r>
              <w:rPr>
                <w:rFonts w:hint="eastAsia"/>
                <w:sz w:val="22"/>
              </w:rPr>
              <w:t>类基金份额</w:t>
            </w:r>
          </w:p>
        </w:tc>
        <w:tc>
          <w:tcPr>
            <w:tcW w:w="2466" w:type="dxa"/>
            <w:vAlign w:val="center"/>
          </w:tcPr>
          <w:p w:rsidR="00575AEC" w:rsidRDefault="00273ACB">
            <w:pPr>
              <w:spacing w:line="360" w:lineRule="auto"/>
              <w:ind w:leftChars="100" w:left="210"/>
              <w:rPr>
                <w:sz w:val="22"/>
              </w:rPr>
            </w:pPr>
            <w:r>
              <w:rPr>
                <w:bCs/>
                <w:sz w:val="22"/>
              </w:rPr>
              <w:t>N</w:t>
            </w:r>
            <w:r>
              <w:rPr>
                <w:rFonts w:hint="eastAsia"/>
                <w:bCs/>
                <w:sz w:val="22"/>
              </w:rPr>
              <w:t>＜</w:t>
            </w:r>
            <w:r>
              <w:rPr>
                <w:bCs/>
                <w:sz w:val="22"/>
              </w:rPr>
              <w:t>7</w:t>
            </w:r>
            <w:r>
              <w:rPr>
                <w:rFonts w:hint="eastAsia"/>
                <w:bCs/>
                <w:sz w:val="22"/>
              </w:rPr>
              <w:t>日</w:t>
            </w:r>
          </w:p>
        </w:tc>
        <w:tc>
          <w:tcPr>
            <w:tcW w:w="1463" w:type="dxa"/>
            <w:vAlign w:val="center"/>
          </w:tcPr>
          <w:p w:rsidR="00575AEC" w:rsidRDefault="00273ACB">
            <w:pPr>
              <w:spacing w:line="360" w:lineRule="auto"/>
              <w:jc w:val="center"/>
              <w:rPr>
                <w:sz w:val="22"/>
              </w:rPr>
            </w:pPr>
            <w:r>
              <w:rPr>
                <w:bCs/>
                <w:sz w:val="22"/>
              </w:rPr>
              <w:t>1.50%</w:t>
            </w:r>
          </w:p>
        </w:tc>
      </w:tr>
      <w:tr w:rsidR="00575AEC">
        <w:trPr>
          <w:jc w:val="center"/>
        </w:trPr>
        <w:tc>
          <w:tcPr>
            <w:tcW w:w="1715" w:type="dxa"/>
            <w:vMerge/>
            <w:vAlign w:val="center"/>
          </w:tcPr>
          <w:p w:rsidR="00575AEC" w:rsidRDefault="00575AEC">
            <w:pPr>
              <w:spacing w:line="360" w:lineRule="auto"/>
              <w:jc w:val="center"/>
              <w:rPr>
                <w:sz w:val="22"/>
              </w:rPr>
            </w:pPr>
          </w:p>
        </w:tc>
        <w:tc>
          <w:tcPr>
            <w:tcW w:w="2466" w:type="dxa"/>
            <w:vAlign w:val="center"/>
          </w:tcPr>
          <w:p w:rsidR="00575AEC" w:rsidRDefault="00273ACB">
            <w:pPr>
              <w:spacing w:line="360" w:lineRule="auto"/>
              <w:ind w:leftChars="100" w:left="210"/>
              <w:rPr>
                <w:sz w:val="22"/>
              </w:rPr>
            </w:pPr>
            <w:r>
              <w:rPr>
                <w:bCs/>
                <w:sz w:val="22"/>
              </w:rPr>
              <w:t>7</w:t>
            </w:r>
            <w:r>
              <w:rPr>
                <w:rFonts w:hint="eastAsia"/>
                <w:bCs/>
                <w:sz w:val="22"/>
              </w:rPr>
              <w:t>日</w:t>
            </w:r>
            <w:r>
              <w:rPr>
                <w:rFonts w:hint="eastAsia"/>
                <w:color w:val="000000"/>
                <w:sz w:val="22"/>
                <w:szCs w:val="21"/>
              </w:rPr>
              <w:t>≤</w:t>
            </w:r>
            <w:r>
              <w:rPr>
                <w:bCs/>
                <w:sz w:val="22"/>
              </w:rPr>
              <w:t>N</w:t>
            </w:r>
            <w:r>
              <w:rPr>
                <w:rFonts w:hint="eastAsia"/>
                <w:bCs/>
                <w:sz w:val="22"/>
              </w:rPr>
              <w:t>＜</w:t>
            </w:r>
            <w:r>
              <w:rPr>
                <w:bCs/>
                <w:sz w:val="22"/>
              </w:rPr>
              <w:t>30</w:t>
            </w:r>
            <w:r>
              <w:rPr>
                <w:rFonts w:hint="eastAsia"/>
                <w:bCs/>
                <w:sz w:val="22"/>
              </w:rPr>
              <w:t>日</w:t>
            </w:r>
          </w:p>
        </w:tc>
        <w:tc>
          <w:tcPr>
            <w:tcW w:w="1463" w:type="dxa"/>
            <w:vAlign w:val="center"/>
          </w:tcPr>
          <w:p w:rsidR="00575AEC" w:rsidRDefault="00273ACB">
            <w:pPr>
              <w:spacing w:line="360" w:lineRule="auto"/>
              <w:jc w:val="center"/>
              <w:rPr>
                <w:sz w:val="22"/>
              </w:rPr>
            </w:pPr>
            <w:r>
              <w:rPr>
                <w:bCs/>
                <w:sz w:val="22"/>
              </w:rPr>
              <w:t>0.75%</w:t>
            </w:r>
          </w:p>
        </w:tc>
      </w:tr>
      <w:tr w:rsidR="00575AEC">
        <w:trPr>
          <w:jc w:val="center"/>
        </w:trPr>
        <w:tc>
          <w:tcPr>
            <w:tcW w:w="1715" w:type="dxa"/>
            <w:vMerge/>
            <w:vAlign w:val="center"/>
          </w:tcPr>
          <w:p w:rsidR="00575AEC" w:rsidRDefault="00575AEC">
            <w:pPr>
              <w:spacing w:line="360" w:lineRule="auto"/>
              <w:jc w:val="center"/>
              <w:rPr>
                <w:sz w:val="22"/>
              </w:rPr>
            </w:pPr>
          </w:p>
        </w:tc>
        <w:tc>
          <w:tcPr>
            <w:tcW w:w="2466" w:type="dxa"/>
            <w:vAlign w:val="center"/>
          </w:tcPr>
          <w:p w:rsidR="00575AEC" w:rsidRDefault="00273ACB">
            <w:pPr>
              <w:spacing w:line="360" w:lineRule="auto"/>
              <w:ind w:leftChars="100" w:left="210"/>
              <w:rPr>
                <w:sz w:val="22"/>
              </w:rPr>
            </w:pPr>
            <w:r>
              <w:rPr>
                <w:bCs/>
                <w:sz w:val="22"/>
              </w:rPr>
              <w:t>30</w:t>
            </w:r>
            <w:r>
              <w:rPr>
                <w:rFonts w:hint="eastAsia"/>
                <w:bCs/>
                <w:sz w:val="22"/>
              </w:rPr>
              <w:t>日</w:t>
            </w:r>
            <w:r>
              <w:rPr>
                <w:rFonts w:hint="eastAsia"/>
                <w:color w:val="000000"/>
                <w:sz w:val="22"/>
                <w:szCs w:val="21"/>
              </w:rPr>
              <w:t>≤</w:t>
            </w:r>
            <w:r>
              <w:rPr>
                <w:bCs/>
                <w:sz w:val="22"/>
              </w:rPr>
              <w:t>N</w:t>
            </w:r>
            <w:r>
              <w:rPr>
                <w:rFonts w:hint="eastAsia"/>
                <w:bCs/>
                <w:sz w:val="22"/>
              </w:rPr>
              <w:t>＜</w:t>
            </w:r>
            <w:r>
              <w:rPr>
                <w:bCs/>
                <w:sz w:val="22"/>
              </w:rPr>
              <w:t>180</w:t>
            </w:r>
            <w:r>
              <w:rPr>
                <w:rFonts w:hint="eastAsia"/>
                <w:bCs/>
                <w:sz w:val="22"/>
              </w:rPr>
              <w:t>日</w:t>
            </w:r>
          </w:p>
        </w:tc>
        <w:tc>
          <w:tcPr>
            <w:tcW w:w="1463" w:type="dxa"/>
            <w:vAlign w:val="center"/>
          </w:tcPr>
          <w:p w:rsidR="00575AEC" w:rsidRDefault="00273ACB">
            <w:pPr>
              <w:spacing w:line="360" w:lineRule="auto"/>
              <w:jc w:val="center"/>
              <w:rPr>
                <w:sz w:val="22"/>
              </w:rPr>
            </w:pPr>
            <w:r>
              <w:rPr>
                <w:bCs/>
                <w:sz w:val="22"/>
              </w:rPr>
              <w:t>0.50%</w:t>
            </w:r>
          </w:p>
        </w:tc>
      </w:tr>
      <w:tr w:rsidR="00575AEC">
        <w:trPr>
          <w:jc w:val="center"/>
        </w:trPr>
        <w:tc>
          <w:tcPr>
            <w:tcW w:w="1715" w:type="dxa"/>
            <w:vMerge/>
            <w:vAlign w:val="center"/>
          </w:tcPr>
          <w:p w:rsidR="00575AEC" w:rsidRDefault="00575AEC">
            <w:pPr>
              <w:spacing w:line="360" w:lineRule="auto"/>
              <w:jc w:val="center"/>
              <w:rPr>
                <w:sz w:val="22"/>
              </w:rPr>
            </w:pPr>
          </w:p>
        </w:tc>
        <w:tc>
          <w:tcPr>
            <w:tcW w:w="2466" w:type="dxa"/>
            <w:vAlign w:val="center"/>
          </w:tcPr>
          <w:p w:rsidR="00575AEC" w:rsidRDefault="00273ACB">
            <w:pPr>
              <w:spacing w:line="360" w:lineRule="auto"/>
              <w:ind w:leftChars="100" w:left="210"/>
              <w:rPr>
                <w:sz w:val="22"/>
              </w:rPr>
            </w:pPr>
            <w:r>
              <w:rPr>
                <w:bCs/>
                <w:sz w:val="22"/>
              </w:rPr>
              <w:t>N</w:t>
            </w:r>
            <w:r>
              <w:rPr>
                <w:rFonts w:hint="eastAsia"/>
                <w:bCs/>
                <w:sz w:val="22"/>
              </w:rPr>
              <w:t>≥</w:t>
            </w:r>
            <w:r>
              <w:rPr>
                <w:bCs/>
                <w:sz w:val="22"/>
              </w:rPr>
              <w:t>180</w:t>
            </w:r>
            <w:r>
              <w:rPr>
                <w:rFonts w:hint="eastAsia"/>
                <w:bCs/>
                <w:sz w:val="22"/>
              </w:rPr>
              <w:t>日</w:t>
            </w:r>
          </w:p>
        </w:tc>
        <w:tc>
          <w:tcPr>
            <w:tcW w:w="1463" w:type="dxa"/>
            <w:vAlign w:val="center"/>
          </w:tcPr>
          <w:p w:rsidR="00575AEC" w:rsidRDefault="00273ACB">
            <w:pPr>
              <w:spacing w:line="360" w:lineRule="auto"/>
              <w:jc w:val="center"/>
              <w:rPr>
                <w:sz w:val="22"/>
              </w:rPr>
            </w:pPr>
            <w:r>
              <w:rPr>
                <w:rFonts w:hint="eastAsia"/>
                <w:bCs/>
                <w:sz w:val="22"/>
              </w:rPr>
              <w:t>0.00%</w:t>
            </w:r>
          </w:p>
        </w:tc>
      </w:tr>
      <w:tr w:rsidR="00575AEC">
        <w:trPr>
          <w:jc w:val="center"/>
        </w:trPr>
        <w:tc>
          <w:tcPr>
            <w:tcW w:w="1715" w:type="dxa"/>
            <w:vMerge w:val="restart"/>
            <w:vAlign w:val="center"/>
          </w:tcPr>
          <w:p w:rsidR="00575AEC" w:rsidRDefault="00273ACB">
            <w:pPr>
              <w:spacing w:line="360" w:lineRule="auto"/>
              <w:jc w:val="center"/>
              <w:rPr>
                <w:sz w:val="22"/>
              </w:rPr>
            </w:pPr>
            <w:r>
              <w:rPr>
                <w:sz w:val="22"/>
              </w:rPr>
              <w:t>C</w:t>
            </w:r>
            <w:r>
              <w:rPr>
                <w:rFonts w:hint="eastAsia"/>
                <w:sz w:val="22"/>
              </w:rPr>
              <w:t>类基金份额</w:t>
            </w:r>
          </w:p>
        </w:tc>
        <w:tc>
          <w:tcPr>
            <w:tcW w:w="2466" w:type="dxa"/>
            <w:vAlign w:val="center"/>
          </w:tcPr>
          <w:p w:rsidR="00575AEC" w:rsidRDefault="00273ACB">
            <w:pPr>
              <w:spacing w:line="360" w:lineRule="auto"/>
              <w:ind w:leftChars="100" w:left="210"/>
              <w:rPr>
                <w:sz w:val="22"/>
              </w:rPr>
            </w:pPr>
            <w:r>
              <w:rPr>
                <w:sz w:val="22"/>
              </w:rPr>
              <w:t>N&lt;7</w:t>
            </w:r>
            <w:r>
              <w:rPr>
                <w:rFonts w:hint="eastAsia"/>
                <w:sz w:val="22"/>
              </w:rPr>
              <w:t>日</w:t>
            </w:r>
          </w:p>
        </w:tc>
        <w:tc>
          <w:tcPr>
            <w:tcW w:w="1463" w:type="dxa"/>
            <w:vAlign w:val="center"/>
          </w:tcPr>
          <w:p w:rsidR="00575AEC" w:rsidRDefault="00273ACB">
            <w:pPr>
              <w:spacing w:line="360" w:lineRule="auto"/>
              <w:jc w:val="center"/>
              <w:rPr>
                <w:sz w:val="22"/>
              </w:rPr>
            </w:pPr>
            <w:r>
              <w:rPr>
                <w:sz w:val="22"/>
              </w:rPr>
              <w:t>1.50%</w:t>
            </w:r>
          </w:p>
        </w:tc>
      </w:tr>
      <w:tr w:rsidR="00575AEC">
        <w:trPr>
          <w:jc w:val="center"/>
        </w:trPr>
        <w:tc>
          <w:tcPr>
            <w:tcW w:w="1715" w:type="dxa"/>
            <w:vMerge/>
          </w:tcPr>
          <w:p w:rsidR="00575AEC" w:rsidRDefault="00575AEC">
            <w:pPr>
              <w:spacing w:line="360" w:lineRule="auto"/>
              <w:rPr>
                <w:sz w:val="22"/>
              </w:rPr>
            </w:pPr>
          </w:p>
        </w:tc>
        <w:tc>
          <w:tcPr>
            <w:tcW w:w="2466" w:type="dxa"/>
            <w:vAlign w:val="center"/>
          </w:tcPr>
          <w:p w:rsidR="00575AEC" w:rsidRDefault="00273ACB">
            <w:pPr>
              <w:spacing w:line="360" w:lineRule="auto"/>
              <w:ind w:leftChars="100" w:left="210"/>
              <w:rPr>
                <w:sz w:val="22"/>
              </w:rPr>
            </w:pPr>
            <w:r>
              <w:rPr>
                <w:sz w:val="22"/>
              </w:rPr>
              <w:t>7</w:t>
            </w:r>
            <w:r>
              <w:rPr>
                <w:rFonts w:hint="eastAsia"/>
                <w:sz w:val="22"/>
              </w:rPr>
              <w:t>日≤</w:t>
            </w:r>
            <w:r>
              <w:rPr>
                <w:sz w:val="22"/>
              </w:rPr>
              <w:t>N</w:t>
            </w:r>
            <w:r>
              <w:rPr>
                <w:rFonts w:hint="eastAsia"/>
                <w:sz w:val="22"/>
              </w:rPr>
              <w:t>＜</w:t>
            </w:r>
            <w:r>
              <w:rPr>
                <w:sz w:val="22"/>
              </w:rPr>
              <w:t>30</w:t>
            </w:r>
            <w:r>
              <w:rPr>
                <w:rFonts w:hint="eastAsia"/>
                <w:sz w:val="22"/>
              </w:rPr>
              <w:t>日</w:t>
            </w:r>
          </w:p>
        </w:tc>
        <w:tc>
          <w:tcPr>
            <w:tcW w:w="1463" w:type="dxa"/>
            <w:vAlign w:val="center"/>
          </w:tcPr>
          <w:p w:rsidR="00575AEC" w:rsidRDefault="00273ACB">
            <w:pPr>
              <w:spacing w:line="360" w:lineRule="auto"/>
              <w:jc w:val="center"/>
              <w:rPr>
                <w:sz w:val="22"/>
              </w:rPr>
            </w:pPr>
            <w:r>
              <w:rPr>
                <w:sz w:val="22"/>
              </w:rPr>
              <w:t>0.50%</w:t>
            </w:r>
          </w:p>
        </w:tc>
      </w:tr>
      <w:tr w:rsidR="00575AEC">
        <w:trPr>
          <w:jc w:val="center"/>
        </w:trPr>
        <w:tc>
          <w:tcPr>
            <w:tcW w:w="1715" w:type="dxa"/>
            <w:vMerge/>
          </w:tcPr>
          <w:p w:rsidR="00575AEC" w:rsidRDefault="00575AEC">
            <w:pPr>
              <w:spacing w:line="360" w:lineRule="auto"/>
              <w:rPr>
                <w:sz w:val="22"/>
              </w:rPr>
            </w:pPr>
          </w:p>
        </w:tc>
        <w:tc>
          <w:tcPr>
            <w:tcW w:w="2466" w:type="dxa"/>
            <w:vAlign w:val="center"/>
          </w:tcPr>
          <w:p w:rsidR="00575AEC" w:rsidRDefault="00273ACB">
            <w:pPr>
              <w:spacing w:line="360" w:lineRule="auto"/>
              <w:ind w:leftChars="100" w:left="210"/>
              <w:rPr>
                <w:sz w:val="22"/>
              </w:rPr>
            </w:pPr>
            <w:r>
              <w:rPr>
                <w:sz w:val="22"/>
              </w:rPr>
              <w:t>N</w:t>
            </w:r>
            <w:r>
              <w:rPr>
                <w:rFonts w:hint="eastAsia"/>
                <w:bCs/>
                <w:sz w:val="22"/>
              </w:rPr>
              <w:t>≥</w:t>
            </w:r>
            <w:r>
              <w:rPr>
                <w:sz w:val="22"/>
              </w:rPr>
              <w:t>30</w:t>
            </w:r>
            <w:r>
              <w:rPr>
                <w:rFonts w:hint="eastAsia"/>
                <w:sz w:val="22"/>
              </w:rPr>
              <w:t>日</w:t>
            </w:r>
          </w:p>
        </w:tc>
        <w:tc>
          <w:tcPr>
            <w:tcW w:w="1463" w:type="dxa"/>
            <w:vAlign w:val="center"/>
          </w:tcPr>
          <w:p w:rsidR="00575AEC" w:rsidRDefault="00273ACB">
            <w:pPr>
              <w:spacing w:line="360" w:lineRule="auto"/>
              <w:jc w:val="center"/>
              <w:rPr>
                <w:sz w:val="22"/>
              </w:rPr>
            </w:pPr>
            <w:r>
              <w:rPr>
                <w:rFonts w:hint="eastAsia"/>
                <w:bCs/>
                <w:sz w:val="22"/>
              </w:rPr>
              <w:t>0.00%</w:t>
            </w:r>
          </w:p>
        </w:tc>
      </w:tr>
    </w:tbl>
    <w:p w:rsidR="00575AEC" w:rsidRDefault="00273ACB">
      <w:pPr>
        <w:spacing w:line="360" w:lineRule="auto"/>
        <w:ind w:firstLineChars="700" w:firstLine="1470"/>
      </w:pPr>
      <w:r>
        <w:rPr>
          <w:rFonts w:hint="eastAsia"/>
        </w:rPr>
        <w:t>注：</w:t>
      </w:r>
      <w:r>
        <w:rPr>
          <w:rFonts w:hint="eastAsia"/>
        </w:rPr>
        <w:t>N</w:t>
      </w:r>
      <w:r>
        <w:rPr>
          <w:rFonts w:hint="eastAsia"/>
        </w:rPr>
        <w:t>为日历日</w:t>
      </w:r>
    </w:p>
    <w:p w:rsidR="00575AEC" w:rsidRDefault="00273ACB" w:rsidP="00273ACB">
      <w:pPr>
        <w:pStyle w:val="a4"/>
        <w:spacing w:beforeLines="50" w:line="360" w:lineRule="auto"/>
        <w:ind w:firstLineChars="200" w:firstLine="480"/>
        <w:rPr>
          <w:kern w:val="0"/>
          <w:sz w:val="24"/>
          <w:szCs w:val="24"/>
        </w:rPr>
      </w:pPr>
      <w:r>
        <w:rPr>
          <w:rFonts w:hint="eastAsia"/>
          <w:kern w:val="0"/>
          <w:sz w:val="24"/>
          <w:szCs w:val="24"/>
        </w:rPr>
        <w:lastRenderedPageBreak/>
        <w:t>对于持有期少于</w:t>
      </w:r>
      <w:r>
        <w:rPr>
          <w:rFonts w:hint="eastAsia"/>
          <w:kern w:val="0"/>
          <w:sz w:val="24"/>
          <w:szCs w:val="24"/>
        </w:rPr>
        <w:t>30</w:t>
      </w:r>
      <w:r>
        <w:rPr>
          <w:rFonts w:hint="eastAsia"/>
          <w:kern w:val="0"/>
          <w:sz w:val="24"/>
          <w:szCs w:val="24"/>
        </w:rPr>
        <w:t>日的</w:t>
      </w:r>
      <w:r>
        <w:rPr>
          <w:rFonts w:hint="eastAsia"/>
          <w:kern w:val="0"/>
          <w:sz w:val="24"/>
          <w:szCs w:val="24"/>
        </w:rPr>
        <w:t>A</w:t>
      </w:r>
      <w:r>
        <w:rPr>
          <w:rFonts w:hint="eastAsia"/>
          <w:kern w:val="0"/>
          <w:sz w:val="24"/>
          <w:szCs w:val="24"/>
        </w:rPr>
        <w:t>类基金份额所收取的赎回费，赎回费用全额归入基金财产；对于持有期长于</w:t>
      </w:r>
      <w:r>
        <w:rPr>
          <w:rFonts w:hint="eastAsia"/>
          <w:kern w:val="0"/>
          <w:sz w:val="24"/>
          <w:szCs w:val="24"/>
        </w:rPr>
        <w:t>30</w:t>
      </w:r>
      <w:r>
        <w:rPr>
          <w:rFonts w:hint="eastAsia"/>
          <w:kern w:val="0"/>
          <w:sz w:val="24"/>
          <w:szCs w:val="24"/>
        </w:rPr>
        <w:t>日（含）但少于</w:t>
      </w:r>
      <w:r>
        <w:rPr>
          <w:rFonts w:hint="eastAsia"/>
          <w:kern w:val="0"/>
          <w:sz w:val="24"/>
          <w:szCs w:val="24"/>
        </w:rPr>
        <w:t>90</w:t>
      </w:r>
      <w:r>
        <w:rPr>
          <w:rFonts w:hint="eastAsia"/>
          <w:kern w:val="0"/>
          <w:sz w:val="24"/>
          <w:szCs w:val="24"/>
        </w:rPr>
        <w:t>日的</w:t>
      </w:r>
      <w:r>
        <w:rPr>
          <w:rFonts w:hint="eastAsia"/>
          <w:kern w:val="0"/>
          <w:sz w:val="24"/>
          <w:szCs w:val="24"/>
        </w:rPr>
        <w:t>A</w:t>
      </w:r>
      <w:r>
        <w:rPr>
          <w:rFonts w:hint="eastAsia"/>
          <w:kern w:val="0"/>
          <w:sz w:val="24"/>
          <w:szCs w:val="24"/>
        </w:rPr>
        <w:t>类基金份额所收取的赎回费，赎回费用</w:t>
      </w:r>
      <w:r>
        <w:rPr>
          <w:rFonts w:hint="eastAsia"/>
          <w:kern w:val="0"/>
          <w:sz w:val="24"/>
          <w:szCs w:val="24"/>
        </w:rPr>
        <w:t>75%</w:t>
      </w:r>
      <w:r>
        <w:rPr>
          <w:rFonts w:hint="eastAsia"/>
          <w:kern w:val="0"/>
          <w:sz w:val="24"/>
          <w:szCs w:val="24"/>
        </w:rPr>
        <w:t>归入基金财产；对于持有期长于</w:t>
      </w:r>
      <w:r>
        <w:rPr>
          <w:rFonts w:hint="eastAsia"/>
          <w:kern w:val="0"/>
          <w:sz w:val="24"/>
          <w:szCs w:val="24"/>
        </w:rPr>
        <w:t>90</w:t>
      </w:r>
      <w:r>
        <w:rPr>
          <w:rFonts w:hint="eastAsia"/>
          <w:kern w:val="0"/>
          <w:sz w:val="24"/>
          <w:szCs w:val="24"/>
        </w:rPr>
        <w:t>日（含）但小于</w:t>
      </w:r>
      <w:r>
        <w:rPr>
          <w:rFonts w:hint="eastAsia"/>
          <w:kern w:val="0"/>
          <w:sz w:val="24"/>
          <w:szCs w:val="24"/>
        </w:rPr>
        <w:t>180</w:t>
      </w:r>
      <w:r>
        <w:rPr>
          <w:rFonts w:hint="eastAsia"/>
          <w:kern w:val="0"/>
          <w:sz w:val="24"/>
          <w:szCs w:val="24"/>
        </w:rPr>
        <w:t>日的</w:t>
      </w:r>
      <w:r>
        <w:rPr>
          <w:rFonts w:hint="eastAsia"/>
          <w:kern w:val="0"/>
          <w:sz w:val="24"/>
          <w:szCs w:val="24"/>
        </w:rPr>
        <w:t>A</w:t>
      </w:r>
      <w:r>
        <w:rPr>
          <w:rFonts w:hint="eastAsia"/>
          <w:kern w:val="0"/>
          <w:sz w:val="24"/>
          <w:szCs w:val="24"/>
        </w:rPr>
        <w:t>类基金份额所收取的赎回费，赎回费用</w:t>
      </w:r>
      <w:r>
        <w:rPr>
          <w:rFonts w:hint="eastAsia"/>
          <w:kern w:val="0"/>
          <w:sz w:val="24"/>
          <w:szCs w:val="24"/>
        </w:rPr>
        <w:t>50%</w:t>
      </w:r>
      <w:r>
        <w:rPr>
          <w:rFonts w:hint="eastAsia"/>
          <w:kern w:val="0"/>
          <w:sz w:val="24"/>
          <w:szCs w:val="24"/>
        </w:rPr>
        <w:t>归入基金财产。</w:t>
      </w:r>
    </w:p>
    <w:p w:rsidR="00575AEC" w:rsidRDefault="00273ACB">
      <w:pPr>
        <w:pStyle w:val="a4"/>
        <w:spacing w:line="360" w:lineRule="auto"/>
        <w:ind w:firstLineChars="200" w:firstLine="480"/>
        <w:rPr>
          <w:kern w:val="0"/>
          <w:sz w:val="24"/>
          <w:szCs w:val="24"/>
        </w:rPr>
      </w:pPr>
      <w:r>
        <w:rPr>
          <w:rFonts w:hint="eastAsia"/>
          <w:kern w:val="0"/>
          <w:sz w:val="24"/>
          <w:szCs w:val="24"/>
        </w:rPr>
        <w:t>对于</w:t>
      </w:r>
      <w:r>
        <w:rPr>
          <w:rFonts w:hint="eastAsia"/>
          <w:kern w:val="0"/>
          <w:sz w:val="24"/>
          <w:szCs w:val="24"/>
        </w:rPr>
        <w:t xml:space="preserve">C </w:t>
      </w:r>
      <w:r>
        <w:rPr>
          <w:rFonts w:hint="eastAsia"/>
          <w:kern w:val="0"/>
          <w:sz w:val="24"/>
          <w:szCs w:val="24"/>
        </w:rPr>
        <w:t>类基金份额收取的赎回费用将全额计入基金财产。</w:t>
      </w:r>
    </w:p>
    <w:p w:rsidR="00575AEC" w:rsidRDefault="00273ACB">
      <w:pPr>
        <w:autoSpaceDE w:val="0"/>
        <w:autoSpaceDN w:val="0"/>
        <w:adjustRightInd w:val="0"/>
        <w:spacing w:before="29" w:line="288" w:lineRule="auto"/>
        <w:jc w:val="left"/>
        <w:rPr>
          <w:rFonts w:ascii="宋体" w:eastAsia="宋体" w:hAnsi="Arial" w:cs="宋体"/>
          <w:b/>
          <w:bCs/>
          <w:kern w:val="0"/>
          <w:sz w:val="24"/>
          <w:szCs w:val="24"/>
        </w:rPr>
      </w:pPr>
      <w:r>
        <w:rPr>
          <w:rFonts w:ascii="宋体" w:eastAsia="宋体" w:hAnsi="Arial" w:cs="宋体"/>
          <w:b/>
          <w:bCs/>
          <w:kern w:val="0"/>
          <w:sz w:val="24"/>
          <w:szCs w:val="24"/>
        </w:rPr>
        <w:t xml:space="preserve">4.3 </w:t>
      </w:r>
      <w:r>
        <w:rPr>
          <w:rFonts w:ascii="宋体" w:eastAsia="宋体" w:hAnsi="Arial" w:cs="宋体" w:hint="eastAsia"/>
          <w:b/>
          <w:bCs/>
          <w:kern w:val="0"/>
          <w:sz w:val="24"/>
          <w:szCs w:val="24"/>
        </w:rPr>
        <w:t>其他与赎回相关的事项</w:t>
      </w:r>
    </w:p>
    <w:p w:rsidR="00575AEC" w:rsidRDefault="00273ACB">
      <w:pPr>
        <w:autoSpaceDE w:val="0"/>
        <w:autoSpaceDN w:val="0"/>
        <w:adjustRightInd w:val="0"/>
        <w:spacing w:before="29" w:line="288" w:lineRule="auto"/>
        <w:ind w:firstLineChars="200" w:firstLine="480"/>
        <w:jc w:val="left"/>
        <w:rPr>
          <w:rFonts w:ascii="宋体" w:hAnsi="宋体" w:cs="宋体"/>
          <w:b/>
          <w:bCs/>
          <w:color w:val="000000"/>
          <w:kern w:val="0"/>
          <w:sz w:val="24"/>
          <w:szCs w:val="24"/>
        </w:rPr>
      </w:pPr>
      <w:r>
        <w:rPr>
          <w:bCs/>
          <w:sz w:val="24"/>
        </w:rPr>
        <w:t>基金管理人可以在基金合同约定的范围内调整费率或收费方式，并最迟应于新的费率或收费方式实施日前依照《信息披露办法》的有关规定在规定媒介上公告。</w:t>
      </w:r>
    </w:p>
    <w:p w:rsidR="00575AEC" w:rsidRDefault="00273ACB">
      <w:pPr>
        <w:autoSpaceDE w:val="0"/>
        <w:autoSpaceDN w:val="0"/>
        <w:adjustRightInd w:val="0"/>
        <w:spacing w:before="29" w:line="288" w:lineRule="auto"/>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5 </w:t>
      </w:r>
      <w:r>
        <w:rPr>
          <w:rFonts w:ascii="宋体" w:hAnsi="宋体" w:cs="宋体" w:hint="eastAsia"/>
          <w:b/>
          <w:bCs/>
          <w:color w:val="000000"/>
          <w:kern w:val="0"/>
          <w:sz w:val="24"/>
          <w:szCs w:val="24"/>
        </w:rPr>
        <w:t>日常转换业务</w:t>
      </w:r>
    </w:p>
    <w:p w:rsidR="00575AEC" w:rsidRDefault="00273ACB">
      <w:pPr>
        <w:autoSpaceDE w:val="0"/>
        <w:autoSpaceDN w:val="0"/>
        <w:adjustRightInd w:val="0"/>
        <w:spacing w:before="29" w:line="288" w:lineRule="auto"/>
        <w:jc w:val="left"/>
        <w:rPr>
          <w:rFonts w:ascii="宋体" w:hAnsi="宋体" w:cs="宋体"/>
          <w:b/>
          <w:bCs/>
          <w:color w:val="000000" w:themeColor="text1"/>
          <w:kern w:val="0"/>
          <w:sz w:val="24"/>
          <w:szCs w:val="24"/>
        </w:rPr>
      </w:pPr>
      <w:r>
        <w:rPr>
          <w:rFonts w:ascii="宋体" w:hAnsi="宋体" w:cs="宋体"/>
          <w:b/>
          <w:bCs/>
          <w:color w:val="000000" w:themeColor="text1"/>
          <w:kern w:val="0"/>
          <w:sz w:val="24"/>
          <w:szCs w:val="24"/>
        </w:rPr>
        <w:t xml:space="preserve">5.1 </w:t>
      </w:r>
      <w:r>
        <w:rPr>
          <w:rFonts w:ascii="宋体" w:hAnsi="宋体" w:cs="宋体" w:hint="eastAsia"/>
          <w:b/>
          <w:bCs/>
          <w:color w:val="000000" w:themeColor="text1"/>
          <w:kern w:val="0"/>
          <w:sz w:val="24"/>
          <w:szCs w:val="24"/>
        </w:rPr>
        <w:t>转换费用</w:t>
      </w:r>
    </w:p>
    <w:p w:rsidR="00575AEC" w:rsidRDefault="00273ACB">
      <w:pPr>
        <w:autoSpaceDE w:val="0"/>
        <w:autoSpaceDN w:val="0"/>
        <w:adjustRightInd w:val="0"/>
        <w:spacing w:before="29" w:line="360" w:lineRule="auto"/>
        <w:ind w:firstLineChars="200" w:firstLine="480"/>
        <w:jc w:val="left"/>
        <w:rPr>
          <w:rFonts w:ascii="宋体" w:eastAsia="宋体" w:hAnsi="宋体" w:cs="宋体"/>
          <w:b/>
          <w:bCs/>
          <w:color w:val="000000"/>
          <w:kern w:val="0"/>
          <w:sz w:val="24"/>
          <w:szCs w:val="24"/>
        </w:rPr>
      </w:pPr>
      <w:r>
        <w:rPr>
          <w:rFonts w:ascii="宋体" w:hAnsi="宋体" w:cs="宋体" w:hint="eastAsia"/>
          <w:color w:val="000000" w:themeColor="text1"/>
          <w:kern w:val="0"/>
          <w:sz w:val="24"/>
          <w:szCs w:val="24"/>
        </w:rPr>
        <w:t>基金转换业务需要收取一定的转换费用。基金转换费用按照转出基金的赎回费加上转出与转入基金申购补差费的标准收取。其中，转出基金赎回费根据各转出基金相应的赎回费率进行计算和收取；申购补差费为转入基金申购费与转出基金申购费之间的差额，申购费率按申购金额的不同分段收取，申购补差费按转入基金和转出基金各自对应的申购费率分别计算，由申购费率高的基金向申购费率低的基金进行转换时不收取申购补差费。基金转换费用由基金份额持有人承担。</w:t>
      </w:r>
    </w:p>
    <w:p w:rsidR="00575AEC" w:rsidRDefault="00273ACB">
      <w:pPr>
        <w:autoSpaceDE w:val="0"/>
        <w:autoSpaceDN w:val="0"/>
        <w:adjustRightInd w:val="0"/>
        <w:spacing w:before="29" w:line="288" w:lineRule="auto"/>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r>
        <w:rPr>
          <w:rFonts w:ascii="宋体" w:eastAsia="宋体" w:hAnsi="宋体" w:cs="宋体"/>
          <w:b/>
          <w:bCs/>
          <w:color w:val="000000"/>
          <w:kern w:val="0"/>
          <w:sz w:val="24"/>
          <w:szCs w:val="24"/>
        </w:rPr>
        <w:t>.2</w:t>
      </w:r>
      <w:r>
        <w:rPr>
          <w:rFonts w:ascii="宋体" w:eastAsia="宋体" w:hAnsi="宋体" w:cs="宋体" w:hint="eastAsia"/>
          <w:b/>
          <w:bCs/>
          <w:color w:val="000000"/>
          <w:kern w:val="0"/>
          <w:sz w:val="24"/>
          <w:szCs w:val="24"/>
        </w:rPr>
        <w:t xml:space="preserve"> </w:t>
      </w:r>
      <w:r>
        <w:rPr>
          <w:rFonts w:ascii="宋体" w:eastAsia="宋体" w:hAnsi="宋体" w:cs="宋体" w:hint="eastAsia"/>
          <w:b/>
          <w:bCs/>
          <w:color w:val="000000"/>
          <w:kern w:val="0"/>
          <w:sz w:val="24"/>
          <w:szCs w:val="24"/>
        </w:rPr>
        <w:t>其他与转换相关的事项</w:t>
      </w:r>
    </w:p>
    <w:p w:rsidR="00575AEC" w:rsidRDefault="00273ACB">
      <w:pPr>
        <w:autoSpaceDE w:val="0"/>
        <w:autoSpaceDN w:val="0"/>
        <w:adjustRightInd w:val="0"/>
        <w:spacing w:before="29" w:line="288" w:lineRule="auto"/>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xml:space="preserve">5.2.1 </w:t>
      </w:r>
      <w:r>
        <w:rPr>
          <w:rFonts w:ascii="宋体" w:eastAsia="宋体" w:hAnsi="宋体" w:cs="宋体" w:hint="eastAsia"/>
          <w:b/>
          <w:bCs/>
          <w:color w:val="000000"/>
          <w:kern w:val="0"/>
          <w:sz w:val="24"/>
          <w:szCs w:val="24"/>
        </w:rPr>
        <w:t>适用范围</w:t>
      </w:r>
    </w:p>
    <w:p w:rsidR="00575AEC" w:rsidRDefault="00273ACB">
      <w:pPr>
        <w:autoSpaceDE w:val="0"/>
        <w:autoSpaceDN w:val="0"/>
        <w:adjustRightInd w:val="0"/>
        <w:spacing w:before="29" w:line="288" w:lineRule="auto"/>
        <w:ind w:firstLineChars="200" w:firstLine="480"/>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自</w:t>
      </w:r>
      <w:r>
        <w:rPr>
          <w:rFonts w:ascii="Times New Roman" w:hAnsi="Times New Roman"/>
          <w:color w:val="000000" w:themeColor="text1"/>
          <w:kern w:val="0"/>
          <w:sz w:val="24"/>
          <w:szCs w:val="24"/>
        </w:rPr>
        <w:t>202</w:t>
      </w:r>
      <w:r>
        <w:rPr>
          <w:rFonts w:ascii="Times New Roman" w:hAnsi="Times New Roman" w:hint="eastAsia"/>
          <w:color w:val="000000" w:themeColor="text1"/>
          <w:kern w:val="0"/>
          <w:sz w:val="24"/>
          <w:szCs w:val="24"/>
        </w:rPr>
        <w:t>6</w:t>
      </w:r>
      <w:r>
        <w:rPr>
          <w:rFonts w:ascii="Times New Roman" w:hAnsi="Times New Roman"/>
          <w:color w:val="000000" w:themeColor="text1"/>
          <w:kern w:val="0"/>
          <w:sz w:val="24"/>
          <w:szCs w:val="24"/>
        </w:rPr>
        <w:t>年</w:t>
      </w:r>
      <w:r>
        <w:rPr>
          <w:rFonts w:ascii="Times New Roman" w:hAnsi="Times New Roman" w:hint="eastAsia"/>
          <w:color w:val="000000" w:themeColor="text1"/>
          <w:kern w:val="0"/>
          <w:sz w:val="24"/>
          <w:szCs w:val="24"/>
        </w:rPr>
        <w:t>1</w:t>
      </w:r>
      <w:r>
        <w:rPr>
          <w:rFonts w:ascii="Times New Roman" w:hAnsi="Times New Roman"/>
          <w:color w:val="000000" w:themeColor="text1"/>
          <w:kern w:val="0"/>
          <w:sz w:val="24"/>
          <w:szCs w:val="24"/>
        </w:rPr>
        <w:t>月</w:t>
      </w:r>
      <w:r>
        <w:rPr>
          <w:rFonts w:ascii="Times New Roman" w:hAnsi="Times New Roman" w:hint="eastAsia"/>
          <w:color w:val="000000" w:themeColor="text1"/>
          <w:kern w:val="0"/>
          <w:sz w:val="24"/>
          <w:szCs w:val="24"/>
        </w:rPr>
        <w:t>8</w:t>
      </w:r>
      <w:r>
        <w:rPr>
          <w:rFonts w:ascii="Times New Roman" w:hAnsi="Times New Roman"/>
          <w:color w:val="000000" w:themeColor="text1"/>
          <w:kern w:val="0"/>
          <w:sz w:val="24"/>
          <w:szCs w:val="24"/>
        </w:rPr>
        <w:t>日起，投资者可以通过本公司办理本基金与以下基金的转换业务</w:t>
      </w:r>
      <w:r>
        <w:rPr>
          <w:rFonts w:ascii="Times New Roman" w:hAnsi="Times New Roman" w:hint="eastAsia"/>
          <w:color w:val="000000" w:themeColor="text1"/>
          <w:kern w:val="0"/>
          <w:sz w:val="24"/>
          <w:szCs w:val="24"/>
        </w:rPr>
        <w:t>：</w:t>
      </w:r>
    </w:p>
    <w:tbl>
      <w:tblPr>
        <w:tblStyle w:val="a9"/>
        <w:tblW w:w="0" w:type="auto"/>
        <w:jc w:val="center"/>
        <w:tblLook w:val="04A0"/>
      </w:tblPr>
      <w:tblGrid>
        <w:gridCol w:w="858"/>
        <w:gridCol w:w="6140"/>
        <w:gridCol w:w="1544"/>
      </w:tblGrid>
      <w:tr w:rsidR="00575AEC">
        <w:trPr>
          <w:jc w:val="center"/>
        </w:trPr>
        <w:tc>
          <w:tcPr>
            <w:tcW w:w="858" w:type="dxa"/>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等线" w:eastAsia="等线" w:hAnsi="等线" w:cs="等线" w:hint="eastAsia"/>
                <w:color w:val="000000"/>
                <w:kern w:val="0"/>
                <w:sz w:val="22"/>
                <w:lang/>
              </w:rPr>
              <w:t>序号</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等线" w:eastAsia="等线" w:hAnsi="等线" w:cs="等线" w:hint="eastAsia"/>
                <w:color w:val="000000"/>
                <w:kern w:val="0"/>
                <w:sz w:val="22"/>
                <w:lang/>
              </w:rPr>
              <w:t>基金名称</w:t>
            </w:r>
          </w:p>
        </w:tc>
        <w:tc>
          <w:tcPr>
            <w:tcW w:w="1544" w:type="dxa"/>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等线" w:eastAsia="等线" w:hAnsi="等线" w:cs="等线" w:hint="eastAsia"/>
                <w:color w:val="000000"/>
                <w:kern w:val="0"/>
                <w:sz w:val="22"/>
                <w:lang/>
              </w:rPr>
              <w:t>基金代码</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上银慧财宝货币市场基金</w:t>
            </w:r>
            <w:r>
              <w:rPr>
                <w:rFonts w:ascii="Times New Roman" w:eastAsia="宋体" w:hAnsi="Times New Roman"/>
                <w:bCs/>
                <w:sz w:val="22"/>
                <w:szCs w:val="24"/>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000542</w:t>
            </w:r>
          </w:p>
        </w:tc>
      </w:tr>
      <w:tr w:rsidR="00575AEC">
        <w:trPr>
          <w:jc w:val="center"/>
        </w:trPr>
        <w:tc>
          <w:tcPr>
            <w:tcW w:w="858" w:type="dxa"/>
            <w:vMerge/>
            <w:vAlign w:val="center"/>
          </w:tcPr>
          <w:p w:rsidR="00575AEC" w:rsidRDefault="00575AEC">
            <w:pPr>
              <w:autoSpaceDE w:val="0"/>
              <w:autoSpaceDN w:val="0"/>
              <w:adjustRightInd w:val="0"/>
              <w:spacing w:before="29" w:line="288" w:lineRule="auto"/>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Times New Roman" w:hAnsi="Times New Roman" w:hint="eastAsia"/>
                <w:color w:val="000000"/>
                <w:kern w:val="0"/>
                <w:szCs w:val="21"/>
              </w:rPr>
              <w:t>上银慧财宝货币市场基金</w:t>
            </w:r>
            <w:r>
              <w:rPr>
                <w:rFonts w:ascii="Times New Roman" w:eastAsia="宋体" w:hAnsi="Times New Roman"/>
                <w:bCs/>
                <w:sz w:val="22"/>
                <w:szCs w:val="24"/>
              </w:rPr>
              <w:t>B</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000543</w:t>
            </w:r>
          </w:p>
        </w:tc>
      </w:tr>
      <w:tr w:rsidR="00575AEC">
        <w:trPr>
          <w:trHeight w:val="90"/>
          <w:jc w:val="center"/>
        </w:trPr>
        <w:tc>
          <w:tcPr>
            <w:tcW w:w="858"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2</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上银慧增利货币市场基金</w:t>
            </w:r>
            <w:r>
              <w:rPr>
                <w:rFonts w:ascii="宋体" w:hAnsi="宋体" w:cs="宋体" w:hint="eastAsia"/>
                <w:color w:val="000000"/>
                <w:kern w:val="0"/>
                <w:szCs w:val="21"/>
                <w:lang/>
              </w:rPr>
              <w:t>B</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004449</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3</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上银慧盈利货币市场基金</w:t>
            </w:r>
            <w:r>
              <w:rPr>
                <w:rFonts w:ascii="宋体" w:hAnsi="宋体" w:cs="宋体" w:hint="eastAsia"/>
                <w:color w:val="000000"/>
                <w:kern w:val="0"/>
                <w:szCs w:val="21"/>
                <w:lang/>
              </w:rPr>
              <w:t>B</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002733</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上银慧盈利货币市场基金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023777</w:t>
            </w:r>
          </w:p>
        </w:tc>
      </w:tr>
      <w:tr w:rsidR="00575AEC">
        <w:trPr>
          <w:jc w:val="center"/>
        </w:trPr>
        <w:tc>
          <w:tcPr>
            <w:tcW w:w="858"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4</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上银慧添利债券型证券投资基金</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002486</w:t>
            </w:r>
          </w:p>
        </w:tc>
      </w:tr>
      <w:tr w:rsidR="00575AEC">
        <w:trPr>
          <w:jc w:val="center"/>
        </w:trPr>
        <w:tc>
          <w:tcPr>
            <w:tcW w:w="858"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5</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上银慧佳盈债券型证券投资基金</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005666</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6</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上银中债</w:t>
            </w:r>
            <w:r>
              <w:rPr>
                <w:rFonts w:ascii="宋体" w:hAnsi="宋体" w:cs="宋体" w:hint="eastAsia"/>
                <w:color w:val="000000"/>
                <w:kern w:val="0"/>
                <w:szCs w:val="21"/>
                <w:lang/>
              </w:rPr>
              <w:t>1-3</w:t>
            </w:r>
            <w:r>
              <w:rPr>
                <w:rFonts w:ascii="宋体" w:hAnsi="宋体" w:cs="宋体" w:hint="eastAsia"/>
                <w:color w:val="000000"/>
                <w:kern w:val="0"/>
                <w:szCs w:val="21"/>
                <w:lang/>
              </w:rPr>
              <w:t>年农发行债券指数证券投资基金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007390</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上银中债</w:t>
            </w:r>
            <w:r>
              <w:rPr>
                <w:rFonts w:ascii="宋体" w:hAnsi="宋体" w:cs="宋体" w:hint="eastAsia"/>
                <w:color w:val="000000"/>
                <w:kern w:val="0"/>
                <w:szCs w:val="21"/>
                <w:lang/>
              </w:rPr>
              <w:t>1-3</w:t>
            </w:r>
            <w:r>
              <w:rPr>
                <w:rFonts w:ascii="宋体" w:hAnsi="宋体" w:cs="宋体" w:hint="eastAsia"/>
                <w:color w:val="000000"/>
                <w:kern w:val="0"/>
                <w:szCs w:val="21"/>
                <w:lang/>
              </w:rPr>
              <w:t>年农发行债券指数证券投资基金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024163</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7</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上银政策性金融债债券型证券投资基金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007492</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上银政策性金融债债券型证券投资基金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021139</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8</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上银慧永利中短期债券型证券投资基金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007754</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上银慧永利中短期债券型证券投资基金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007755</w:t>
            </w:r>
          </w:p>
        </w:tc>
      </w:tr>
      <w:tr w:rsidR="00575AEC">
        <w:trPr>
          <w:jc w:val="center"/>
        </w:trPr>
        <w:tc>
          <w:tcPr>
            <w:tcW w:w="858"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9</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上银慧丰利债券型证券投资基金</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009284</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10</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上银可转债精选债券型证券投资基金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008897</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上银可转债精选债券型证券投资基金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015748</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11</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上银中债</w:t>
            </w:r>
            <w:r>
              <w:rPr>
                <w:rFonts w:ascii="宋体" w:hAnsi="宋体" w:cs="宋体" w:hint="eastAsia"/>
                <w:color w:val="000000"/>
                <w:kern w:val="0"/>
                <w:szCs w:val="21"/>
                <w:lang/>
              </w:rPr>
              <w:t>1-3</w:t>
            </w:r>
            <w:r>
              <w:rPr>
                <w:rFonts w:ascii="宋体" w:hAnsi="宋体" w:cs="宋体" w:hint="eastAsia"/>
                <w:color w:val="000000"/>
                <w:kern w:val="0"/>
                <w:szCs w:val="21"/>
                <w:lang/>
              </w:rPr>
              <w:t>年国开行债券指数证券投资基金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009560</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上银中债</w:t>
            </w:r>
            <w:r>
              <w:rPr>
                <w:rFonts w:ascii="宋体" w:hAnsi="宋体" w:cs="宋体" w:hint="eastAsia"/>
                <w:color w:val="000000"/>
                <w:kern w:val="0"/>
                <w:szCs w:val="21"/>
                <w:lang/>
              </w:rPr>
              <w:t>1-3</w:t>
            </w:r>
            <w:r>
              <w:rPr>
                <w:rFonts w:ascii="宋体" w:hAnsi="宋体" w:cs="宋体" w:hint="eastAsia"/>
                <w:color w:val="000000"/>
                <w:kern w:val="0"/>
                <w:szCs w:val="21"/>
                <w:lang/>
              </w:rPr>
              <w:t>年国开行债券指数证券投资基金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021138</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12</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上银慧恒收益增强债券型证券投资基金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010899</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上银慧恒收益增强债券型证券投资基金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014116</w:t>
            </w:r>
          </w:p>
        </w:tc>
      </w:tr>
      <w:tr w:rsidR="00575AEC">
        <w:trPr>
          <w:jc w:val="center"/>
        </w:trPr>
        <w:tc>
          <w:tcPr>
            <w:tcW w:w="858"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13</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上银慧兴盈债券型证券投资基金</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011529</w:t>
            </w:r>
          </w:p>
        </w:tc>
      </w:tr>
      <w:tr w:rsidR="00575AEC">
        <w:trPr>
          <w:jc w:val="center"/>
        </w:trPr>
        <w:tc>
          <w:tcPr>
            <w:tcW w:w="858"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14</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上银慧嘉利债券型证券投资基金</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012465</w:t>
            </w:r>
          </w:p>
        </w:tc>
      </w:tr>
      <w:tr w:rsidR="00575AEC">
        <w:trPr>
          <w:trHeight w:val="335"/>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15</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上银慧鼎利债券型证券投资基金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012750</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上银慧鼎利债券型证券投资基金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021869</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16</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上银中债</w:t>
            </w:r>
            <w:r>
              <w:rPr>
                <w:rFonts w:ascii="宋体" w:hAnsi="宋体" w:cs="宋体" w:hint="eastAsia"/>
                <w:color w:val="000000"/>
                <w:kern w:val="0"/>
                <w:szCs w:val="21"/>
                <w:lang/>
              </w:rPr>
              <w:t>5-10</w:t>
            </w:r>
            <w:r>
              <w:rPr>
                <w:rFonts w:ascii="宋体" w:hAnsi="宋体" w:cs="宋体" w:hint="eastAsia"/>
                <w:color w:val="000000"/>
                <w:kern w:val="0"/>
                <w:szCs w:val="21"/>
                <w:lang/>
              </w:rPr>
              <w:t>年国开行债券指数证券投资基金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013138</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 w:val="24"/>
                <w:szCs w:val="24"/>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上银中债</w:t>
            </w:r>
            <w:r>
              <w:rPr>
                <w:rFonts w:ascii="宋体" w:hAnsi="宋体" w:cs="宋体" w:hint="eastAsia"/>
                <w:color w:val="000000"/>
                <w:kern w:val="0"/>
                <w:szCs w:val="21"/>
                <w:lang/>
              </w:rPr>
              <w:t>5-10</w:t>
            </w:r>
            <w:r>
              <w:rPr>
                <w:rFonts w:ascii="宋体" w:hAnsi="宋体" w:cs="宋体" w:hint="eastAsia"/>
                <w:color w:val="000000"/>
                <w:kern w:val="0"/>
                <w:szCs w:val="21"/>
                <w:lang/>
              </w:rPr>
              <w:t>年国开行债券指数证券投资基金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021011</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17</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上银慧享利</w:t>
            </w:r>
            <w:r>
              <w:rPr>
                <w:rFonts w:ascii="宋体" w:hAnsi="宋体" w:cs="宋体" w:hint="eastAsia"/>
                <w:color w:val="000000"/>
                <w:kern w:val="0"/>
                <w:szCs w:val="21"/>
                <w:lang/>
              </w:rPr>
              <w:t>30</w:t>
            </w:r>
            <w:r>
              <w:rPr>
                <w:rFonts w:ascii="宋体" w:hAnsi="宋体" w:cs="宋体" w:hint="eastAsia"/>
                <w:color w:val="000000"/>
                <w:kern w:val="0"/>
                <w:szCs w:val="21"/>
                <w:lang/>
              </w:rPr>
              <w:t>天滚动持有中短债债券型发起式证券投资基金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015942</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上银慧享利</w:t>
            </w:r>
            <w:r>
              <w:rPr>
                <w:rFonts w:ascii="宋体" w:hAnsi="宋体" w:cs="宋体" w:hint="eastAsia"/>
                <w:color w:val="000000"/>
                <w:kern w:val="0"/>
                <w:szCs w:val="21"/>
                <w:lang/>
              </w:rPr>
              <w:t>30</w:t>
            </w:r>
            <w:r>
              <w:rPr>
                <w:rFonts w:ascii="宋体" w:hAnsi="宋体" w:cs="宋体" w:hint="eastAsia"/>
                <w:color w:val="000000"/>
                <w:kern w:val="0"/>
                <w:szCs w:val="21"/>
                <w:lang/>
              </w:rPr>
              <w:t>天滚动持有中短债债券型发起式证券投资基金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015943</w:t>
            </w:r>
          </w:p>
        </w:tc>
      </w:tr>
      <w:tr w:rsidR="00575AEC">
        <w:trPr>
          <w:jc w:val="center"/>
        </w:trPr>
        <w:tc>
          <w:tcPr>
            <w:tcW w:w="858"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18</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上银慧鑫利债券型证券投资基金</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016537</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19</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上银慧诚利</w:t>
            </w:r>
            <w:r>
              <w:rPr>
                <w:rFonts w:ascii="宋体" w:hAnsi="宋体" w:cs="宋体" w:hint="eastAsia"/>
                <w:color w:val="000000"/>
                <w:kern w:val="0"/>
                <w:szCs w:val="21"/>
                <w:lang/>
              </w:rPr>
              <w:t>60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020550</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上银慧诚利</w:t>
            </w:r>
            <w:r>
              <w:rPr>
                <w:rFonts w:ascii="宋体" w:hAnsi="宋体" w:cs="宋体" w:hint="eastAsia"/>
                <w:color w:val="000000"/>
                <w:kern w:val="0"/>
                <w:szCs w:val="21"/>
                <w:lang/>
              </w:rPr>
              <w:t>60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020551</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20</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上银慧元利</w:t>
            </w:r>
            <w:r>
              <w:rPr>
                <w:rFonts w:ascii="宋体" w:hAnsi="宋体" w:cs="宋体" w:hint="eastAsia"/>
                <w:color w:val="000000"/>
                <w:kern w:val="0"/>
                <w:szCs w:val="21"/>
                <w:lang/>
              </w:rPr>
              <w:t>90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021282</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上银慧元利</w:t>
            </w:r>
            <w:r>
              <w:rPr>
                <w:rFonts w:ascii="宋体" w:hAnsi="宋体" w:cs="宋体" w:hint="eastAsia"/>
                <w:color w:val="000000"/>
                <w:kern w:val="0"/>
                <w:szCs w:val="21"/>
                <w:lang/>
              </w:rPr>
              <w:t>90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021283</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21</w:t>
            </w: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上银慧臻利率债债券型证券投资基金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021468</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宋体" w:hAnsi="宋体" w:cs="宋体"/>
                <w:color w:val="000000"/>
                <w:kern w:val="0"/>
                <w:szCs w:val="21"/>
                <w:lang/>
              </w:rPr>
            </w:pPr>
            <w:r>
              <w:rPr>
                <w:rFonts w:ascii="宋体" w:hAnsi="宋体" w:cs="宋体" w:hint="eastAsia"/>
                <w:color w:val="000000"/>
                <w:kern w:val="0"/>
                <w:szCs w:val="21"/>
                <w:lang/>
              </w:rPr>
              <w:t>上银慧臻利率债债券型证券投资基金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021868</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22</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上银慧景利</w:t>
            </w:r>
            <w:r>
              <w:rPr>
                <w:rFonts w:ascii="Times New Roman" w:hAnsi="Times New Roman" w:hint="eastAsia"/>
                <w:color w:val="000000"/>
                <w:kern w:val="0"/>
                <w:szCs w:val="21"/>
              </w:rPr>
              <w:t>60</w:t>
            </w:r>
            <w:r>
              <w:rPr>
                <w:rFonts w:ascii="Times New Roman" w:hAnsi="Times New Roman" w:hint="eastAsia"/>
                <w:color w:val="000000"/>
                <w:kern w:val="0"/>
                <w:szCs w:val="21"/>
              </w:rPr>
              <w:t>天滚动持有债券型证券投资基金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hAnsi="Times New Roman" w:hint="eastAsia"/>
                <w:bCs/>
                <w:szCs w:val="21"/>
              </w:rPr>
              <w:t>024550</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上银慧景利</w:t>
            </w:r>
            <w:r>
              <w:rPr>
                <w:rFonts w:ascii="Times New Roman" w:hAnsi="Times New Roman" w:hint="eastAsia"/>
                <w:color w:val="000000"/>
                <w:kern w:val="0"/>
                <w:szCs w:val="21"/>
              </w:rPr>
              <w:t>60</w:t>
            </w:r>
            <w:r>
              <w:rPr>
                <w:rFonts w:ascii="Times New Roman" w:hAnsi="Times New Roman" w:hint="eastAsia"/>
                <w:color w:val="000000"/>
                <w:kern w:val="0"/>
                <w:szCs w:val="21"/>
              </w:rPr>
              <w:t>天滚动持有债券型证券投资基金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hAnsi="Times New Roman" w:hint="eastAsia"/>
                <w:bCs/>
                <w:szCs w:val="21"/>
              </w:rPr>
              <w:t>024551</w:t>
            </w:r>
          </w:p>
        </w:tc>
      </w:tr>
      <w:tr w:rsidR="00575AEC">
        <w:trPr>
          <w:jc w:val="center"/>
        </w:trPr>
        <w:tc>
          <w:tcPr>
            <w:tcW w:w="858" w:type="dxa"/>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23</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上银中证同业存单</w:t>
            </w:r>
            <w:r>
              <w:rPr>
                <w:rFonts w:ascii="Times New Roman" w:hAnsi="Times New Roman" w:hint="eastAsia"/>
                <w:color w:val="000000"/>
                <w:kern w:val="0"/>
                <w:szCs w:val="21"/>
              </w:rPr>
              <w:t>AAA</w:t>
            </w:r>
            <w:r>
              <w:rPr>
                <w:rFonts w:ascii="Times New Roman" w:hAnsi="Times New Roman" w:hint="eastAsia"/>
                <w:color w:val="000000"/>
                <w:kern w:val="0"/>
                <w:szCs w:val="21"/>
              </w:rPr>
              <w:t>指数</w:t>
            </w:r>
            <w:r>
              <w:rPr>
                <w:rFonts w:ascii="Times New Roman" w:hAnsi="Times New Roman" w:hint="eastAsia"/>
                <w:color w:val="000000"/>
                <w:kern w:val="0"/>
                <w:szCs w:val="21"/>
              </w:rPr>
              <w:t>7</w:t>
            </w:r>
            <w:r>
              <w:rPr>
                <w:rFonts w:ascii="Times New Roman" w:hAnsi="Times New Roman" w:hint="eastAsia"/>
                <w:color w:val="000000"/>
                <w:kern w:val="0"/>
                <w:szCs w:val="21"/>
              </w:rPr>
              <w:t>天持有期证券投资基金</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017888</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24</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上银新兴价值成长混合型证券投资基金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000520</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上银新兴价值成长混合型证券投资基金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hint="eastAsia"/>
                <w:bCs/>
                <w:szCs w:val="21"/>
              </w:rPr>
              <w:t>024608</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25</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上银未来生活灵活配置混合型证券投资基金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007393</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上银未来生活灵活配置混合型证券投资基金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014113</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26</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上银鑫达灵活配置混合型证券投资基金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004138</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上银鑫达灵活配置混合型证券投资基金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015753</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27</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上银鑫卓混合型证券投资基金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008244</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上银鑫卓混合型证券投资基金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015745</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28</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上银鑫恒混合型证券投资基金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010313</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上银鑫恒混合型证券投资基金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013846</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29</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上银医疗健康混合型证券投资基金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011288</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上银医疗健康混合型证券投资基金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011289</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30</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上银丰益混合型证券投资基金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011504</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上银丰益混合型证券投资基金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011505</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31</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上银科技驱动双周定期可赎回混合型证券投资基金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hint="eastAsia"/>
                <w:bCs/>
                <w:szCs w:val="21"/>
              </w:rPr>
              <w:t>011277</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上银科技驱动双周定期可赎回混合型证券投资基金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hint="eastAsia"/>
                <w:bCs/>
                <w:szCs w:val="21"/>
              </w:rPr>
              <w:t>013892</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32</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上银鑫尚稳健回报</w:t>
            </w:r>
            <w:r>
              <w:rPr>
                <w:rFonts w:ascii="Times New Roman" w:hAnsi="Times New Roman" w:hint="eastAsia"/>
                <w:color w:val="000000"/>
                <w:kern w:val="0"/>
                <w:szCs w:val="21"/>
              </w:rPr>
              <w:t>6</w:t>
            </w:r>
            <w:r>
              <w:rPr>
                <w:rFonts w:ascii="Times New Roman" w:hAnsi="Times New Roman" w:hint="eastAsia"/>
                <w:color w:val="000000"/>
                <w:kern w:val="0"/>
                <w:szCs w:val="21"/>
              </w:rPr>
              <w:t>个月持有期混合型证券投资基金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012332</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上银鑫尚稳健回报</w:t>
            </w:r>
            <w:r>
              <w:rPr>
                <w:rFonts w:ascii="Times New Roman" w:hAnsi="Times New Roman" w:hint="eastAsia"/>
                <w:color w:val="000000"/>
                <w:kern w:val="0"/>
                <w:szCs w:val="21"/>
              </w:rPr>
              <w:t>6</w:t>
            </w:r>
            <w:r>
              <w:rPr>
                <w:rFonts w:ascii="Times New Roman" w:hAnsi="Times New Roman" w:hint="eastAsia"/>
                <w:color w:val="000000"/>
                <w:kern w:val="0"/>
                <w:szCs w:val="21"/>
              </w:rPr>
              <w:t>个月持有期混合型证券投资基金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012333</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33</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上银高质量优选</w:t>
            </w:r>
            <w:r>
              <w:rPr>
                <w:rFonts w:ascii="Times New Roman" w:hAnsi="Times New Roman" w:hint="eastAsia"/>
                <w:color w:val="000000"/>
                <w:kern w:val="0"/>
                <w:szCs w:val="21"/>
              </w:rPr>
              <w:t>9</w:t>
            </w:r>
            <w:r>
              <w:rPr>
                <w:rFonts w:ascii="Times New Roman" w:hAnsi="Times New Roman" w:hint="eastAsia"/>
                <w:color w:val="000000"/>
                <w:kern w:val="0"/>
                <w:szCs w:val="21"/>
              </w:rPr>
              <w:t>个月持有期混合型证券投资基金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013358</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上银高质量优选</w:t>
            </w:r>
            <w:r>
              <w:rPr>
                <w:rFonts w:ascii="Times New Roman" w:hAnsi="Times New Roman" w:hint="eastAsia"/>
                <w:color w:val="000000"/>
                <w:kern w:val="0"/>
                <w:szCs w:val="21"/>
              </w:rPr>
              <w:t>9</w:t>
            </w:r>
            <w:r>
              <w:rPr>
                <w:rFonts w:ascii="Times New Roman" w:hAnsi="Times New Roman" w:hint="eastAsia"/>
                <w:color w:val="000000"/>
                <w:kern w:val="0"/>
                <w:szCs w:val="21"/>
              </w:rPr>
              <w:t>个月持有期混合型证券投资基金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013359</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34</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上银慧尚</w:t>
            </w:r>
            <w:r>
              <w:rPr>
                <w:rFonts w:ascii="Times New Roman" w:hAnsi="Times New Roman" w:hint="eastAsia"/>
                <w:color w:val="000000"/>
                <w:kern w:val="0"/>
                <w:szCs w:val="21"/>
              </w:rPr>
              <w:t>6</w:t>
            </w:r>
            <w:r>
              <w:rPr>
                <w:rFonts w:ascii="Times New Roman" w:hAnsi="Times New Roman" w:hint="eastAsia"/>
                <w:color w:val="000000"/>
                <w:kern w:val="0"/>
                <w:szCs w:val="21"/>
              </w:rPr>
              <w:t>个月持有期混合型证券投资基金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012334</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上银慧尚</w:t>
            </w:r>
            <w:r>
              <w:rPr>
                <w:rFonts w:ascii="Times New Roman" w:hAnsi="Times New Roman" w:hint="eastAsia"/>
                <w:color w:val="000000"/>
                <w:kern w:val="0"/>
                <w:szCs w:val="21"/>
              </w:rPr>
              <w:t>6</w:t>
            </w:r>
            <w:r>
              <w:rPr>
                <w:rFonts w:ascii="Times New Roman" w:hAnsi="Times New Roman" w:hint="eastAsia"/>
                <w:color w:val="000000"/>
                <w:kern w:val="0"/>
                <w:szCs w:val="21"/>
              </w:rPr>
              <w:t>个月持有期混合型证券投资基金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012335</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35</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上银价值增长</w:t>
            </w:r>
            <w:r>
              <w:rPr>
                <w:rFonts w:ascii="Times New Roman" w:hAnsi="Times New Roman" w:hint="eastAsia"/>
                <w:color w:val="000000"/>
                <w:kern w:val="0"/>
                <w:szCs w:val="21"/>
              </w:rPr>
              <w:t>3</w:t>
            </w:r>
            <w:r>
              <w:rPr>
                <w:rFonts w:ascii="Times New Roman" w:hAnsi="Times New Roman" w:hint="eastAsia"/>
                <w:color w:val="000000"/>
                <w:kern w:val="0"/>
                <w:szCs w:val="21"/>
              </w:rPr>
              <w:t>个月持有期混合型证券投资基金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013284</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上银价值增长</w:t>
            </w:r>
            <w:r>
              <w:rPr>
                <w:rFonts w:ascii="Times New Roman" w:hAnsi="Times New Roman" w:hint="eastAsia"/>
                <w:color w:val="000000"/>
                <w:kern w:val="0"/>
                <w:szCs w:val="21"/>
              </w:rPr>
              <w:t>3</w:t>
            </w:r>
            <w:r>
              <w:rPr>
                <w:rFonts w:ascii="Times New Roman" w:hAnsi="Times New Roman" w:hint="eastAsia"/>
                <w:color w:val="000000"/>
                <w:kern w:val="0"/>
                <w:szCs w:val="21"/>
              </w:rPr>
              <w:t>个月持有期混合型证券投资基金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013285</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36</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上银丰瑞一年持有期混合型发起式证券投资基金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019787</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上银丰瑞一年持有期混合型发起式证券投资基金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019788</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37</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上银国企红利混合型发起式证券投资基金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020186</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上银国企红利混合型发起式证券投资基金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020187</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38</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上银数字经济混合型发起式证券投资基金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021593</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上银数字经济混合型发起式证券投资基金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021594</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39</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上银先进制造混合型发起式证券投资基金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023158</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上银先进制造混合型发起式证券投资基金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023159</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40</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上银资源精选混合型发起式证券投资基金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023448</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上银资源精选混合型发起式证券投资基金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023449</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41</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上银内需增长股票型证券投资基金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009899</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上银内需增长股票型证券投资基金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015754</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42</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上银中证</w:t>
            </w:r>
            <w:r>
              <w:rPr>
                <w:rFonts w:ascii="Times New Roman" w:hAnsi="Times New Roman" w:hint="eastAsia"/>
                <w:color w:val="000000"/>
                <w:kern w:val="0"/>
                <w:szCs w:val="21"/>
              </w:rPr>
              <w:t>500</w:t>
            </w:r>
            <w:r>
              <w:rPr>
                <w:rFonts w:ascii="Times New Roman" w:hAnsi="Times New Roman" w:hint="eastAsia"/>
                <w:color w:val="000000"/>
                <w:kern w:val="0"/>
                <w:szCs w:val="21"/>
              </w:rPr>
              <w:t>指数增强型证券投资基金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009613</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上银中证</w:t>
            </w:r>
            <w:r>
              <w:rPr>
                <w:rFonts w:ascii="Times New Roman" w:hAnsi="Times New Roman" w:hint="eastAsia"/>
                <w:color w:val="000000"/>
                <w:kern w:val="0"/>
                <w:szCs w:val="21"/>
              </w:rPr>
              <w:t>500</w:t>
            </w:r>
            <w:r>
              <w:rPr>
                <w:rFonts w:ascii="Times New Roman" w:hAnsi="Times New Roman" w:hint="eastAsia"/>
                <w:color w:val="000000"/>
                <w:kern w:val="0"/>
                <w:szCs w:val="21"/>
              </w:rPr>
              <w:t>指数增强型证券投资基金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009614</w:t>
            </w:r>
          </w:p>
        </w:tc>
      </w:tr>
      <w:tr w:rsidR="00575AEC">
        <w:trPr>
          <w:jc w:val="center"/>
        </w:trPr>
        <w:tc>
          <w:tcPr>
            <w:tcW w:w="858" w:type="dxa"/>
            <w:vMerge w:val="restart"/>
            <w:vAlign w:val="center"/>
          </w:tcPr>
          <w:p w:rsidR="00575AEC" w:rsidRDefault="00273ACB">
            <w:pPr>
              <w:spacing w:line="360" w:lineRule="auto"/>
              <w:jc w:val="center"/>
              <w:rPr>
                <w:rFonts w:ascii="Times New Roman" w:eastAsia="宋体" w:hAnsi="Times New Roman"/>
                <w:kern w:val="0"/>
                <w:szCs w:val="21"/>
              </w:rPr>
            </w:pPr>
            <w:r>
              <w:rPr>
                <w:rFonts w:ascii="Times New Roman" w:eastAsia="宋体" w:hAnsi="Times New Roman" w:hint="eastAsia"/>
                <w:kern w:val="0"/>
                <w:szCs w:val="21"/>
              </w:rPr>
              <w:t>43</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上银中证半导体产业指数型发起式证券投资基金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024069</w:t>
            </w:r>
          </w:p>
        </w:tc>
      </w:tr>
      <w:tr w:rsidR="00575AEC">
        <w:trPr>
          <w:jc w:val="center"/>
        </w:trPr>
        <w:tc>
          <w:tcPr>
            <w:tcW w:w="858" w:type="dxa"/>
            <w:vMerge/>
            <w:vAlign w:val="center"/>
          </w:tcPr>
          <w:p w:rsidR="00575AEC" w:rsidRDefault="00575AEC">
            <w:pPr>
              <w:spacing w:line="360" w:lineRule="auto"/>
              <w:jc w:val="center"/>
              <w:rPr>
                <w:rFonts w:ascii="Times New Roman" w:eastAsia="宋体" w:hAnsi="Times New Roman"/>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上银中证半导体产业指数型发起式证券投资基金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024070</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44</w:t>
            </w: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上银创业板</w:t>
            </w:r>
            <w:r>
              <w:rPr>
                <w:rFonts w:ascii="Times New Roman" w:hAnsi="Times New Roman" w:hint="eastAsia"/>
                <w:color w:val="000000"/>
                <w:kern w:val="0"/>
                <w:szCs w:val="21"/>
              </w:rPr>
              <w:t>50</w:t>
            </w:r>
            <w:r>
              <w:rPr>
                <w:rFonts w:ascii="Times New Roman" w:hAnsi="Times New Roman" w:hint="eastAsia"/>
                <w:color w:val="000000"/>
                <w:kern w:val="0"/>
                <w:szCs w:val="21"/>
              </w:rPr>
              <w:t>指数型发起式证券投资基金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024071</w:t>
            </w:r>
          </w:p>
        </w:tc>
      </w:tr>
      <w:tr w:rsidR="00575AEC">
        <w:trPr>
          <w:jc w:val="center"/>
        </w:trPr>
        <w:tc>
          <w:tcPr>
            <w:tcW w:w="858" w:type="dxa"/>
            <w:vMerge/>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上银创业板</w:t>
            </w:r>
            <w:r>
              <w:rPr>
                <w:rFonts w:ascii="Times New Roman" w:hAnsi="Times New Roman" w:hint="eastAsia"/>
                <w:color w:val="000000"/>
                <w:kern w:val="0"/>
                <w:szCs w:val="21"/>
              </w:rPr>
              <w:t>50</w:t>
            </w:r>
            <w:r>
              <w:rPr>
                <w:rFonts w:ascii="Times New Roman" w:hAnsi="Times New Roman" w:hint="eastAsia"/>
                <w:color w:val="000000"/>
                <w:kern w:val="0"/>
                <w:szCs w:val="21"/>
              </w:rPr>
              <w:t>指数型发起式证券投资基金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024072</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45</w:t>
            </w:r>
          </w:p>
        </w:tc>
        <w:tc>
          <w:tcPr>
            <w:tcW w:w="6140"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上银国证自由现金流指数型证券投资基金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vAlign w:val="center"/>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024073</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上银国证自由现金流指数型证券投资基金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vAlign w:val="center"/>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bCs/>
                <w:szCs w:val="21"/>
              </w:rPr>
              <w:t>024074</w:t>
            </w:r>
          </w:p>
        </w:tc>
      </w:tr>
      <w:tr w:rsidR="00575AEC">
        <w:trPr>
          <w:jc w:val="center"/>
        </w:trPr>
        <w:tc>
          <w:tcPr>
            <w:tcW w:w="858" w:type="dxa"/>
            <w:vMerge w:val="restart"/>
            <w:vAlign w:val="center"/>
          </w:tcPr>
          <w:p w:rsidR="00575AEC" w:rsidRDefault="00273ACB">
            <w:pPr>
              <w:autoSpaceDE w:val="0"/>
              <w:autoSpaceDN w:val="0"/>
              <w:adjustRightInd w:val="0"/>
              <w:spacing w:before="29" w:line="288" w:lineRule="auto"/>
              <w:jc w:val="center"/>
              <w:rPr>
                <w:rFonts w:ascii="Times New Roman" w:eastAsia="宋体" w:hAnsi="Times New Roman"/>
                <w:color w:val="000000"/>
                <w:kern w:val="0"/>
                <w:szCs w:val="21"/>
              </w:rPr>
            </w:pPr>
            <w:r>
              <w:rPr>
                <w:rFonts w:ascii="Times New Roman" w:hAnsi="Times New Roman" w:hint="eastAsia"/>
                <w:color w:val="000000"/>
                <w:kern w:val="0"/>
                <w:szCs w:val="21"/>
              </w:rPr>
              <w:t>46</w:t>
            </w:r>
          </w:p>
        </w:tc>
        <w:tc>
          <w:tcPr>
            <w:tcW w:w="6140"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上银上证科创板综合指数增强型发起式证券投资基金</w:t>
            </w:r>
            <w:r>
              <w:rPr>
                <w:rFonts w:ascii="Times New Roman" w:hAnsi="Times New Roman" w:hint="eastAsia"/>
                <w:color w:val="000000"/>
                <w:kern w:val="0"/>
                <w:szCs w:val="21"/>
              </w:rPr>
              <w:t>A</w:t>
            </w:r>
            <w:r>
              <w:rPr>
                <w:rFonts w:ascii="Times New Roman" w:hAnsi="Times New Roman" w:hint="eastAsia"/>
                <w:color w:val="000000"/>
                <w:kern w:val="0"/>
                <w:szCs w:val="21"/>
              </w:rPr>
              <w:t>类</w:t>
            </w:r>
          </w:p>
        </w:tc>
        <w:tc>
          <w:tcPr>
            <w:tcW w:w="1544" w:type="dxa"/>
            <w:vAlign w:val="center"/>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hint="eastAsia"/>
                <w:bCs/>
                <w:szCs w:val="21"/>
              </w:rPr>
              <w:t>024665</w:t>
            </w:r>
          </w:p>
        </w:tc>
      </w:tr>
      <w:tr w:rsidR="00575AEC">
        <w:trPr>
          <w:jc w:val="center"/>
        </w:trPr>
        <w:tc>
          <w:tcPr>
            <w:tcW w:w="858" w:type="dxa"/>
            <w:vMerge/>
            <w:vAlign w:val="center"/>
          </w:tcPr>
          <w:p w:rsidR="00575AEC" w:rsidRDefault="00575AEC">
            <w:pPr>
              <w:autoSpaceDE w:val="0"/>
              <w:autoSpaceDN w:val="0"/>
              <w:adjustRightInd w:val="0"/>
              <w:spacing w:before="29" w:line="288" w:lineRule="auto"/>
              <w:jc w:val="center"/>
              <w:rPr>
                <w:rFonts w:ascii="Times New Roman" w:hAnsi="Times New Roman"/>
                <w:color w:val="000000"/>
                <w:kern w:val="0"/>
                <w:szCs w:val="21"/>
              </w:rPr>
            </w:pPr>
          </w:p>
        </w:tc>
        <w:tc>
          <w:tcPr>
            <w:tcW w:w="6140" w:type="dxa"/>
            <w:vAlign w:val="center"/>
          </w:tcPr>
          <w:p w:rsidR="00575AEC" w:rsidRDefault="00273ACB">
            <w:pPr>
              <w:autoSpaceDE w:val="0"/>
              <w:autoSpaceDN w:val="0"/>
              <w:adjustRightInd w:val="0"/>
              <w:spacing w:before="29" w:line="288" w:lineRule="auto"/>
              <w:jc w:val="center"/>
              <w:rPr>
                <w:rFonts w:ascii="Times New Roman" w:hAnsi="Times New Roman"/>
                <w:color w:val="000000"/>
                <w:kern w:val="0"/>
                <w:szCs w:val="21"/>
              </w:rPr>
            </w:pPr>
            <w:r>
              <w:rPr>
                <w:rFonts w:ascii="Times New Roman" w:hAnsi="Times New Roman" w:hint="eastAsia"/>
                <w:color w:val="000000"/>
                <w:kern w:val="0"/>
                <w:szCs w:val="21"/>
              </w:rPr>
              <w:t>上银上证科创板综合指数增强型发起式证券投资基金</w:t>
            </w:r>
            <w:r>
              <w:rPr>
                <w:rFonts w:ascii="Times New Roman" w:hAnsi="Times New Roman" w:hint="eastAsia"/>
                <w:color w:val="000000"/>
                <w:kern w:val="0"/>
                <w:szCs w:val="21"/>
              </w:rPr>
              <w:t>C</w:t>
            </w:r>
            <w:r>
              <w:rPr>
                <w:rFonts w:ascii="Times New Roman" w:hAnsi="Times New Roman" w:hint="eastAsia"/>
                <w:color w:val="000000"/>
                <w:kern w:val="0"/>
                <w:szCs w:val="21"/>
              </w:rPr>
              <w:t>类</w:t>
            </w:r>
          </w:p>
        </w:tc>
        <w:tc>
          <w:tcPr>
            <w:tcW w:w="1544" w:type="dxa"/>
            <w:vAlign w:val="center"/>
          </w:tcPr>
          <w:p w:rsidR="00575AEC" w:rsidRDefault="00273ACB">
            <w:pPr>
              <w:autoSpaceDE w:val="0"/>
              <w:autoSpaceDN w:val="0"/>
              <w:adjustRightInd w:val="0"/>
              <w:spacing w:before="29" w:line="288" w:lineRule="auto"/>
              <w:jc w:val="center"/>
              <w:rPr>
                <w:rFonts w:ascii="Times New Roman" w:eastAsia="宋体" w:hAnsi="Times New Roman"/>
                <w:bCs/>
                <w:szCs w:val="21"/>
              </w:rPr>
            </w:pPr>
            <w:r>
              <w:rPr>
                <w:rFonts w:ascii="Times New Roman" w:eastAsia="宋体" w:hAnsi="Times New Roman" w:hint="eastAsia"/>
                <w:bCs/>
                <w:szCs w:val="21"/>
              </w:rPr>
              <w:t>024666</w:t>
            </w:r>
          </w:p>
        </w:tc>
      </w:tr>
    </w:tbl>
    <w:p w:rsidR="00575AEC" w:rsidRDefault="00575AEC">
      <w:pPr>
        <w:autoSpaceDE w:val="0"/>
        <w:autoSpaceDN w:val="0"/>
        <w:adjustRightInd w:val="0"/>
        <w:spacing w:before="29" w:line="288" w:lineRule="auto"/>
        <w:ind w:firstLineChars="200" w:firstLine="480"/>
        <w:jc w:val="left"/>
        <w:rPr>
          <w:rFonts w:ascii="Times New Roman" w:hAnsi="Times New Roman"/>
          <w:color w:val="000000" w:themeColor="text1"/>
          <w:kern w:val="0"/>
          <w:sz w:val="24"/>
          <w:szCs w:val="24"/>
        </w:rPr>
      </w:pPr>
    </w:p>
    <w:p w:rsidR="00575AEC" w:rsidRDefault="00273ACB">
      <w:pPr>
        <w:autoSpaceDE w:val="0"/>
        <w:autoSpaceDN w:val="0"/>
        <w:adjustRightInd w:val="0"/>
        <w:spacing w:before="29" w:line="288" w:lineRule="auto"/>
        <w:ind w:firstLineChars="200" w:firstLine="480"/>
        <w:jc w:val="left"/>
        <w:rPr>
          <w:rFonts w:ascii="宋体" w:hAnsi="宋体" w:cs="宋体"/>
          <w:b/>
          <w:bCs/>
          <w:color w:val="000000"/>
          <w:kern w:val="0"/>
          <w:sz w:val="24"/>
          <w:szCs w:val="24"/>
        </w:rPr>
      </w:pPr>
      <w:r>
        <w:rPr>
          <w:rFonts w:ascii="Times New Roman" w:eastAsia="宋体" w:hAnsi="Times New Roman" w:hint="eastAsia"/>
          <w:color w:val="000000"/>
          <w:kern w:val="0"/>
          <w:sz w:val="24"/>
          <w:szCs w:val="24"/>
        </w:rPr>
        <w:t>本基金其他销售机构是否开通转换业务以各销售机构为准。投资人在办理基</w:t>
      </w:r>
      <w:r>
        <w:rPr>
          <w:rFonts w:ascii="Times New Roman" w:hAnsi="Times New Roman" w:hint="eastAsia"/>
          <w:color w:val="000000" w:themeColor="text1"/>
          <w:kern w:val="0"/>
          <w:sz w:val="24"/>
          <w:szCs w:val="24"/>
        </w:rPr>
        <w:t>金转换业务时，具体办理规则及程序请遵循各销售机构的规定。本公司</w:t>
      </w:r>
      <w:r>
        <w:rPr>
          <w:rFonts w:ascii="宋体" w:hAnsi="宋体" w:cs="宋体" w:hint="eastAsia"/>
          <w:color w:val="000000"/>
          <w:kern w:val="0"/>
          <w:sz w:val="24"/>
          <w:szCs w:val="24"/>
        </w:rPr>
        <w:t>今后发行的开放式基金将根据具体情况确定是否适用于基金转换业务并另行公告。</w:t>
      </w:r>
    </w:p>
    <w:p w:rsidR="00575AEC" w:rsidRDefault="00273ACB">
      <w:pPr>
        <w:autoSpaceDE w:val="0"/>
        <w:autoSpaceDN w:val="0"/>
        <w:adjustRightInd w:val="0"/>
        <w:spacing w:before="29" w:line="288" w:lineRule="auto"/>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5.2.2 </w:t>
      </w:r>
      <w:r>
        <w:rPr>
          <w:rFonts w:ascii="宋体" w:hAnsi="宋体" w:cs="宋体" w:hint="eastAsia"/>
          <w:b/>
          <w:bCs/>
          <w:color w:val="000000"/>
          <w:kern w:val="0"/>
          <w:sz w:val="24"/>
          <w:szCs w:val="24"/>
        </w:rPr>
        <w:t>基金转换业务规则说明</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）基金转换是指投资人将其持有的本公司管理的某一开放式基金直接转换到本公司管理的另一开放式基金，而不需要先赎回已持有的基金份额、再申购目标基金的一种业务模式。</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）基金转换只能在同一销售机构进行。转换的两只基金必须都是该销售机构销售的同一基金管理人管理的且已开通转换业务的基金。</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）投资人采用</w:t>
      </w:r>
      <w:r>
        <w:rPr>
          <w:rFonts w:ascii="宋体" w:hAnsi="宋体" w:cs="宋体"/>
          <w:color w:val="000000"/>
          <w:kern w:val="0"/>
          <w:sz w:val="24"/>
          <w:szCs w:val="24"/>
        </w:rPr>
        <w:t>“</w:t>
      </w:r>
      <w:r>
        <w:rPr>
          <w:rFonts w:ascii="宋体" w:hAnsi="宋体" w:cs="宋体" w:hint="eastAsia"/>
          <w:color w:val="000000"/>
          <w:kern w:val="0"/>
          <w:sz w:val="24"/>
          <w:szCs w:val="24"/>
        </w:rPr>
        <w:t>份额转换</w:t>
      </w:r>
      <w:r>
        <w:rPr>
          <w:rFonts w:ascii="宋体" w:hAnsi="宋体" w:cs="宋体"/>
          <w:color w:val="000000"/>
          <w:kern w:val="0"/>
          <w:sz w:val="24"/>
          <w:szCs w:val="24"/>
        </w:rPr>
        <w:t>”</w:t>
      </w:r>
      <w:r>
        <w:rPr>
          <w:rFonts w:ascii="宋体" w:hAnsi="宋体" w:cs="宋体" w:hint="eastAsia"/>
          <w:color w:val="000000"/>
          <w:kern w:val="0"/>
          <w:sz w:val="24"/>
          <w:szCs w:val="24"/>
        </w:rPr>
        <w:t>的原则提交申请。申请转换份额按四舍五入方法，保留到小数点后</w:t>
      </w:r>
      <w:r>
        <w:rPr>
          <w:rFonts w:ascii="宋体" w:hAnsi="宋体" w:cs="宋体"/>
          <w:color w:val="000000"/>
          <w:kern w:val="0"/>
          <w:sz w:val="24"/>
          <w:szCs w:val="24"/>
        </w:rPr>
        <w:t>2</w:t>
      </w:r>
      <w:r>
        <w:rPr>
          <w:rFonts w:ascii="宋体" w:hAnsi="宋体" w:cs="宋体" w:hint="eastAsia"/>
          <w:color w:val="000000"/>
          <w:kern w:val="0"/>
          <w:sz w:val="24"/>
          <w:szCs w:val="24"/>
        </w:rPr>
        <w:t>位，由此产生的收益或损失由基金财产承担。</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4</w:t>
      </w:r>
      <w:r>
        <w:rPr>
          <w:rFonts w:ascii="宋体" w:hAnsi="宋体" w:cs="宋体" w:hint="eastAsia"/>
          <w:color w:val="000000"/>
          <w:kern w:val="0"/>
          <w:sz w:val="24"/>
          <w:szCs w:val="24"/>
        </w:rPr>
        <w:t>）基金转换后的基金份额持有时间自转换入确认日开始重新计算。</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5</w:t>
      </w:r>
      <w:r>
        <w:rPr>
          <w:rFonts w:ascii="宋体" w:hAnsi="宋体" w:cs="宋体" w:hint="eastAsia"/>
          <w:color w:val="000000"/>
          <w:kern w:val="0"/>
          <w:sz w:val="24"/>
          <w:szCs w:val="24"/>
        </w:rPr>
        <w:t>）已冻结份额不得申请进行基金转换。</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6</w:t>
      </w:r>
      <w:r>
        <w:rPr>
          <w:rFonts w:ascii="宋体" w:hAnsi="宋体" w:cs="宋体" w:hint="eastAsia"/>
          <w:color w:val="000000"/>
          <w:kern w:val="0"/>
          <w:sz w:val="24"/>
          <w:szCs w:val="24"/>
        </w:rPr>
        <w:t>）基金转换遵循</w:t>
      </w:r>
      <w:r>
        <w:rPr>
          <w:rFonts w:ascii="宋体" w:hAnsi="宋体" w:cs="宋体"/>
          <w:color w:val="000000"/>
          <w:kern w:val="0"/>
          <w:sz w:val="24"/>
          <w:szCs w:val="24"/>
        </w:rPr>
        <w:t>“</w:t>
      </w:r>
      <w:r>
        <w:rPr>
          <w:rFonts w:ascii="宋体" w:hAnsi="宋体" w:cs="宋体" w:hint="eastAsia"/>
          <w:color w:val="000000"/>
          <w:kern w:val="0"/>
          <w:sz w:val="24"/>
          <w:szCs w:val="24"/>
        </w:rPr>
        <w:t>先进先出</w:t>
      </w:r>
      <w:r>
        <w:rPr>
          <w:rFonts w:ascii="宋体" w:hAnsi="宋体" w:cs="宋体"/>
          <w:color w:val="000000"/>
          <w:kern w:val="0"/>
          <w:sz w:val="24"/>
          <w:szCs w:val="24"/>
        </w:rPr>
        <w:t>”</w:t>
      </w:r>
      <w:r>
        <w:rPr>
          <w:rFonts w:ascii="宋体" w:hAnsi="宋体" w:cs="宋体" w:hint="eastAsia"/>
          <w:color w:val="000000"/>
          <w:kern w:val="0"/>
          <w:sz w:val="24"/>
          <w:szCs w:val="24"/>
        </w:rPr>
        <w:t>的业务规则，即先申购的基金份额在转换时先转换。</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7</w:t>
      </w:r>
      <w:r>
        <w:rPr>
          <w:rFonts w:ascii="宋体" w:hAnsi="宋体" w:cs="宋体" w:hint="eastAsia"/>
          <w:color w:val="000000"/>
          <w:kern w:val="0"/>
          <w:sz w:val="24"/>
          <w:szCs w:val="24"/>
        </w:rPr>
        <w:t>）基金转换只允许在前端收费基金之间或者后端收费基金之间进行，不允许将前端收费基金转换为后端收费基金，也不允许将后端收费基金转换为前端收费基金。</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8</w:t>
      </w:r>
      <w:r>
        <w:rPr>
          <w:rFonts w:ascii="宋体" w:hAnsi="宋体" w:cs="宋体" w:hint="eastAsia"/>
          <w:color w:val="000000"/>
          <w:kern w:val="0"/>
          <w:sz w:val="24"/>
          <w:szCs w:val="24"/>
        </w:rPr>
        <w:t>）正常情况下</w:t>
      </w:r>
      <w:r>
        <w:rPr>
          <w:rFonts w:ascii="宋体" w:hAnsi="宋体" w:cs="宋体"/>
          <w:color w:val="000000"/>
          <w:kern w:val="0"/>
          <w:sz w:val="24"/>
          <w:szCs w:val="24"/>
        </w:rPr>
        <w:t>,</w:t>
      </w:r>
      <w:r>
        <w:rPr>
          <w:rFonts w:ascii="宋体" w:hAnsi="宋体" w:cs="宋体" w:hint="eastAsia"/>
          <w:color w:val="000000"/>
          <w:kern w:val="0"/>
          <w:sz w:val="24"/>
          <w:szCs w:val="24"/>
        </w:rPr>
        <w:t>基金注册登记机构将在</w:t>
      </w:r>
      <w:r>
        <w:rPr>
          <w:rFonts w:ascii="宋体" w:hAnsi="宋体" w:cs="宋体"/>
          <w:color w:val="000000"/>
          <w:kern w:val="0"/>
          <w:sz w:val="24"/>
          <w:szCs w:val="24"/>
        </w:rPr>
        <w:t>T+1</w:t>
      </w:r>
      <w:r>
        <w:rPr>
          <w:rFonts w:ascii="宋体" w:hAnsi="宋体" w:cs="宋体" w:hint="eastAsia"/>
          <w:color w:val="000000"/>
          <w:kern w:val="0"/>
          <w:sz w:val="24"/>
          <w:szCs w:val="24"/>
        </w:rPr>
        <w:t>日对投资人</w:t>
      </w:r>
      <w:r>
        <w:rPr>
          <w:rFonts w:ascii="宋体" w:hAnsi="宋体" w:cs="宋体"/>
          <w:color w:val="000000"/>
          <w:kern w:val="0"/>
          <w:sz w:val="24"/>
          <w:szCs w:val="24"/>
        </w:rPr>
        <w:t>T</w:t>
      </w:r>
      <w:r>
        <w:rPr>
          <w:rFonts w:ascii="宋体" w:hAnsi="宋体" w:cs="宋体" w:hint="eastAsia"/>
          <w:color w:val="000000"/>
          <w:kern w:val="0"/>
          <w:sz w:val="24"/>
          <w:szCs w:val="24"/>
        </w:rPr>
        <w:t>日的基金转换业务申请进行有效性确认</w:t>
      </w:r>
      <w:r>
        <w:rPr>
          <w:rFonts w:ascii="宋体" w:hAnsi="宋体" w:cs="宋体"/>
          <w:color w:val="000000"/>
          <w:kern w:val="0"/>
          <w:sz w:val="24"/>
          <w:szCs w:val="24"/>
        </w:rPr>
        <w:t>,</w:t>
      </w:r>
      <w:r>
        <w:rPr>
          <w:rFonts w:ascii="宋体" w:hAnsi="宋体" w:cs="宋体" w:hint="eastAsia"/>
          <w:color w:val="000000"/>
          <w:kern w:val="0"/>
          <w:sz w:val="24"/>
          <w:szCs w:val="24"/>
        </w:rPr>
        <w:t>办理转出基金的权益扣除以及转入基金的权</w:t>
      </w:r>
      <w:r>
        <w:rPr>
          <w:rFonts w:ascii="宋体" w:hAnsi="宋体" w:cs="宋体" w:hint="eastAsia"/>
          <w:color w:val="000000"/>
          <w:kern w:val="0"/>
          <w:sz w:val="24"/>
          <w:szCs w:val="24"/>
        </w:rPr>
        <w:t>益登记。在</w:t>
      </w:r>
      <w:r>
        <w:rPr>
          <w:rFonts w:ascii="宋体" w:hAnsi="宋体" w:cs="宋体"/>
          <w:color w:val="000000"/>
          <w:kern w:val="0"/>
          <w:sz w:val="24"/>
          <w:szCs w:val="24"/>
        </w:rPr>
        <w:t>T</w:t>
      </w: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日后</w:t>
      </w:r>
      <w:r>
        <w:rPr>
          <w:rFonts w:ascii="宋体" w:hAnsi="宋体" w:cs="宋体"/>
          <w:color w:val="000000"/>
          <w:kern w:val="0"/>
          <w:sz w:val="24"/>
          <w:szCs w:val="24"/>
        </w:rPr>
        <w:t>(</w:t>
      </w:r>
      <w:r>
        <w:rPr>
          <w:rFonts w:ascii="宋体" w:hAnsi="宋体" w:cs="宋体" w:hint="eastAsia"/>
          <w:color w:val="000000"/>
          <w:kern w:val="0"/>
          <w:sz w:val="24"/>
          <w:szCs w:val="24"/>
        </w:rPr>
        <w:t>包括该日</w:t>
      </w:r>
      <w:r>
        <w:rPr>
          <w:rFonts w:ascii="宋体" w:hAnsi="宋体" w:cs="宋体"/>
          <w:color w:val="000000"/>
          <w:kern w:val="0"/>
          <w:sz w:val="24"/>
          <w:szCs w:val="24"/>
        </w:rPr>
        <w:t>)</w:t>
      </w:r>
      <w:r>
        <w:rPr>
          <w:rFonts w:ascii="宋体" w:hAnsi="宋体" w:cs="宋体" w:hint="eastAsia"/>
          <w:color w:val="000000"/>
          <w:kern w:val="0"/>
          <w:sz w:val="24"/>
          <w:szCs w:val="24"/>
        </w:rPr>
        <w:t>投资人可向销售机构查询基金转换的成交情况。</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9</w:t>
      </w:r>
      <w:r>
        <w:rPr>
          <w:rFonts w:ascii="宋体" w:hAnsi="宋体" w:cs="宋体" w:hint="eastAsia"/>
          <w:color w:val="000000"/>
          <w:kern w:val="0"/>
          <w:sz w:val="24"/>
          <w:szCs w:val="24"/>
        </w:rPr>
        <w:t>）每笔基金转换视为一笔赎回和一笔申购。基金转换费用由转出基金赎回费用及基金申购补差费用构成。</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10</w:t>
      </w:r>
      <w:r>
        <w:rPr>
          <w:rFonts w:ascii="宋体" w:hAnsi="宋体" w:cs="宋体" w:hint="eastAsia"/>
          <w:color w:val="000000"/>
          <w:kern w:val="0"/>
          <w:sz w:val="24"/>
          <w:szCs w:val="24"/>
        </w:rPr>
        <w:t>）基金转换采取未知价法，以申请日（</w:t>
      </w:r>
      <w:r>
        <w:rPr>
          <w:rFonts w:ascii="宋体" w:hAnsi="宋体" w:cs="宋体"/>
          <w:color w:val="000000"/>
          <w:kern w:val="0"/>
          <w:sz w:val="24"/>
          <w:szCs w:val="24"/>
        </w:rPr>
        <w:t>T</w:t>
      </w:r>
      <w:r>
        <w:rPr>
          <w:rFonts w:ascii="宋体" w:hAnsi="宋体" w:cs="宋体" w:hint="eastAsia"/>
          <w:color w:val="000000"/>
          <w:kern w:val="0"/>
          <w:sz w:val="24"/>
          <w:szCs w:val="24"/>
        </w:rPr>
        <w:t>日）基金份额净值为基础计算，计算公式为：</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转出金额</w:t>
      </w:r>
      <w:r>
        <w:rPr>
          <w:rFonts w:ascii="宋体" w:hAnsi="宋体" w:cs="宋体"/>
          <w:color w:val="000000"/>
          <w:kern w:val="0"/>
          <w:sz w:val="24"/>
          <w:szCs w:val="24"/>
        </w:rPr>
        <w:t xml:space="preserve"> = </w:t>
      </w:r>
      <w:r>
        <w:rPr>
          <w:rFonts w:ascii="宋体" w:hAnsi="宋体" w:cs="宋体" w:hint="eastAsia"/>
          <w:color w:val="000000"/>
          <w:kern w:val="0"/>
          <w:sz w:val="24"/>
          <w:szCs w:val="24"/>
        </w:rPr>
        <w:t>转出基金申请份额×转出基金</w:t>
      </w:r>
      <w:r>
        <w:rPr>
          <w:rFonts w:ascii="宋体" w:hAnsi="宋体" w:cs="宋体"/>
          <w:color w:val="000000"/>
          <w:kern w:val="0"/>
          <w:sz w:val="24"/>
          <w:szCs w:val="24"/>
        </w:rPr>
        <w:t>T</w:t>
      </w:r>
      <w:r>
        <w:rPr>
          <w:rFonts w:ascii="宋体" w:hAnsi="宋体" w:cs="宋体" w:hint="eastAsia"/>
          <w:color w:val="000000"/>
          <w:kern w:val="0"/>
          <w:sz w:val="24"/>
          <w:szCs w:val="24"/>
        </w:rPr>
        <w:t>日基金份额净值</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转出基金赎回费用</w:t>
      </w:r>
      <w:r>
        <w:rPr>
          <w:rFonts w:ascii="宋体" w:hAnsi="宋体" w:cs="宋体"/>
          <w:color w:val="000000"/>
          <w:kern w:val="0"/>
          <w:sz w:val="24"/>
          <w:szCs w:val="24"/>
        </w:rPr>
        <w:t>=</w:t>
      </w:r>
      <w:r>
        <w:rPr>
          <w:rFonts w:ascii="宋体" w:hAnsi="宋体" w:cs="宋体" w:hint="eastAsia"/>
          <w:color w:val="000000"/>
          <w:kern w:val="0"/>
          <w:sz w:val="24"/>
          <w:szCs w:val="24"/>
        </w:rPr>
        <w:t>转出金额×转出基金赎回费率</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转入金额＝转出金额－转出基金赎回费用</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申购补差费用</w:t>
      </w:r>
      <w:r>
        <w:rPr>
          <w:rFonts w:ascii="宋体" w:hAnsi="宋体" w:cs="宋体"/>
          <w:color w:val="000000"/>
          <w:kern w:val="0"/>
          <w:sz w:val="24"/>
          <w:szCs w:val="24"/>
        </w:rPr>
        <w:t xml:space="preserve">= </w:t>
      </w:r>
      <w:r>
        <w:rPr>
          <w:rFonts w:ascii="宋体" w:hAnsi="宋体" w:cs="宋体" w:hint="eastAsia"/>
          <w:color w:val="000000"/>
          <w:kern w:val="0"/>
          <w:sz w:val="24"/>
          <w:szCs w:val="24"/>
        </w:rPr>
        <w:t>转入金额×申购补差费率</w:t>
      </w:r>
      <w:r>
        <w:rPr>
          <w:rFonts w:ascii="宋体" w:hAnsi="宋体" w:cs="宋体"/>
          <w:color w:val="000000"/>
          <w:kern w:val="0"/>
          <w:sz w:val="24"/>
          <w:szCs w:val="24"/>
        </w:rPr>
        <w:t>/</w:t>
      </w: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申购补差费率）</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净转入金额</w:t>
      </w:r>
      <w:r>
        <w:rPr>
          <w:rFonts w:ascii="宋体" w:hAnsi="宋体" w:cs="宋体"/>
          <w:color w:val="000000"/>
          <w:kern w:val="0"/>
          <w:sz w:val="24"/>
          <w:szCs w:val="24"/>
        </w:rPr>
        <w:t xml:space="preserve"> = </w:t>
      </w:r>
      <w:r>
        <w:rPr>
          <w:rFonts w:ascii="宋体" w:hAnsi="宋体" w:cs="宋体" w:hint="eastAsia"/>
          <w:color w:val="000000"/>
          <w:kern w:val="0"/>
          <w:sz w:val="24"/>
          <w:szCs w:val="24"/>
        </w:rPr>
        <w:t>转入金额－申购补差费用</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净转入份额</w:t>
      </w:r>
      <w:r>
        <w:rPr>
          <w:rFonts w:ascii="宋体" w:hAnsi="宋体" w:cs="宋体"/>
          <w:color w:val="000000"/>
          <w:kern w:val="0"/>
          <w:sz w:val="24"/>
          <w:szCs w:val="24"/>
        </w:rPr>
        <w:t xml:space="preserve"> = </w:t>
      </w:r>
      <w:r>
        <w:rPr>
          <w:rFonts w:ascii="宋体" w:hAnsi="宋体" w:cs="宋体" w:hint="eastAsia"/>
          <w:color w:val="000000"/>
          <w:kern w:val="0"/>
          <w:sz w:val="24"/>
          <w:szCs w:val="24"/>
        </w:rPr>
        <w:t>净转入金额</w:t>
      </w:r>
      <w:r>
        <w:rPr>
          <w:rFonts w:ascii="宋体" w:hAnsi="宋体" w:cs="宋体"/>
          <w:color w:val="000000"/>
          <w:kern w:val="0"/>
          <w:sz w:val="24"/>
          <w:szCs w:val="24"/>
        </w:rPr>
        <w:t>/</w:t>
      </w:r>
      <w:r>
        <w:rPr>
          <w:rFonts w:ascii="宋体" w:hAnsi="宋体" w:cs="宋体" w:hint="eastAsia"/>
          <w:color w:val="000000"/>
          <w:kern w:val="0"/>
          <w:sz w:val="24"/>
          <w:szCs w:val="24"/>
        </w:rPr>
        <w:t>转入基金</w:t>
      </w:r>
      <w:r>
        <w:rPr>
          <w:rFonts w:ascii="宋体" w:hAnsi="宋体" w:cs="宋体"/>
          <w:color w:val="000000"/>
          <w:kern w:val="0"/>
          <w:sz w:val="24"/>
          <w:szCs w:val="24"/>
        </w:rPr>
        <w:t>T</w:t>
      </w:r>
      <w:r>
        <w:rPr>
          <w:rFonts w:ascii="宋体" w:hAnsi="宋体" w:cs="宋体" w:hint="eastAsia"/>
          <w:color w:val="000000"/>
          <w:kern w:val="0"/>
          <w:sz w:val="24"/>
          <w:szCs w:val="24"/>
        </w:rPr>
        <w:t>日基金份额净值</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11</w:t>
      </w:r>
      <w:r>
        <w:rPr>
          <w:rFonts w:ascii="宋体" w:hAnsi="宋体" w:cs="宋体" w:hint="eastAsia"/>
          <w:color w:val="000000"/>
          <w:kern w:val="0"/>
          <w:sz w:val="24"/>
          <w:szCs w:val="24"/>
        </w:rPr>
        <w:t>）单笔转换最低申请基金份额及转换后单个交易账户的最低持有基金份额适用各基金招募说明书以及最新业务公告中关于最低赎回份额及赎回后最低持有基金份额的规定。如投资人转换后该交易账户基金份额余额低于基金管理人规定的最低余额，销售机构应要求投资人将余额部分一同转换。</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12</w:t>
      </w:r>
      <w:r>
        <w:rPr>
          <w:rFonts w:ascii="宋体" w:hAnsi="宋体" w:cs="宋体" w:hint="eastAsia"/>
          <w:color w:val="000000"/>
          <w:kern w:val="0"/>
          <w:sz w:val="24"/>
          <w:szCs w:val="24"/>
        </w:rPr>
        <w:t>）基金转换业务与日常申购、赎回等业务的优先级等同。</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13</w:t>
      </w:r>
      <w:r>
        <w:rPr>
          <w:rFonts w:ascii="宋体" w:hAnsi="宋体" w:cs="宋体" w:hint="eastAsia"/>
          <w:color w:val="000000"/>
          <w:kern w:val="0"/>
          <w:sz w:val="24"/>
          <w:szCs w:val="24"/>
        </w:rPr>
        <w:t>）投资人可以发起多次基金转换业务，基金转换所需费用按每笔申请单独计算。</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14</w:t>
      </w:r>
      <w:r>
        <w:rPr>
          <w:rFonts w:ascii="宋体" w:hAnsi="宋体" w:cs="宋体" w:hint="eastAsia"/>
          <w:color w:val="000000"/>
          <w:kern w:val="0"/>
          <w:sz w:val="24"/>
          <w:szCs w:val="24"/>
        </w:rPr>
        <w:t>）发生巨额赎回时</w:t>
      </w:r>
      <w:r>
        <w:rPr>
          <w:rFonts w:ascii="宋体" w:hAnsi="宋体" w:cs="宋体"/>
          <w:color w:val="000000"/>
          <w:kern w:val="0"/>
          <w:sz w:val="24"/>
          <w:szCs w:val="24"/>
        </w:rPr>
        <w:t>,</w:t>
      </w:r>
      <w:r>
        <w:rPr>
          <w:rFonts w:ascii="宋体" w:hAnsi="宋体" w:cs="宋体" w:hint="eastAsia"/>
          <w:color w:val="000000"/>
          <w:kern w:val="0"/>
          <w:sz w:val="24"/>
          <w:szCs w:val="24"/>
        </w:rPr>
        <w:t>基金转出与基金赎回具有</w:t>
      </w:r>
      <w:r>
        <w:rPr>
          <w:rFonts w:ascii="宋体" w:hAnsi="宋体" w:cs="宋体" w:hint="eastAsia"/>
          <w:color w:val="000000"/>
          <w:kern w:val="0"/>
          <w:sz w:val="24"/>
          <w:szCs w:val="24"/>
        </w:rPr>
        <w:t>相同的优先级</w:t>
      </w:r>
      <w:r>
        <w:rPr>
          <w:rFonts w:ascii="宋体" w:hAnsi="宋体" w:cs="宋体"/>
          <w:color w:val="000000"/>
          <w:kern w:val="0"/>
          <w:sz w:val="24"/>
          <w:szCs w:val="24"/>
        </w:rPr>
        <w:t>,</w:t>
      </w:r>
      <w:r>
        <w:rPr>
          <w:rFonts w:ascii="宋体" w:hAnsi="宋体" w:cs="宋体" w:hint="eastAsia"/>
          <w:color w:val="000000"/>
          <w:kern w:val="0"/>
          <w:sz w:val="24"/>
          <w:szCs w:val="24"/>
        </w:rPr>
        <w:t>基金管理人可根据基金资产组合情况</w:t>
      </w:r>
      <w:r>
        <w:rPr>
          <w:rFonts w:ascii="宋体" w:hAnsi="宋体" w:cs="宋体"/>
          <w:color w:val="000000"/>
          <w:kern w:val="0"/>
          <w:sz w:val="24"/>
          <w:szCs w:val="24"/>
        </w:rPr>
        <w:t>,</w:t>
      </w:r>
      <w:r>
        <w:rPr>
          <w:rFonts w:ascii="宋体" w:hAnsi="宋体" w:cs="宋体" w:hint="eastAsia"/>
          <w:color w:val="000000"/>
          <w:kern w:val="0"/>
          <w:sz w:val="24"/>
          <w:szCs w:val="24"/>
        </w:rPr>
        <w:t>决定全额转出或部分转出</w:t>
      </w:r>
      <w:r>
        <w:rPr>
          <w:rFonts w:ascii="宋体" w:hAnsi="宋体" w:cs="宋体"/>
          <w:color w:val="000000"/>
          <w:kern w:val="0"/>
          <w:sz w:val="24"/>
          <w:szCs w:val="24"/>
        </w:rPr>
        <w:t>,</w:t>
      </w:r>
      <w:r>
        <w:rPr>
          <w:rFonts w:ascii="宋体" w:hAnsi="宋体" w:cs="宋体" w:hint="eastAsia"/>
          <w:color w:val="000000"/>
          <w:kern w:val="0"/>
          <w:sz w:val="24"/>
          <w:szCs w:val="24"/>
        </w:rPr>
        <w:t>并且对于基金转出和基金赎回</w:t>
      </w:r>
      <w:r>
        <w:rPr>
          <w:rFonts w:ascii="宋体" w:hAnsi="宋体" w:cs="宋体"/>
          <w:color w:val="000000"/>
          <w:kern w:val="0"/>
          <w:sz w:val="24"/>
          <w:szCs w:val="24"/>
        </w:rPr>
        <w:t>,</w:t>
      </w:r>
      <w:r>
        <w:rPr>
          <w:rFonts w:ascii="宋体" w:hAnsi="宋体" w:cs="宋体" w:hint="eastAsia"/>
          <w:color w:val="000000"/>
          <w:kern w:val="0"/>
          <w:sz w:val="24"/>
          <w:szCs w:val="24"/>
        </w:rPr>
        <w:t>将采取相同的比例确认。在转出申请得到部分确认的情况下</w:t>
      </w:r>
      <w:r>
        <w:rPr>
          <w:rFonts w:ascii="宋体" w:hAnsi="宋体" w:cs="宋体"/>
          <w:color w:val="000000"/>
          <w:kern w:val="0"/>
          <w:sz w:val="24"/>
          <w:szCs w:val="24"/>
        </w:rPr>
        <w:t>,</w:t>
      </w:r>
      <w:r>
        <w:rPr>
          <w:rFonts w:ascii="宋体" w:hAnsi="宋体" w:cs="宋体" w:hint="eastAsia"/>
          <w:color w:val="000000"/>
          <w:kern w:val="0"/>
          <w:sz w:val="24"/>
          <w:szCs w:val="24"/>
        </w:rPr>
        <w:t>未确认的转出申请将不予以顺延。</w:t>
      </w:r>
      <w:r>
        <w:rPr>
          <w:rFonts w:ascii="宋体" w:hAnsi="宋体" w:cs="宋体"/>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15</w:t>
      </w:r>
      <w:r>
        <w:rPr>
          <w:rFonts w:ascii="宋体" w:hAnsi="宋体" w:cs="宋体" w:hint="eastAsia"/>
          <w:color w:val="000000"/>
          <w:kern w:val="0"/>
          <w:sz w:val="24"/>
          <w:szCs w:val="24"/>
        </w:rPr>
        <w:t>）投资人办理基金转换业务时，转出方的基金必须处于可赎回状态，转入方的基金必须处于可申购状态，否则基金转换申请处理为失败。</w:t>
      </w:r>
      <w:r>
        <w:rPr>
          <w:rFonts w:ascii="宋体" w:hAnsi="宋体" w:cs="宋体"/>
          <w:color w:val="000000"/>
          <w:kern w:val="0"/>
          <w:sz w:val="24"/>
          <w:szCs w:val="24"/>
        </w:rPr>
        <w:t xml:space="preserve"> </w:t>
      </w:r>
    </w:p>
    <w:p w:rsidR="00575AEC" w:rsidRDefault="00575AEC">
      <w:pPr>
        <w:autoSpaceDE w:val="0"/>
        <w:autoSpaceDN w:val="0"/>
        <w:adjustRightInd w:val="0"/>
        <w:spacing w:before="29" w:line="288" w:lineRule="auto"/>
        <w:ind w:firstLineChars="200" w:firstLine="480"/>
        <w:jc w:val="left"/>
        <w:rPr>
          <w:rFonts w:ascii="宋体" w:hAnsi="宋体" w:cs="宋体"/>
          <w:color w:val="000000"/>
          <w:kern w:val="0"/>
          <w:sz w:val="24"/>
          <w:szCs w:val="24"/>
        </w:rPr>
      </w:pPr>
    </w:p>
    <w:p w:rsidR="00575AEC" w:rsidRDefault="00273ACB">
      <w:pPr>
        <w:autoSpaceDE w:val="0"/>
        <w:autoSpaceDN w:val="0"/>
        <w:adjustRightInd w:val="0"/>
        <w:spacing w:before="29" w:line="288" w:lineRule="auto"/>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6 </w:t>
      </w:r>
      <w:r>
        <w:rPr>
          <w:rFonts w:ascii="宋体" w:hAnsi="宋体" w:cs="宋体" w:hint="eastAsia"/>
          <w:b/>
          <w:bCs/>
          <w:color w:val="000000"/>
          <w:kern w:val="0"/>
          <w:sz w:val="24"/>
          <w:szCs w:val="24"/>
        </w:rPr>
        <w:t>定期定额投资业务</w:t>
      </w:r>
      <w:r>
        <w:rPr>
          <w:rFonts w:ascii="宋体" w:hAnsi="宋体" w:cs="宋体"/>
          <w:b/>
          <w:bCs/>
          <w:color w:val="000000"/>
          <w:kern w:val="0"/>
          <w:sz w:val="24"/>
          <w:szCs w:val="24"/>
        </w:rPr>
        <w:t xml:space="preserve"> </w:t>
      </w:r>
    </w:p>
    <w:p w:rsidR="00575AEC" w:rsidRDefault="00273ACB">
      <w:pPr>
        <w:autoSpaceDE w:val="0"/>
        <w:autoSpaceDN w:val="0"/>
        <w:adjustRightInd w:val="0"/>
        <w:spacing w:before="29" w:line="288" w:lineRule="auto"/>
        <w:jc w:val="left"/>
        <w:rPr>
          <w:rFonts w:ascii="宋体" w:hAnsi="宋体" w:cs="宋体"/>
          <w:b/>
          <w:color w:val="000000"/>
          <w:kern w:val="0"/>
          <w:sz w:val="24"/>
          <w:szCs w:val="24"/>
        </w:rPr>
      </w:pPr>
      <w:r>
        <w:rPr>
          <w:rFonts w:ascii="宋体" w:hAnsi="宋体" w:cs="宋体" w:hint="eastAsia"/>
          <w:b/>
          <w:color w:val="000000"/>
          <w:kern w:val="0"/>
          <w:sz w:val="24"/>
          <w:szCs w:val="24"/>
        </w:rPr>
        <w:t>6</w:t>
      </w:r>
      <w:r>
        <w:rPr>
          <w:rFonts w:ascii="宋体" w:hAnsi="宋体" w:cs="宋体"/>
          <w:b/>
          <w:color w:val="000000"/>
          <w:kern w:val="0"/>
          <w:sz w:val="24"/>
          <w:szCs w:val="24"/>
        </w:rPr>
        <w:t>.1</w:t>
      </w:r>
      <w:r>
        <w:rPr>
          <w:rFonts w:ascii="宋体" w:hAnsi="宋体" w:cs="宋体" w:hint="eastAsia"/>
          <w:b/>
          <w:color w:val="000000"/>
          <w:kern w:val="0"/>
          <w:sz w:val="24"/>
          <w:szCs w:val="24"/>
        </w:rPr>
        <w:t>业务介绍</w:t>
      </w:r>
      <w:r>
        <w:rPr>
          <w:rFonts w:ascii="宋体" w:hAnsi="宋体" w:cs="宋体"/>
          <w:b/>
          <w:color w:val="000000"/>
          <w:kern w:val="0"/>
          <w:sz w:val="24"/>
          <w:szCs w:val="24"/>
        </w:rPr>
        <w:t xml:space="preserve"> </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w:t>
      </w:r>
      <w:r>
        <w:rPr>
          <w:rFonts w:ascii="宋体" w:hAnsi="宋体" w:cs="宋体" w:hint="eastAsia"/>
          <w:color w:val="000000"/>
          <w:kern w:val="0"/>
          <w:sz w:val="24"/>
          <w:szCs w:val="24"/>
        </w:rPr>
        <w:t>定期定额投资计划</w:t>
      </w:r>
      <w:r>
        <w:rPr>
          <w:rFonts w:ascii="宋体" w:hAnsi="宋体" w:cs="宋体"/>
          <w:color w:val="000000"/>
          <w:kern w:val="0"/>
          <w:sz w:val="24"/>
          <w:szCs w:val="24"/>
        </w:rPr>
        <w:t>”</w:t>
      </w:r>
      <w:r>
        <w:rPr>
          <w:rFonts w:ascii="宋体" w:hAnsi="宋体" w:cs="宋体" w:hint="eastAsia"/>
          <w:color w:val="000000"/>
          <w:kern w:val="0"/>
          <w:sz w:val="24"/>
          <w:szCs w:val="24"/>
        </w:rPr>
        <w:t>指投资人通过有关销售机构提出申请，约定每期申购日、扣款金额及扣款方式，由销售机构于每期约定扣款日在投资人指定银行账户内自动完成扣款及基金申购申请的一种投资方式。销售机构将按照与投资人申请时所约定的每期固定扣款日、扣款金额扣款，若遇非基金交易日时，扣款是否顺延以销售机构的具体规定为准。具体办理程序请遵循各销售机构的有关规定，具体扣款方式也以各销售机构的相关业务规则为准。</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自</w:t>
      </w:r>
      <w:r>
        <w:rPr>
          <w:rFonts w:ascii="Times New Roman" w:hAnsi="Times New Roman" w:hint="eastAsia"/>
          <w:color w:val="000000"/>
          <w:kern w:val="0"/>
          <w:sz w:val="24"/>
          <w:szCs w:val="24"/>
        </w:rPr>
        <w:t>2026</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1</w:t>
      </w:r>
      <w:r>
        <w:rPr>
          <w:rFonts w:ascii="Times New Roman" w:hAnsi="Times New Roman"/>
          <w:color w:val="000000" w:themeColor="text1"/>
          <w:kern w:val="0"/>
          <w:sz w:val="24"/>
          <w:szCs w:val="24"/>
        </w:rPr>
        <w:t>月</w:t>
      </w:r>
      <w:r>
        <w:rPr>
          <w:rFonts w:ascii="Times New Roman" w:hAnsi="Times New Roman" w:hint="eastAsia"/>
          <w:color w:val="000000" w:themeColor="text1"/>
          <w:kern w:val="0"/>
          <w:sz w:val="24"/>
          <w:szCs w:val="24"/>
        </w:rPr>
        <w:t>8</w:t>
      </w:r>
      <w:r>
        <w:rPr>
          <w:rFonts w:ascii="Times New Roman" w:hAnsi="Times New Roman"/>
          <w:color w:val="000000" w:themeColor="text1"/>
          <w:kern w:val="0"/>
          <w:sz w:val="24"/>
          <w:szCs w:val="24"/>
        </w:rPr>
        <w:t>日</w:t>
      </w:r>
      <w:r>
        <w:rPr>
          <w:rFonts w:ascii="宋体" w:hAnsi="宋体" w:cs="宋体" w:hint="eastAsia"/>
          <w:color w:val="000000"/>
          <w:kern w:val="0"/>
          <w:sz w:val="24"/>
          <w:szCs w:val="24"/>
        </w:rPr>
        <w:t>起，投资者可以通过本公司直销渠道（包括网上及微信）办理本基金的定期定额投资业务。本基金其他销售机构是否开通定期定额投资业</w:t>
      </w:r>
      <w:r>
        <w:rPr>
          <w:rFonts w:ascii="宋体" w:hAnsi="宋体" w:cs="宋体" w:hint="eastAsia"/>
          <w:color w:val="000000"/>
          <w:kern w:val="0"/>
          <w:sz w:val="24"/>
          <w:szCs w:val="24"/>
        </w:rPr>
        <w:t>务以各销售机构为准。</w:t>
      </w:r>
    </w:p>
    <w:p w:rsidR="00575AEC" w:rsidRDefault="00575AEC">
      <w:pPr>
        <w:autoSpaceDE w:val="0"/>
        <w:autoSpaceDN w:val="0"/>
        <w:adjustRightInd w:val="0"/>
        <w:spacing w:before="29" w:line="288" w:lineRule="auto"/>
        <w:jc w:val="left"/>
        <w:rPr>
          <w:rFonts w:ascii="宋体" w:hAnsi="宋体" w:cs="宋体"/>
          <w:b/>
          <w:color w:val="000000"/>
          <w:kern w:val="0"/>
          <w:sz w:val="24"/>
          <w:szCs w:val="24"/>
        </w:rPr>
      </w:pPr>
    </w:p>
    <w:p w:rsidR="00575AEC" w:rsidRDefault="00273ACB">
      <w:pPr>
        <w:autoSpaceDE w:val="0"/>
        <w:autoSpaceDN w:val="0"/>
        <w:adjustRightInd w:val="0"/>
        <w:spacing w:before="29" w:line="288" w:lineRule="auto"/>
        <w:jc w:val="left"/>
        <w:rPr>
          <w:rFonts w:ascii="宋体" w:hAnsi="宋体" w:cs="宋体"/>
          <w:b/>
          <w:color w:val="000000"/>
          <w:kern w:val="0"/>
          <w:sz w:val="24"/>
          <w:szCs w:val="24"/>
        </w:rPr>
      </w:pPr>
      <w:r>
        <w:rPr>
          <w:rFonts w:ascii="宋体" w:hAnsi="宋体" w:cs="宋体" w:hint="eastAsia"/>
          <w:b/>
          <w:color w:val="000000"/>
          <w:kern w:val="0"/>
          <w:sz w:val="24"/>
          <w:szCs w:val="24"/>
        </w:rPr>
        <w:t>6</w:t>
      </w:r>
      <w:r>
        <w:rPr>
          <w:rFonts w:ascii="宋体" w:hAnsi="宋体" w:cs="宋体"/>
          <w:b/>
          <w:color w:val="000000"/>
          <w:kern w:val="0"/>
          <w:sz w:val="24"/>
          <w:szCs w:val="24"/>
        </w:rPr>
        <w:t xml:space="preserve">.2 </w:t>
      </w:r>
      <w:r>
        <w:rPr>
          <w:rFonts w:ascii="宋体" w:hAnsi="宋体" w:cs="宋体" w:hint="eastAsia"/>
          <w:b/>
          <w:color w:val="000000"/>
          <w:kern w:val="0"/>
          <w:sz w:val="24"/>
          <w:szCs w:val="24"/>
        </w:rPr>
        <w:t>申购费率</w:t>
      </w: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本基金的定期定额申购费率与其申购费率相同。具体申购金额限制以销售机构有</w:t>
      </w:r>
      <w:r>
        <w:rPr>
          <w:rFonts w:ascii="宋体" w:hAnsi="宋体" w:cs="宋体" w:hint="eastAsia"/>
          <w:color w:val="000000" w:themeColor="text1"/>
          <w:kern w:val="0"/>
          <w:sz w:val="24"/>
          <w:szCs w:val="24"/>
        </w:rPr>
        <w:t>关规定为准，本公司直销渠道（包括网上及微信）每期申购金额不得低于人民币</w:t>
      </w:r>
      <w:r>
        <w:rPr>
          <w:rFonts w:ascii="Times New Roman" w:hAnsi="Times New Roman" w:hint="eastAsia"/>
          <w:color w:val="000000" w:themeColor="text1"/>
          <w:kern w:val="0"/>
          <w:sz w:val="24"/>
          <w:szCs w:val="24"/>
        </w:rPr>
        <w:t>1</w:t>
      </w:r>
      <w:r>
        <w:rPr>
          <w:rFonts w:ascii="宋体" w:hAnsi="宋体" w:cs="宋体" w:hint="eastAsia"/>
          <w:color w:val="000000" w:themeColor="text1"/>
          <w:kern w:val="0"/>
          <w:sz w:val="24"/>
          <w:szCs w:val="24"/>
        </w:rPr>
        <w:t>元（含定期定额申购费）。</w:t>
      </w:r>
    </w:p>
    <w:p w:rsidR="00575AEC" w:rsidRDefault="00575AEC">
      <w:pPr>
        <w:autoSpaceDE w:val="0"/>
        <w:autoSpaceDN w:val="0"/>
        <w:adjustRightInd w:val="0"/>
        <w:spacing w:before="29" w:line="288" w:lineRule="auto"/>
        <w:ind w:firstLineChars="200" w:firstLine="480"/>
        <w:jc w:val="left"/>
        <w:rPr>
          <w:rFonts w:ascii="宋体" w:hAnsi="宋体" w:cs="宋体"/>
          <w:color w:val="000000"/>
          <w:kern w:val="0"/>
          <w:sz w:val="24"/>
          <w:szCs w:val="24"/>
        </w:rPr>
      </w:pP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 xml:space="preserve">7 </w:t>
      </w:r>
      <w:r>
        <w:rPr>
          <w:rFonts w:ascii="宋体" w:eastAsia="宋体" w:hAnsi="Arial" w:cs="宋体" w:hint="eastAsia"/>
          <w:b/>
          <w:bCs/>
          <w:color w:val="000000"/>
          <w:kern w:val="0"/>
          <w:sz w:val="24"/>
          <w:szCs w:val="24"/>
        </w:rPr>
        <w:t>基金销售机构</w:t>
      </w: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7</w:t>
      </w:r>
      <w:r>
        <w:rPr>
          <w:rFonts w:ascii="宋体" w:eastAsia="宋体" w:hAnsi="Arial" w:cs="宋体"/>
          <w:b/>
          <w:bCs/>
          <w:color w:val="000000"/>
          <w:kern w:val="0"/>
          <w:sz w:val="24"/>
          <w:szCs w:val="24"/>
        </w:rPr>
        <w:t>.1</w:t>
      </w:r>
      <w:r>
        <w:rPr>
          <w:rFonts w:ascii="宋体" w:eastAsia="宋体" w:hAnsi="Arial" w:cs="宋体" w:hint="eastAsia"/>
          <w:b/>
          <w:bCs/>
          <w:color w:val="000000"/>
          <w:kern w:val="0"/>
          <w:sz w:val="24"/>
          <w:szCs w:val="24"/>
        </w:rPr>
        <w:t>直销机构</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）上银基金管理有限公司直销中心</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sz w:val="24"/>
          <w:szCs w:val="24"/>
        </w:rPr>
      </w:pPr>
      <w:r>
        <w:rPr>
          <w:rFonts w:ascii="Times New Roman" w:eastAsia="宋体" w:hAnsi="Times New Roman" w:hint="eastAsia"/>
          <w:sz w:val="24"/>
          <w:szCs w:val="24"/>
        </w:rPr>
        <w:t>地址：上海市浦东新区世纪大道</w:t>
      </w:r>
      <w:r>
        <w:rPr>
          <w:rFonts w:ascii="Times New Roman" w:eastAsia="宋体" w:hAnsi="Times New Roman"/>
          <w:sz w:val="24"/>
          <w:szCs w:val="24"/>
        </w:rPr>
        <w:t>1528</w:t>
      </w:r>
      <w:r>
        <w:rPr>
          <w:rFonts w:ascii="Times New Roman" w:eastAsia="宋体" w:hAnsi="Times New Roman" w:hint="eastAsia"/>
          <w:sz w:val="24"/>
          <w:szCs w:val="24"/>
        </w:rPr>
        <w:t>号陆家嘴基金大厦</w:t>
      </w:r>
      <w:r>
        <w:rPr>
          <w:rFonts w:ascii="Times New Roman" w:eastAsia="宋体" w:hAnsi="Times New Roman"/>
          <w:sz w:val="24"/>
          <w:szCs w:val="24"/>
        </w:rPr>
        <w:t>9</w:t>
      </w:r>
      <w:r>
        <w:rPr>
          <w:rFonts w:ascii="Times New Roman" w:eastAsia="宋体" w:hAnsi="Times New Roman" w:hint="eastAsia"/>
          <w:sz w:val="24"/>
          <w:szCs w:val="24"/>
        </w:rPr>
        <w:t>层</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sz w:val="24"/>
          <w:szCs w:val="24"/>
        </w:rPr>
      </w:pPr>
      <w:r>
        <w:rPr>
          <w:rFonts w:ascii="Times New Roman" w:eastAsia="宋体" w:hAnsi="Times New Roman" w:hint="eastAsia"/>
          <w:sz w:val="24"/>
          <w:szCs w:val="24"/>
        </w:rPr>
        <w:t>电话：（</w:t>
      </w:r>
      <w:r>
        <w:rPr>
          <w:rFonts w:ascii="Times New Roman" w:eastAsia="宋体" w:hAnsi="Times New Roman"/>
          <w:sz w:val="24"/>
          <w:szCs w:val="24"/>
        </w:rPr>
        <w:t>021</w:t>
      </w:r>
      <w:r>
        <w:rPr>
          <w:rFonts w:ascii="Times New Roman" w:eastAsia="宋体" w:hAnsi="Times New Roman" w:hint="eastAsia"/>
          <w:sz w:val="24"/>
          <w:szCs w:val="24"/>
        </w:rPr>
        <w:t>）</w:t>
      </w:r>
      <w:r>
        <w:rPr>
          <w:rFonts w:ascii="Times New Roman" w:eastAsia="宋体" w:hAnsi="Times New Roman"/>
          <w:sz w:val="24"/>
          <w:szCs w:val="24"/>
        </w:rPr>
        <w:t>60232799</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sz w:val="24"/>
          <w:szCs w:val="24"/>
        </w:rPr>
      </w:pPr>
      <w:r>
        <w:rPr>
          <w:rFonts w:ascii="Times New Roman" w:eastAsia="宋体" w:hAnsi="Times New Roman" w:hint="eastAsia"/>
          <w:sz w:val="24"/>
          <w:szCs w:val="24"/>
        </w:rPr>
        <w:t>传真：（</w:t>
      </w:r>
      <w:r>
        <w:rPr>
          <w:rFonts w:ascii="Times New Roman" w:eastAsia="宋体" w:hAnsi="Times New Roman"/>
          <w:sz w:val="24"/>
          <w:szCs w:val="24"/>
        </w:rPr>
        <w:t>021</w:t>
      </w:r>
      <w:r>
        <w:rPr>
          <w:rFonts w:ascii="Times New Roman" w:eastAsia="宋体" w:hAnsi="Times New Roman" w:hint="eastAsia"/>
          <w:sz w:val="24"/>
          <w:szCs w:val="24"/>
        </w:rPr>
        <w:t>）</w:t>
      </w:r>
      <w:r>
        <w:rPr>
          <w:rFonts w:ascii="Times New Roman" w:eastAsia="宋体" w:hAnsi="Times New Roman"/>
          <w:sz w:val="24"/>
          <w:szCs w:val="24"/>
        </w:rPr>
        <w:t>60232779</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sz w:val="24"/>
          <w:szCs w:val="24"/>
        </w:rPr>
      </w:pPr>
      <w:r>
        <w:rPr>
          <w:rFonts w:ascii="Times New Roman" w:eastAsia="宋体" w:hAnsi="Times New Roman" w:hint="eastAsia"/>
          <w:sz w:val="24"/>
          <w:szCs w:val="24"/>
        </w:rPr>
        <w:t>客服电话：（</w:t>
      </w:r>
      <w:r>
        <w:rPr>
          <w:rFonts w:ascii="Times New Roman" w:eastAsia="宋体" w:hAnsi="Times New Roman"/>
          <w:sz w:val="24"/>
          <w:szCs w:val="24"/>
        </w:rPr>
        <w:t>021</w:t>
      </w:r>
      <w:r>
        <w:rPr>
          <w:rFonts w:ascii="Times New Roman" w:eastAsia="宋体" w:hAnsi="Times New Roman" w:hint="eastAsia"/>
          <w:sz w:val="24"/>
          <w:szCs w:val="24"/>
        </w:rPr>
        <w:t>）</w:t>
      </w:r>
      <w:r>
        <w:rPr>
          <w:rFonts w:ascii="Times New Roman" w:eastAsia="宋体" w:hAnsi="Times New Roman"/>
          <w:sz w:val="24"/>
          <w:szCs w:val="24"/>
        </w:rPr>
        <w:t>60231999</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sz w:val="24"/>
          <w:szCs w:val="24"/>
        </w:rPr>
      </w:pPr>
      <w:r>
        <w:rPr>
          <w:rFonts w:ascii="Times New Roman" w:eastAsia="宋体" w:hAnsi="Times New Roman" w:hint="eastAsia"/>
          <w:sz w:val="24"/>
          <w:szCs w:val="24"/>
        </w:rPr>
        <w:t>网址：</w:t>
      </w:r>
      <w:r>
        <w:rPr>
          <w:rFonts w:ascii="Times New Roman" w:eastAsia="宋体" w:hAnsi="Times New Roman"/>
          <w:color w:val="000000" w:themeColor="text1"/>
          <w:sz w:val="24"/>
          <w:szCs w:val="24"/>
        </w:rPr>
        <w:t>http://</w:t>
      </w:r>
      <w:hyperlink r:id="rId7" w:history="1">
        <w:r>
          <w:rPr>
            <w:rFonts w:ascii="Times New Roman" w:eastAsia="宋体" w:hAnsi="Times New Roman"/>
            <w:color w:val="000000" w:themeColor="text1"/>
            <w:sz w:val="24"/>
            <w:szCs w:val="24"/>
          </w:rPr>
          <w:t>www.boscam.com.cn</w:t>
        </w:r>
      </w:hyperlink>
    </w:p>
    <w:p w:rsidR="00575AEC" w:rsidRDefault="00273ACB">
      <w:pPr>
        <w:spacing w:line="288"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hint="eastAsia"/>
          <w:sz w:val="24"/>
          <w:szCs w:val="24"/>
        </w:rPr>
        <w:t>）上银基金电子直销平台</w:t>
      </w:r>
    </w:p>
    <w:p w:rsidR="00575AEC" w:rsidRDefault="00575AEC">
      <w:pPr>
        <w:spacing w:line="288" w:lineRule="auto"/>
        <w:ind w:firstLineChars="200" w:firstLine="480"/>
        <w:rPr>
          <w:rFonts w:ascii="Times New Roman" w:eastAsia="宋体" w:hAnsi="Times New Roman"/>
          <w:sz w:val="24"/>
          <w:szCs w:val="24"/>
        </w:rPr>
      </w:pPr>
      <w:r>
        <w:rPr>
          <w:rFonts w:ascii="Times New Roman" w:eastAsia="宋体" w:hAnsi="Times New Roman"/>
          <w:sz w:val="24"/>
          <w:szCs w:val="24"/>
        </w:rPr>
        <w:fldChar w:fldCharType="begin"/>
      </w:r>
      <w:r w:rsidR="00273ACB">
        <w:rPr>
          <w:rFonts w:ascii="Times New Roman" w:eastAsia="宋体" w:hAnsi="Times New Roman"/>
          <w:sz w:val="24"/>
          <w:szCs w:val="24"/>
        </w:rPr>
        <w:instrText xml:space="preserve"> </w:instrText>
      </w:r>
      <w:r w:rsidR="00273ACB">
        <w:rPr>
          <w:rFonts w:ascii="Times New Roman" w:eastAsia="宋体" w:hAnsi="Times New Roman" w:hint="eastAsia"/>
          <w:sz w:val="24"/>
          <w:szCs w:val="24"/>
        </w:rPr>
        <w:instrText>= 1 \* GB3</w:instrText>
      </w:r>
      <w:r w:rsidR="00273ACB">
        <w:rPr>
          <w:rFonts w:ascii="Times New Roman" w:eastAsia="宋体" w:hAnsi="Times New Roman"/>
          <w:sz w:val="24"/>
          <w:szCs w:val="24"/>
        </w:rPr>
        <w:instrText xml:space="preserve"> </w:instrText>
      </w:r>
      <w:r>
        <w:rPr>
          <w:rFonts w:ascii="Times New Roman" w:eastAsia="宋体" w:hAnsi="Times New Roman"/>
          <w:sz w:val="24"/>
          <w:szCs w:val="24"/>
        </w:rPr>
        <w:fldChar w:fldCharType="separate"/>
      </w:r>
      <w:r w:rsidR="00273ACB">
        <w:rPr>
          <w:rFonts w:ascii="Times New Roman" w:eastAsia="宋体" w:hAnsi="Times New Roman" w:hint="eastAsia"/>
          <w:sz w:val="24"/>
          <w:szCs w:val="24"/>
        </w:rPr>
        <w:t>①</w:t>
      </w:r>
      <w:r>
        <w:rPr>
          <w:rFonts w:ascii="Times New Roman" w:eastAsia="宋体" w:hAnsi="Times New Roman"/>
          <w:sz w:val="24"/>
          <w:szCs w:val="24"/>
        </w:rPr>
        <w:fldChar w:fldCharType="end"/>
      </w:r>
      <w:r w:rsidR="00273ACB">
        <w:rPr>
          <w:rFonts w:ascii="Times New Roman" w:eastAsia="宋体" w:hAnsi="Times New Roman" w:hint="eastAsia"/>
          <w:sz w:val="24"/>
          <w:szCs w:val="24"/>
        </w:rPr>
        <w:t>上银基金网上直销平台</w:t>
      </w:r>
    </w:p>
    <w:p w:rsidR="00575AEC" w:rsidRDefault="00273ACB">
      <w:pPr>
        <w:spacing w:line="288"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网址：</w:t>
      </w:r>
      <w:hyperlink r:id="rId8" w:history="1">
        <w:r>
          <w:rPr>
            <w:rFonts w:ascii="Times New Roman" w:eastAsia="宋体" w:hAnsi="Times New Roman"/>
            <w:color w:val="000000" w:themeColor="text1"/>
            <w:sz w:val="24"/>
            <w:szCs w:val="24"/>
          </w:rPr>
          <w:t>https://trade.boscam.com.cn/etrading/</w:t>
        </w:r>
      </w:hyperlink>
    </w:p>
    <w:p w:rsidR="00575AEC" w:rsidRDefault="00575AEC">
      <w:pPr>
        <w:spacing w:line="288" w:lineRule="auto"/>
        <w:ind w:firstLineChars="200" w:firstLine="480"/>
        <w:rPr>
          <w:rFonts w:ascii="Times New Roman" w:eastAsia="宋体" w:hAnsi="Times New Roman"/>
          <w:sz w:val="24"/>
          <w:szCs w:val="24"/>
        </w:rPr>
      </w:pPr>
      <w:r>
        <w:rPr>
          <w:rFonts w:ascii="Times New Roman" w:eastAsia="宋体" w:hAnsi="Times New Roman"/>
          <w:sz w:val="24"/>
          <w:szCs w:val="24"/>
        </w:rPr>
        <w:fldChar w:fldCharType="begin"/>
      </w:r>
      <w:r w:rsidR="00273ACB">
        <w:rPr>
          <w:rFonts w:ascii="Times New Roman" w:eastAsia="宋体" w:hAnsi="Times New Roman"/>
          <w:sz w:val="24"/>
          <w:szCs w:val="24"/>
        </w:rPr>
        <w:instrText xml:space="preserve"> </w:instrText>
      </w:r>
      <w:r w:rsidR="00273ACB">
        <w:rPr>
          <w:rFonts w:ascii="Times New Roman" w:eastAsia="宋体" w:hAnsi="Times New Roman" w:hint="eastAsia"/>
          <w:sz w:val="24"/>
          <w:szCs w:val="24"/>
        </w:rPr>
        <w:instrText>= 2 \* GB3</w:instrText>
      </w:r>
      <w:r w:rsidR="00273ACB">
        <w:rPr>
          <w:rFonts w:ascii="Times New Roman" w:eastAsia="宋体" w:hAnsi="Times New Roman"/>
          <w:sz w:val="24"/>
          <w:szCs w:val="24"/>
        </w:rPr>
        <w:instrText xml:space="preserve"> </w:instrText>
      </w:r>
      <w:r>
        <w:rPr>
          <w:rFonts w:ascii="Times New Roman" w:eastAsia="宋体" w:hAnsi="Times New Roman"/>
          <w:sz w:val="24"/>
          <w:szCs w:val="24"/>
        </w:rPr>
        <w:fldChar w:fldCharType="separate"/>
      </w:r>
      <w:r w:rsidR="00273ACB">
        <w:rPr>
          <w:rFonts w:ascii="Times New Roman" w:eastAsia="宋体" w:hAnsi="Times New Roman" w:hint="eastAsia"/>
          <w:sz w:val="24"/>
          <w:szCs w:val="24"/>
        </w:rPr>
        <w:t>②</w:t>
      </w:r>
      <w:r>
        <w:rPr>
          <w:rFonts w:ascii="Times New Roman" w:eastAsia="宋体" w:hAnsi="Times New Roman"/>
          <w:sz w:val="24"/>
          <w:szCs w:val="24"/>
        </w:rPr>
        <w:fldChar w:fldCharType="end"/>
      </w:r>
      <w:r w:rsidR="00273ACB">
        <w:rPr>
          <w:rFonts w:ascii="Times New Roman" w:eastAsia="宋体" w:hAnsi="Times New Roman" w:hint="eastAsia"/>
          <w:sz w:val="24"/>
          <w:szCs w:val="24"/>
        </w:rPr>
        <w:t>上银基金微信服务号</w:t>
      </w:r>
    </w:p>
    <w:p w:rsidR="00575AEC" w:rsidRDefault="00273ACB">
      <w:pPr>
        <w:spacing w:line="288" w:lineRule="auto"/>
        <w:ind w:firstLineChars="200" w:firstLine="48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微信号：“</w:t>
      </w:r>
      <w:r>
        <w:rPr>
          <w:rFonts w:ascii="Times New Roman" w:eastAsia="宋体" w:hAnsi="Times New Roman"/>
          <w:color w:val="000000" w:themeColor="text1"/>
          <w:sz w:val="24"/>
          <w:szCs w:val="24"/>
        </w:rPr>
        <w:t>shangyinjijin</w:t>
      </w:r>
      <w:r>
        <w:rPr>
          <w:rFonts w:ascii="Times New Roman" w:eastAsia="宋体" w:hAnsi="Times New Roman" w:hint="eastAsia"/>
          <w:color w:val="000000" w:themeColor="text1"/>
          <w:sz w:val="24"/>
          <w:szCs w:val="24"/>
        </w:rPr>
        <w:t>”</w:t>
      </w:r>
    </w:p>
    <w:p w:rsidR="00575AEC" w:rsidRDefault="00575AEC">
      <w:pPr>
        <w:autoSpaceDE w:val="0"/>
        <w:autoSpaceDN w:val="0"/>
        <w:adjustRightInd w:val="0"/>
        <w:spacing w:before="29" w:line="288" w:lineRule="auto"/>
        <w:jc w:val="left"/>
        <w:rPr>
          <w:rFonts w:ascii="Times New Roman" w:eastAsia="宋体" w:hAnsi="Times New Roman" w:cs="宋体"/>
          <w:b/>
          <w:bCs/>
          <w:color w:val="000000" w:themeColor="text1"/>
          <w:kern w:val="0"/>
          <w:sz w:val="24"/>
          <w:szCs w:val="24"/>
        </w:rPr>
      </w:pPr>
    </w:p>
    <w:p w:rsidR="00575AEC" w:rsidRDefault="00273ACB">
      <w:pPr>
        <w:autoSpaceDE w:val="0"/>
        <w:autoSpaceDN w:val="0"/>
        <w:adjustRightInd w:val="0"/>
        <w:spacing w:before="29" w:line="288" w:lineRule="auto"/>
        <w:jc w:val="left"/>
        <w:rPr>
          <w:rFonts w:ascii="Times New Roman" w:eastAsia="宋体" w:hAnsi="Times New Roman" w:cs="宋体"/>
          <w:b/>
          <w:bCs/>
          <w:color w:val="000000" w:themeColor="text1"/>
          <w:kern w:val="0"/>
          <w:sz w:val="24"/>
          <w:szCs w:val="24"/>
        </w:rPr>
      </w:pPr>
      <w:r>
        <w:rPr>
          <w:rFonts w:ascii="Times New Roman" w:eastAsia="宋体" w:hAnsi="Times New Roman" w:cs="宋体" w:hint="eastAsia"/>
          <w:b/>
          <w:bCs/>
          <w:color w:val="000000" w:themeColor="text1"/>
          <w:kern w:val="0"/>
          <w:sz w:val="24"/>
          <w:szCs w:val="24"/>
        </w:rPr>
        <w:t>7</w:t>
      </w:r>
      <w:r>
        <w:rPr>
          <w:rFonts w:ascii="Times New Roman" w:eastAsia="宋体" w:hAnsi="Times New Roman" w:cs="宋体"/>
          <w:b/>
          <w:bCs/>
          <w:color w:val="000000" w:themeColor="text1"/>
          <w:kern w:val="0"/>
          <w:sz w:val="24"/>
          <w:szCs w:val="24"/>
        </w:rPr>
        <w:t>.</w:t>
      </w:r>
      <w:r>
        <w:rPr>
          <w:rFonts w:ascii="Times New Roman" w:eastAsia="宋体" w:hAnsi="Times New Roman" w:cs="宋体" w:hint="eastAsia"/>
          <w:b/>
          <w:bCs/>
          <w:color w:val="000000" w:themeColor="text1"/>
          <w:kern w:val="0"/>
          <w:sz w:val="24"/>
          <w:szCs w:val="24"/>
        </w:rPr>
        <w:t xml:space="preserve">2 </w:t>
      </w:r>
      <w:r>
        <w:rPr>
          <w:rFonts w:ascii="Times New Roman" w:eastAsia="宋体" w:hAnsi="Times New Roman" w:cs="宋体" w:hint="eastAsia"/>
          <w:b/>
          <w:bCs/>
          <w:color w:val="000000" w:themeColor="text1"/>
          <w:kern w:val="0"/>
          <w:sz w:val="24"/>
          <w:szCs w:val="24"/>
        </w:rPr>
        <w:t>代销机构</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w:t>
      </w:r>
      <w:r>
        <w:rPr>
          <w:rFonts w:ascii="Times New Roman" w:eastAsia="宋体" w:hAnsi="Times New Roman" w:cs="宋体" w:hint="eastAsia"/>
          <w:color w:val="000000" w:themeColor="text1"/>
          <w:kern w:val="0"/>
          <w:sz w:val="24"/>
          <w:szCs w:val="24"/>
        </w:rPr>
        <w:t>1</w:t>
      </w:r>
      <w:r>
        <w:rPr>
          <w:rFonts w:ascii="Times New Roman" w:eastAsia="宋体" w:hAnsi="Times New Roman" w:cs="宋体" w:hint="eastAsia"/>
          <w:color w:val="000000" w:themeColor="text1"/>
          <w:kern w:val="0"/>
          <w:sz w:val="24"/>
          <w:szCs w:val="24"/>
        </w:rPr>
        <w:t>）大连网金基金销售有限公司</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客服电话：</w:t>
      </w:r>
      <w:r>
        <w:rPr>
          <w:rFonts w:ascii="Times New Roman" w:eastAsia="宋体" w:hAnsi="Times New Roman" w:cs="宋体" w:hint="eastAsia"/>
          <w:color w:val="000000" w:themeColor="text1"/>
          <w:kern w:val="0"/>
          <w:sz w:val="24"/>
          <w:szCs w:val="24"/>
        </w:rPr>
        <w:t>4000-899-100</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cs="宋体"/>
          <w:color w:val="000000" w:themeColor="text1"/>
          <w:kern w:val="0"/>
          <w:sz w:val="24"/>
          <w:szCs w:val="24"/>
        </w:rPr>
      </w:pPr>
      <w:r>
        <w:rPr>
          <w:rFonts w:ascii="Times New Roman" w:eastAsia="宋体" w:hAnsi="Times New Roman" w:cs="宋体" w:hint="eastAsia"/>
          <w:color w:val="000000" w:themeColor="text1"/>
          <w:kern w:val="0"/>
          <w:sz w:val="24"/>
          <w:szCs w:val="24"/>
        </w:rPr>
        <w:t>网址：</w:t>
      </w:r>
      <w:r>
        <w:rPr>
          <w:rFonts w:ascii="Times New Roman" w:eastAsia="宋体" w:hAnsi="Times New Roman" w:cs="宋体" w:hint="eastAsia"/>
          <w:color w:val="000000" w:themeColor="text1"/>
          <w:kern w:val="0"/>
          <w:sz w:val="24"/>
          <w:szCs w:val="24"/>
        </w:rPr>
        <w:t>www.yibaijin.com</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hint="eastAsia"/>
          <w:sz w:val="24"/>
          <w:szCs w:val="24"/>
        </w:rPr>
        <w:t>2</w:t>
      </w:r>
      <w:r>
        <w:rPr>
          <w:rFonts w:ascii="Times New Roman" w:eastAsia="宋体" w:hAnsi="Times New Roman"/>
          <w:sz w:val="24"/>
          <w:szCs w:val="24"/>
        </w:rPr>
        <w:t>）</w:t>
      </w:r>
      <w:r>
        <w:rPr>
          <w:rFonts w:ascii="Times New Roman" w:eastAsia="宋体" w:hAnsi="Times New Roman" w:hint="eastAsia"/>
          <w:sz w:val="24"/>
          <w:szCs w:val="24"/>
        </w:rPr>
        <w:t>鼎信汇金（北京）投资管理有限公司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400-158-5050</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www.tl50.com</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hint="eastAsia"/>
          <w:sz w:val="24"/>
          <w:szCs w:val="24"/>
        </w:rPr>
        <w:t>3</w:t>
      </w:r>
      <w:r>
        <w:rPr>
          <w:rFonts w:ascii="Times New Roman" w:eastAsia="宋体" w:hAnsi="Times New Roman"/>
          <w:sz w:val="24"/>
          <w:szCs w:val="24"/>
        </w:rPr>
        <w:t>）</w:t>
      </w:r>
      <w:r>
        <w:rPr>
          <w:rFonts w:ascii="Times New Roman" w:eastAsia="宋体" w:hAnsi="Times New Roman" w:hint="eastAsia"/>
          <w:sz w:val="24"/>
          <w:szCs w:val="24"/>
        </w:rPr>
        <w:t>东方财富证券股份有限公司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95357</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hyperlink r:id="rId9" w:history="1">
        <w:r>
          <w:rPr>
            <w:rFonts w:ascii="Times New Roman" w:eastAsia="宋体" w:hAnsi="Times New Roman"/>
            <w:color w:val="000000"/>
            <w:sz w:val="24"/>
            <w:szCs w:val="24"/>
          </w:rPr>
          <w:t>www.xzsec.com</w:t>
        </w:r>
      </w:hyperlink>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hint="eastAsia"/>
          <w:sz w:val="24"/>
          <w:szCs w:val="24"/>
        </w:rPr>
        <w:t>4</w:t>
      </w:r>
      <w:r>
        <w:rPr>
          <w:rFonts w:ascii="Times New Roman" w:eastAsia="宋体" w:hAnsi="Times New Roman"/>
          <w:sz w:val="24"/>
          <w:szCs w:val="24"/>
        </w:rPr>
        <w:t>）</w:t>
      </w:r>
      <w:r>
        <w:rPr>
          <w:rFonts w:ascii="Times New Roman" w:eastAsia="宋体" w:hAnsi="Times New Roman" w:hint="eastAsia"/>
          <w:sz w:val="24"/>
          <w:szCs w:val="24"/>
        </w:rPr>
        <w:t>东方证券股份有限公司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95503</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r>
        <w:rPr>
          <w:rFonts w:ascii="Times New Roman" w:eastAsia="宋体" w:hAnsi="Times New Roman" w:hint="eastAsia"/>
          <w:color w:val="000000"/>
          <w:sz w:val="24"/>
          <w:szCs w:val="24"/>
        </w:rPr>
        <w:t>www.dfzq.com.cn/</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hint="eastAsia"/>
          <w:sz w:val="24"/>
          <w:szCs w:val="24"/>
        </w:rPr>
        <w:t>5</w:t>
      </w:r>
      <w:r>
        <w:rPr>
          <w:rFonts w:ascii="Times New Roman" w:eastAsia="宋体" w:hAnsi="Times New Roman"/>
          <w:sz w:val="24"/>
          <w:szCs w:val="24"/>
        </w:rPr>
        <w:t>）</w:t>
      </w:r>
      <w:r>
        <w:rPr>
          <w:rFonts w:ascii="Times New Roman" w:eastAsia="宋体" w:hAnsi="Times New Roman" w:hint="eastAsia"/>
          <w:sz w:val="24"/>
          <w:szCs w:val="24"/>
        </w:rPr>
        <w:t>北京度小满基金销售有限公司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95055</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hAnsi="Times New Roman" w:hint="eastAsia"/>
          <w:color w:val="000000"/>
          <w:sz w:val="24"/>
          <w:szCs w:val="24"/>
        </w:rPr>
        <w:t>www.duxiaoman.com</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hint="eastAsia"/>
          <w:sz w:val="24"/>
          <w:szCs w:val="24"/>
        </w:rPr>
        <w:t>6</w:t>
      </w:r>
      <w:r>
        <w:rPr>
          <w:rFonts w:ascii="Times New Roman" w:eastAsia="宋体" w:hAnsi="Times New Roman"/>
          <w:sz w:val="24"/>
          <w:szCs w:val="24"/>
        </w:rPr>
        <w:t>）</w:t>
      </w:r>
      <w:r>
        <w:rPr>
          <w:rFonts w:ascii="Times New Roman" w:eastAsia="宋体" w:hAnsi="Times New Roman" w:hint="eastAsia"/>
          <w:sz w:val="24"/>
          <w:szCs w:val="24"/>
        </w:rPr>
        <w:t>广发证券股份有限公司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hAnsi="Times New Roman" w:hint="eastAsia"/>
          <w:color w:val="000000"/>
          <w:sz w:val="24"/>
          <w:szCs w:val="24"/>
        </w:rPr>
        <w:t>95575</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hint="eastAsia"/>
          <w:color w:val="000000"/>
          <w:sz w:val="24"/>
          <w:szCs w:val="24"/>
        </w:rPr>
        <w:t>www.gf.com.cn</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hint="eastAsia"/>
          <w:sz w:val="24"/>
          <w:szCs w:val="24"/>
        </w:rPr>
        <w:t>7</w:t>
      </w:r>
      <w:r>
        <w:rPr>
          <w:rFonts w:ascii="Times New Roman" w:eastAsia="宋体" w:hAnsi="Times New Roman"/>
          <w:sz w:val="24"/>
          <w:szCs w:val="24"/>
        </w:rPr>
        <w:t>）</w:t>
      </w:r>
      <w:r>
        <w:rPr>
          <w:rFonts w:ascii="Times New Roman" w:eastAsia="宋体" w:hAnsi="Times New Roman" w:hint="eastAsia"/>
          <w:sz w:val="24"/>
          <w:szCs w:val="24"/>
        </w:rPr>
        <w:t>贵州省贵文文化基金销售有限公司</w:t>
      </w:r>
    </w:p>
    <w:p w:rsidR="00575AEC" w:rsidRDefault="00273ACB">
      <w:pPr>
        <w:spacing w:line="288" w:lineRule="auto"/>
        <w:ind w:firstLine="480"/>
      </w:pPr>
      <w:r>
        <w:rPr>
          <w:rFonts w:hint="eastAsia"/>
        </w:rPr>
        <w:t>客服电话：</w:t>
      </w:r>
      <w:r>
        <w:rPr>
          <w:rFonts w:ascii="Times New Roman" w:eastAsia="宋体" w:hAnsi="Times New Roman"/>
          <w:color w:val="000000"/>
          <w:sz w:val="24"/>
          <w:szCs w:val="24"/>
        </w:rPr>
        <w:t>0851-85407888</w:t>
      </w:r>
    </w:p>
    <w:p w:rsidR="00575AEC" w:rsidRDefault="00273ACB">
      <w:pPr>
        <w:spacing w:line="288" w:lineRule="auto"/>
        <w:ind w:firstLine="480"/>
        <w:rPr>
          <w:rFonts w:ascii="Times New Roman" w:hAnsi="Times New Roman"/>
          <w:color w:val="000000"/>
          <w:sz w:val="24"/>
          <w:szCs w:val="24"/>
        </w:rPr>
      </w:pPr>
      <w:r>
        <w:rPr>
          <w:rFonts w:hint="eastAsia"/>
        </w:rPr>
        <w:t>网址：</w:t>
      </w:r>
      <w:r>
        <w:rPr>
          <w:rFonts w:ascii="Times New Roman" w:hAnsi="Times New Roman"/>
          <w:color w:val="000000"/>
          <w:sz w:val="24"/>
          <w:szCs w:val="24"/>
        </w:rPr>
        <w:t>https://www.gwcaifu.com</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hint="eastAsia"/>
          <w:sz w:val="24"/>
          <w:szCs w:val="24"/>
        </w:rPr>
        <w:t>8</w:t>
      </w:r>
      <w:r>
        <w:rPr>
          <w:rFonts w:ascii="Times New Roman" w:eastAsia="宋体" w:hAnsi="Times New Roman"/>
          <w:sz w:val="24"/>
          <w:szCs w:val="24"/>
        </w:rPr>
        <w:t>）</w:t>
      </w:r>
      <w:r>
        <w:rPr>
          <w:rFonts w:ascii="Times New Roman" w:eastAsia="宋体" w:hAnsi="Times New Roman" w:hint="eastAsia"/>
          <w:sz w:val="24"/>
          <w:szCs w:val="24"/>
        </w:rPr>
        <w:t>国金证券股份有限公司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95310</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hyperlink r:id="rId10" w:history="1">
        <w:r>
          <w:rPr>
            <w:rFonts w:ascii="Times New Roman" w:eastAsia="宋体" w:hAnsi="Times New Roman"/>
            <w:color w:val="000000"/>
            <w:sz w:val="24"/>
            <w:szCs w:val="24"/>
          </w:rPr>
          <w:t>www.gjzq.com.cn</w:t>
        </w:r>
      </w:hyperlink>
    </w:p>
    <w:p w:rsidR="00575AEC" w:rsidRDefault="00273ACB">
      <w:pPr>
        <w:spacing w:line="288" w:lineRule="auto"/>
        <w:ind w:firstLine="480"/>
      </w:pPr>
      <w:r>
        <w:rPr>
          <w:rFonts w:ascii="Times New Roman" w:eastAsia="宋体" w:hAnsi="Times New Roman"/>
          <w:sz w:val="24"/>
          <w:szCs w:val="24"/>
        </w:rPr>
        <w:t>（</w:t>
      </w:r>
      <w:r>
        <w:rPr>
          <w:rFonts w:ascii="Times New Roman" w:hAnsi="Times New Roman" w:hint="eastAsia"/>
          <w:sz w:val="24"/>
          <w:szCs w:val="24"/>
        </w:rPr>
        <w:t>9</w:t>
      </w:r>
      <w:r>
        <w:rPr>
          <w:rFonts w:ascii="Times New Roman" w:eastAsia="宋体" w:hAnsi="Times New Roman"/>
          <w:sz w:val="24"/>
          <w:szCs w:val="24"/>
        </w:rPr>
        <w:t>）</w:t>
      </w:r>
      <w:r>
        <w:rPr>
          <w:rFonts w:ascii="Times New Roman" w:eastAsia="宋体" w:hAnsi="Times New Roman" w:hint="eastAsia"/>
          <w:sz w:val="24"/>
          <w:szCs w:val="24"/>
        </w:rPr>
        <w:t>国泰海通证券股份有限公司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95553/95521</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r>
        <w:rPr>
          <w:rFonts w:ascii="Times New Roman" w:hAnsi="Times New Roman" w:hint="eastAsia"/>
          <w:color w:val="000000"/>
          <w:sz w:val="24"/>
          <w:szCs w:val="24"/>
        </w:rPr>
        <w:t>www.gtht.com</w:t>
      </w:r>
    </w:p>
    <w:p w:rsidR="00575AEC" w:rsidRDefault="00273ACB">
      <w:pPr>
        <w:spacing w:line="288" w:lineRule="auto"/>
        <w:ind w:firstLine="480"/>
      </w:pPr>
      <w:r>
        <w:rPr>
          <w:rFonts w:ascii="Times New Roman" w:eastAsia="宋体" w:hAnsi="Times New Roman"/>
          <w:sz w:val="24"/>
          <w:szCs w:val="24"/>
        </w:rPr>
        <w:t>（</w:t>
      </w:r>
      <w:r>
        <w:rPr>
          <w:rFonts w:ascii="Times New Roman" w:hAnsi="Times New Roman" w:hint="eastAsia"/>
          <w:sz w:val="24"/>
          <w:szCs w:val="24"/>
        </w:rPr>
        <w:t>10</w:t>
      </w:r>
      <w:r>
        <w:rPr>
          <w:rFonts w:ascii="Times New Roman" w:eastAsia="宋体" w:hAnsi="Times New Roman"/>
          <w:sz w:val="24"/>
          <w:szCs w:val="24"/>
        </w:rPr>
        <w:t>）</w:t>
      </w:r>
      <w:r>
        <w:rPr>
          <w:rFonts w:ascii="Times New Roman" w:eastAsia="宋体" w:hAnsi="Times New Roman" w:hint="eastAsia"/>
          <w:sz w:val="24"/>
          <w:szCs w:val="24"/>
        </w:rPr>
        <w:t>国投证券股份有限公司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95517/4008-001-001</w:t>
      </w:r>
    </w:p>
    <w:p w:rsidR="00575AEC" w:rsidRDefault="00273ACB">
      <w:pPr>
        <w:spacing w:line="288" w:lineRule="auto"/>
        <w:ind w:firstLine="480"/>
        <w:rPr>
          <w:rFonts w:ascii="Times New Roman" w:hAnsi="Times New Roman"/>
          <w:color w:val="000000"/>
          <w:sz w:val="24"/>
          <w:szCs w:val="24"/>
        </w:rPr>
      </w:pPr>
      <w:r>
        <w:rPr>
          <w:rFonts w:ascii="Times New Roman" w:eastAsia="宋体" w:hAnsi="Times New Roman" w:hint="eastAsia"/>
          <w:sz w:val="24"/>
          <w:szCs w:val="24"/>
        </w:rPr>
        <w:t>网址：</w:t>
      </w:r>
      <w:hyperlink r:id="rId11" w:history="1">
        <w:r>
          <w:rPr>
            <w:rFonts w:ascii="Times New Roman" w:eastAsia="宋体" w:hAnsi="Times New Roman"/>
            <w:color w:val="000000"/>
            <w:sz w:val="24"/>
            <w:szCs w:val="24"/>
          </w:rPr>
          <w:t>www.sdicsc.com.cn</w:t>
        </w:r>
      </w:hyperlink>
    </w:p>
    <w:p w:rsidR="00575AEC" w:rsidRDefault="00273ACB">
      <w:pPr>
        <w:spacing w:line="288" w:lineRule="auto"/>
        <w:ind w:firstLine="480"/>
      </w:pPr>
      <w:r>
        <w:rPr>
          <w:rFonts w:ascii="Times New Roman" w:eastAsia="宋体" w:hAnsi="Times New Roman"/>
          <w:sz w:val="24"/>
          <w:szCs w:val="24"/>
        </w:rPr>
        <w:t>（</w:t>
      </w:r>
      <w:r>
        <w:rPr>
          <w:rFonts w:ascii="Times New Roman" w:hAnsi="Times New Roman" w:hint="eastAsia"/>
          <w:sz w:val="24"/>
          <w:szCs w:val="24"/>
        </w:rPr>
        <w:t>11</w:t>
      </w:r>
      <w:r>
        <w:rPr>
          <w:rFonts w:ascii="Times New Roman" w:eastAsia="宋体" w:hAnsi="Times New Roman"/>
          <w:sz w:val="24"/>
          <w:szCs w:val="24"/>
        </w:rPr>
        <w:t>）</w:t>
      </w:r>
      <w:r>
        <w:rPr>
          <w:rFonts w:ascii="Times New Roman" w:eastAsia="宋体" w:hAnsi="Times New Roman" w:hint="eastAsia"/>
          <w:sz w:val="24"/>
          <w:szCs w:val="24"/>
        </w:rPr>
        <w:t>国信证券股份有限公司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95536</w:t>
      </w:r>
    </w:p>
    <w:p w:rsidR="00575AEC" w:rsidRDefault="00273ACB">
      <w:pPr>
        <w:spacing w:line="288" w:lineRule="auto"/>
        <w:ind w:firstLine="480"/>
        <w:rPr>
          <w:rFonts w:ascii="Times New Roman" w:hAnsi="Times New Roman"/>
          <w:color w:val="000000"/>
          <w:sz w:val="24"/>
          <w:szCs w:val="24"/>
        </w:rPr>
      </w:pPr>
      <w:r>
        <w:rPr>
          <w:rFonts w:ascii="Times New Roman" w:eastAsia="宋体" w:hAnsi="Times New Roman" w:hint="eastAsia"/>
          <w:sz w:val="24"/>
          <w:szCs w:val="24"/>
        </w:rPr>
        <w:t>网址：</w:t>
      </w:r>
      <w:r>
        <w:rPr>
          <w:rFonts w:ascii="Times New Roman" w:eastAsia="宋体" w:hAnsi="Times New Roman"/>
          <w:color w:val="000000"/>
          <w:sz w:val="24"/>
          <w:szCs w:val="24"/>
        </w:rPr>
        <w:t>www.guosen.com.cn</w:t>
      </w:r>
    </w:p>
    <w:p w:rsidR="00575AEC" w:rsidRDefault="00273ACB">
      <w:pPr>
        <w:spacing w:line="288" w:lineRule="auto"/>
        <w:ind w:firstLine="480"/>
      </w:pPr>
      <w:r>
        <w:rPr>
          <w:rFonts w:ascii="Times New Roman" w:eastAsia="宋体" w:hAnsi="Times New Roman"/>
          <w:sz w:val="24"/>
          <w:szCs w:val="24"/>
        </w:rPr>
        <w:t>（</w:t>
      </w:r>
      <w:r>
        <w:rPr>
          <w:rFonts w:ascii="Times New Roman" w:hAnsi="Times New Roman" w:hint="eastAsia"/>
          <w:sz w:val="24"/>
          <w:szCs w:val="24"/>
        </w:rPr>
        <w:t>12</w:t>
      </w:r>
      <w:r>
        <w:rPr>
          <w:rFonts w:ascii="Times New Roman" w:eastAsia="宋体" w:hAnsi="Times New Roman"/>
          <w:sz w:val="24"/>
          <w:szCs w:val="24"/>
        </w:rPr>
        <w:t>）</w:t>
      </w:r>
      <w:r>
        <w:rPr>
          <w:rFonts w:ascii="Times New Roman" w:eastAsia="宋体" w:hAnsi="Times New Roman" w:hint="eastAsia"/>
          <w:sz w:val="24"/>
          <w:szCs w:val="24"/>
        </w:rPr>
        <w:t>上海好买基金销售有限公司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400-700-9665</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r>
        <w:rPr>
          <w:rFonts w:ascii="Times New Roman" w:eastAsia="宋体" w:hAnsi="Times New Roman"/>
          <w:color w:val="000000"/>
          <w:sz w:val="24"/>
          <w:szCs w:val="24"/>
        </w:rPr>
        <w:t>www.howbuy.com</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hint="eastAsia"/>
          <w:sz w:val="24"/>
          <w:szCs w:val="24"/>
        </w:rPr>
        <w:t>3</w:t>
      </w:r>
      <w:r>
        <w:rPr>
          <w:rFonts w:ascii="Times New Roman" w:eastAsia="宋体" w:hAnsi="Times New Roman"/>
          <w:sz w:val="24"/>
          <w:szCs w:val="24"/>
        </w:rPr>
        <w:t>）</w:t>
      </w:r>
      <w:r>
        <w:rPr>
          <w:rFonts w:ascii="Times New Roman" w:eastAsia="宋体" w:hAnsi="Times New Roman" w:hint="eastAsia"/>
          <w:sz w:val="24"/>
          <w:szCs w:val="24"/>
        </w:rPr>
        <w:t>华泰证券股份有限公司</w:t>
      </w:r>
    </w:p>
    <w:p w:rsidR="00575AEC" w:rsidRDefault="00273ACB">
      <w:pPr>
        <w:spacing w:line="288" w:lineRule="auto"/>
        <w:ind w:firstLine="480"/>
      </w:pPr>
      <w:r>
        <w:rPr>
          <w:rFonts w:hint="eastAsia"/>
        </w:rPr>
        <w:t>客服电话：</w:t>
      </w:r>
      <w:r>
        <w:rPr>
          <w:rFonts w:ascii="Times New Roman" w:eastAsia="宋体" w:hAnsi="Times New Roman" w:hint="eastAsia"/>
          <w:color w:val="000000"/>
          <w:sz w:val="24"/>
          <w:szCs w:val="24"/>
        </w:rPr>
        <w:t>95597</w:t>
      </w:r>
    </w:p>
    <w:p w:rsidR="00575AEC" w:rsidRDefault="00273ACB">
      <w:pPr>
        <w:spacing w:line="288" w:lineRule="auto"/>
        <w:ind w:firstLine="480"/>
      </w:pPr>
      <w:r>
        <w:rPr>
          <w:rFonts w:hint="eastAsia"/>
        </w:rPr>
        <w:t>网址：</w:t>
      </w:r>
      <w:r>
        <w:rPr>
          <w:rFonts w:ascii="Times New Roman" w:eastAsia="宋体" w:hAnsi="Times New Roman"/>
          <w:color w:val="000000"/>
          <w:sz w:val="24"/>
          <w:szCs w:val="24"/>
        </w:rPr>
        <w:t>www.htsc.com.cn</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hint="eastAsia"/>
          <w:sz w:val="24"/>
          <w:szCs w:val="24"/>
        </w:rPr>
        <w:t>4</w:t>
      </w:r>
      <w:r>
        <w:rPr>
          <w:rFonts w:ascii="Times New Roman" w:eastAsia="宋体" w:hAnsi="Times New Roman"/>
          <w:sz w:val="24"/>
          <w:szCs w:val="24"/>
        </w:rPr>
        <w:t>）</w:t>
      </w:r>
      <w:r>
        <w:rPr>
          <w:rFonts w:ascii="Times New Roman" w:eastAsia="宋体" w:hAnsi="Times New Roman" w:hint="eastAsia"/>
          <w:sz w:val="24"/>
          <w:szCs w:val="24"/>
        </w:rPr>
        <w:t>北京汇成基金销售有限公司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010-63158805</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www.hcfunds.com</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sz w:val="24"/>
          <w:szCs w:val="24"/>
        </w:rPr>
        <w:t>1</w:t>
      </w:r>
      <w:r>
        <w:rPr>
          <w:rFonts w:ascii="Times New Roman" w:hAnsi="Times New Roman" w:hint="eastAsia"/>
          <w:sz w:val="24"/>
          <w:szCs w:val="24"/>
        </w:rPr>
        <w:t>5</w:t>
      </w:r>
      <w:r>
        <w:rPr>
          <w:rFonts w:ascii="Times New Roman" w:eastAsia="宋体" w:hAnsi="Times New Roman"/>
          <w:sz w:val="24"/>
          <w:szCs w:val="24"/>
        </w:rPr>
        <w:t>）</w:t>
      </w:r>
      <w:r>
        <w:rPr>
          <w:rFonts w:ascii="Times New Roman" w:eastAsia="宋体" w:hAnsi="Times New Roman" w:hint="eastAsia"/>
          <w:sz w:val="24"/>
          <w:szCs w:val="24"/>
        </w:rPr>
        <w:t>嘉实财富管理有限公司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400-021-8850</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hyperlink r:id="rId12" w:history="1">
        <w:r>
          <w:rPr>
            <w:rFonts w:ascii="Times New Roman" w:eastAsia="宋体" w:hAnsi="Times New Roman"/>
            <w:color w:val="000000"/>
            <w:sz w:val="24"/>
            <w:szCs w:val="24"/>
          </w:rPr>
          <w:t>www.harvestwm.cn</w:t>
        </w:r>
      </w:hyperlink>
    </w:p>
    <w:p w:rsidR="00575AEC" w:rsidRDefault="00273ACB">
      <w:pPr>
        <w:spacing w:line="288" w:lineRule="auto"/>
        <w:ind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hint="eastAsia"/>
          <w:sz w:val="24"/>
          <w:szCs w:val="24"/>
        </w:rPr>
        <w:t>6</w:t>
      </w:r>
      <w:r>
        <w:rPr>
          <w:rFonts w:ascii="Times New Roman" w:eastAsia="宋体" w:hAnsi="Times New Roman"/>
          <w:sz w:val="24"/>
          <w:szCs w:val="24"/>
        </w:rPr>
        <w:t>）</w:t>
      </w:r>
      <w:r>
        <w:rPr>
          <w:rFonts w:ascii="Times New Roman" w:eastAsia="宋体" w:hAnsi="Times New Roman" w:hint="eastAsia"/>
          <w:sz w:val="24"/>
          <w:szCs w:val="24"/>
        </w:rPr>
        <w:t>京东肯特瑞基金销售有限公司</w:t>
      </w:r>
    </w:p>
    <w:p w:rsidR="00575AEC" w:rsidRDefault="00273ACB">
      <w:pPr>
        <w:spacing w:line="288" w:lineRule="auto"/>
        <w:ind w:firstLine="480"/>
        <w:rPr>
          <w:rFonts w:ascii="Times New Roman" w:eastAsia="宋体" w:hAnsi="Times New Roman"/>
          <w:sz w:val="24"/>
          <w:szCs w:val="24"/>
        </w:rPr>
      </w:pPr>
      <w:r>
        <w:rPr>
          <w:rFonts w:ascii="Times New Roman" w:eastAsia="宋体" w:hAnsi="Times New Roman" w:hint="eastAsia"/>
          <w:sz w:val="24"/>
          <w:szCs w:val="24"/>
        </w:rPr>
        <w:t>客服电话：</w:t>
      </w:r>
      <w:r>
        <w:rPr>
          <w:rFonts w:ascii="Times New Roman" w:eastAsia="宋体" w:hAnsi="Times New Roman" w:hint="eastAsia"/>
          <w:sz w:val="24"/>
          <w:szCs w:val="24"/>
        </w:rPr>
        <w:t>95118</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http://kenterui.jd.com</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hint="eastAsia"/>
          <w:sz w:val="24"/>
          <w:szCs w:val="24"/>
        </w:rPr>
        <w:t>7</w:t>
      </w:r>
      <w:r>
        <w:rPr>
          <w:rFonts w:ascii="Times New Roman" w:eastAsia="宋体" w:hAnsi="Times New Roman"/>
          <w:sz w:val="24"/>
          <w:szCs w:val="24"/>
        </w:rPr>
        <w:t>）</w:t>
      </w:r>
      <w:r>
        <w:rPr>
          <w:rFonts w:ascii="Times New Roman" w:eastAsia="宋体" w:hAnsi="Times New Roman" w:hint="eastAsia"/>
          <w:sz w:val="24"/>
          <w:szCs w:val="24"/>
        </w:rPr>
        <w:t>上海利得基金销售有限公司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400-820-9935</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www.leadfund.com.cn</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hint="eastAsia"/>
          <w:sz w:val="24"/>
          <w:szCs w:val="24"/>
        </w:rPr>
        <w:t>18</w:t>
      </w:r>
      <w:r>
        <w:rPr>
          <w:rFonts w:ascii="Times New Roman" w:eastAsia="宋体" w:hAnsi="Times New Roman"/>
          <w:sz w:val="24"/>
          <w:szCs w:val="24"/>
        </w:rPr>
        <w:t>）</w:t>
      </w:r>
      <w:r>
        <w:rPr>
          <w:rFonts w:ascii="Times New Roman" w:eastAsia="宋体" w:hAnsi="Times New Roman" w:hint="eastAsia"/>
          <w:sz w:val="24"/>
          <w:szCs w:val="24"/>
        </w:rPr>
        <w:t>上海联泰基金销售有限公司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400-118-1188</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www.66liantai.com</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hint="eastAsia"/>
          <w:sz w:val="24"/>
          <w:szCs w:val="24"/>
        </w:rPr>
        <w:t>19</w:t>
      </w:r>
      <w:r>
        <w:rPr>
          <w:rFonts w:ascii="Times New Roman" w:eastAsia="宋体" w:hAnsi="Times New Roman"/>
          <w:sz w:val="24"/>
          <w:szCs w:val="24"/>
        </w:rPr>
        <w:t>）</w:t>
      </w:r>
      <w:r>
        <w:rPr>
          <w:rFonts w:ascii="Times New Roman" w:eastAsia="宋体" w:hAnsi="Times New Roman" w:hint="eastAsia"/>
          <w:sz w:val="24"/>
          <w:szCs w:val="24"/>
        </w:rPr>
        <w:t>上海陆金所基金销售有限公司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400-821-9031</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hAnsi="Times New Roman" w:hint="eastAsia"/>
          <w:color w:val="000000"/>
          <w:sz w:val="24"/>
          <w:szCs w:val="24"/>
        </w:rPr>
        <w:t>www.lufunds.com</w:t>
      </w:r>
    </w:p>
    <w:p w:rsidR="00575AEC" w:rsidRDefault="00273ACB">
      <w:pPr>
        <w:spacing w:line="288" w:lineRule="auto"/>
        <w:ind w:firstLine="480"/>
      </w:pPr>
      <w:r>
        <w:rPr>
          <w:rFonts w:ascii="Times New Roman" w:eastAsia="宋体" w:hAnsi="Times New Roman"/>
          <w:sz w:val="24"/>
          <w:szCs w:val="24"/>
        </w:rPr>
        <w:t>（</w:t>
      </w:r>
      <w:r>
        <w:rPr>
          <w:rFonts w:ascii="Times New Roman" w:eastAsia="宋体" w:hAnsi="Times New Roman"/>
          <w:sz w:val="24"/>
          <w:szCs w:val="24"/>
        </w:rPr>
        <w:t>2</w:t>
      </w:r>
      <w:r>
        <w:rPr>
          <w:rFonts w:ascii="Times New Roman" w:eastAsia="宋体" w:hAnsi="Times New Roman" w:hint="eastAsia"/>
          <w:sz w:val="24"/>
          <w:szCs w:val="24"/>
        </w:rPr>
        <w:t>0</w:t>
      </w:r>
      <w:r>
        <w:rPr>
          <w:rFonts w:ascii="Times New Roman" w:eastAsia="宋体" w:hAnsi="Times New Roman"/>
          <w:sz w:val="24"/>
          <w:szCs w:val="24"/>
        </w:rPr>
        <w:t>）</w:t>
      </w:r>
      <w:r>
        <w:rPr>
          <w:rFonts w:ascii="Times New Roman" w:eastAsia="宋体" w:hAnsi="Times New Roman" w:hint="eastAsia"/>
          <w:sz w:val="24"/>
          <w:szCs w:val="24"/>
        </w:rPr>
        <w:t>蚂蚁（杭州）基金销售有限公司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95188-8</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www.fund123.cn</w:t>
      </w:r>
    </w:p>
    <w:p w:rsidR="00575AEC" w:rsidRDefault="00273ACB">
      <w:pPr>
        <w:spacing w:line="288" w:lineRule="auto"/>
        <w:ind w:firstLine="48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21</w:t>
      </w:r>
      <w:r>
        <w:rPr>
          <w:rFonts w:ascii="Times New Roman" w:eastAsia="宋体" w:hAnsi="Times New Roman" w:hint="eastAsia"/>
          <w:sz w:val="24"/>
          <w:szCs w:val="24"/>
        </w:rPr>
        <w:t>）诺亚正行基金销售有限公司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400-821-5399</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www.noah-fund.com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22</w:t>
      </w:r>
      <w:r>
        <w:rPr>
          <w:rFonts w:ascii="Times New Roman" w:eastAsia="宋体" w:hAnsi="Times New Roman" w:hint="eastAsia"/>
          <w:sz w:val="24"/>
          <w:szCs w:val="24"/>
        </w:rPr>
        <w:t>）上海攀赢基金销售有限公司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021-68889082</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www.weonefunds.com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23</w:t>
      </w:r>
      <w:r>
        <w:rPr>
          <w:rFonts w:ascii="Times New Roman" w:eastAsia="宋体" w:hAnsi="Times New Roman" w:hint="eastAsia"/>
          <w:sz w:val="24"/>
          <w:szCs w:val="24"/>
        </w:rPr>
        <w:t>）平安证券股份有限公司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95511</w:t>
      </w:r>
      <w:r>
        <w:rPr>
          <w:rFonts w:hint="eastAsia"/>
        </w:rPr>
        <w:t>转</w:t>
      </w:r>
      <w:r>
        <w:rPr>
          <w:rFonts w:ascii="Times New Roman" w:eastAsia="宋体" w:hAnsi="Times New Roman"/>
          <w:color w:val="000000"/>
          <w:sz w:val="24"/>
          <w:szCs w:val="24"/>
        </w:rPr>
        <w:t>8</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https://stock.pingan.com/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24</w:t>
      </w:r>
      <w:r>
        <w:rPr>
          <w:rFonts w:ascii="Times New Roman" w:eastAsia="宋体" w:hAnsi="Times New Roman" w:hint="eastAsia"/>
          <w:sz w:val="24"/>
          <w:szCs w:val="24"/>
        </w:rPr>
        <w:t>）泛华普益基金销售有限公司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400-080-3388</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www.puyifund.com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25</w:t>
      </w:r>
      <w:r>
        <w:rPr>
          <w:rFonts w:ascii="Times New Roman" w:eastAsia="宋体" w:hAnsi="Times New Roman" w:hint="eastAsia"/>
          <w:sz w:val="24"/>
          <w:szCs w:val="24"/>
        </w:rPr>
        <w:t>）宜信普泽</w:t>
      </w:r>
      <w:r>
        <w:rPr>
          <w:rFonts w:ascii="Times New Roman" w:eastAsia="宋体" w:hAnsi="Times New Roman" w:hint="eastAsia"/>
          <w:sz w:val="24"/>
          <w:szCs w:val="24"/>
        </w:rPr>
        <w:t>(</w:t>
      </w:r>
      <w:r>
        <w:rPr>
          <w:rFonts w:ascii="Times New Roman" w:eastAsia="宋体" w:hAnsi="Times New Roman" w:hint="eastAsia"/>
          <w:sz w:val="24"/>
          <w:szCs w:val="24"/>
        </w:rPr>
        <w:t>北京</w:t>
      </w:r>
      <w:r>
        <w:rPr>
          <w:rFonts w:ascii="Times New Roman" w:eastAsia="宋体" w:hAnsi="Times New Roman" w:hint="eastAsia"/>
          <w:sz w:val="24"/>
          <w:szCs w:val="24"/>
        </w:rPr>
        <w:t>)</w:t>
      </w:r>
      <w:r>
        <w:rPr>
          <w:rFonts w:ascii="Times New Roman" w:eastAsia="宋体" w:hAnsi="Times New Roman" w:hint="eastAsia"/>
          <w:sz w:val="24"/>
          <w:szCs w:val="24"/>
        </w:rPr>
        <w:t>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400-6099-200</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hAnsi="Times New Roman" w:hint="eastAsia"/>
          <w:color w:val="000000"/>
          <w:sz w:val="24"/>
          <w:szCs w:val="24"/>
        </w:rPr>
        <w:t>https://www.puzefund.com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26</w:t>
      </w:r>
      <w:r>
        <w:rPr>
          <w:rFonts w:ascii="Times New Roman" w:eastAsia="宋体" w:hAnsi="Times New Roman" w:hint="eastAsia"/>
          <w:sz w:val="24"/>
          <w:szCs w:val="24"/>
        </w:rPr>
        <w:t>）上海农村商业银行股份有限公司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021-962999/400-696-2999</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www.src</w:t>
      </w:r>
      <w:r>
        <w:rPr>
          <w:rFonts w:ascii="Times New Roman" w:eastAsia="宋体" w:hAnsi="Times New Roman"/>
          <w:color w:val="000000"/>
          <w:sz w:val="24"/>
          <w:szCs w:val="24"/>
        </w:rPr>
        <w:t>b.com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27</w:t>
      </w:r>
      <w:r>
        <w:rPr>
          <w:rFonts w:ascii="Times New Roman" w:eastAsia="宋体" w:hAnsi="Times New Roman" w:hint="eastAsia"/>
          <w:sz w:val="24"/>
          <w:szCs w:val="24"/>
        </w:rPr>
        <w:t>）上海银行股份有限公司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95594</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www.bankofshanghai.com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28</w:t>
      </w:r>
      <w:r>
        <w:rPr>
          <w:rFonts w:ascii="Times New Roman" w:eastAsia="宋体" w:hAnsi="Times New Roman" w:hint="eastAsia"/>
          <w:sz w:val="24"/>
          <w:szCs w:val="24"/>
        </w:rPr>
        <w:t>）南京苏宁基金销售有限公司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95177</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www.snjijin.com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29</w:t>
      </w:r>
      <w:r>
        <w:rPr>
          <w:rFonts w:ascii="Times New Roman" w:eastAsia="宋体" w:hAnsi="Times New Roman" w:hint="eastAsia"/>
          <w:sz w:val="24"/>
          <w:szCs w:val="24"/>
        </w:rPr>
        <w:t>）泰信财富基金销售有限公司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400-004-8821</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www.taixincf.com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30</w:t>
      </w:r>
      <w:r>
        <w:rPr>
          <w:rFonts w:ascii="Times New Roman" w:eastAsia="宋体" w:hAnsi="Times New Roman" w:hint="eastAsia"/>
          <w:sz w:val="24"/>
          <w:szCs w:val="24"/>
        </w:rPr>
        <w:t>）腾安基金销售</w:t>
      </w:r>
      <w:r>
        <w:rPr>
          <w:rFonts w:ascii="Times New Roman" w:eastAsia="宋体" w:hAnsi="Times New Roman" w:hint="eastAsia"/>
          <w:sz w:val="24"/>
          <w:szCs w:val="24"/>
        </w:rPr>
        <w:t>(</w:t>
      </w:r>
      <w:r>
        <w:rPr>
          <w:rFonts w:ascii="Times New Roman" w:eastAsia="宋体" w:hAnsi="Times New Roman" w:hint="eastAsia"/>
          <w:sz w:val="24"/>
          <w:szCs w:val="24"/>
        </w:rPr>
        <w:t>深圳</w:t>
      </w:r>
      <w:r>
        <w:rPr>
          <w:rFonts w:ascii="Times New Roman" w:eastAsia="宋体" w:hAnsi="Times New Roman" w:hint="eastAsia"/>
          <w:sz w:val="24"/>
          <w:szCs w:val="24"/>
        </w:rPr>
        <w:t>)</w:t>
      </w:r>
      <w:r>
        <w:rPr>
          <w:rFonts w:ascii="Times New Roman" w:eastAsia="宋体" w:hAnsi="Times New Roman" w:hint="eastAsia"/>
          <w:sz w:val="24"/>
          <w:szCs w:val="24"/>
        </w:rPr>
        <w:t>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4000-890-555</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www.txfund.com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31</w:t>
      </w:r>
      <w:r>
        <w:rPr>
          <w:rFonts w:ascii="Times New Roman" w:eastAsia="宋体" w:hAnsi="Times New Roman" w:hint="eastAsia"/>
          <w:sz w:val="24"/>
          <w:szCs w:val="24"/>
        </w:rPr>
        <w:t>）上海天天基金销售有限公司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95021</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www.1234567.com.cn</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32</w:t>
      </w:r>
      <w:r>
        <w:rPr>
          <w:rFonts w:ascii="Times New Roman" w:eastAsia="宋体" w:hAnsi="Times New Roman" w:hint="eastAsia"/>
          <w:sz w:val="24"/>
          <w:szCs w:val="24"/>
        </w:rPr>
        <w:t>）浙江同花顺基金销售有限公司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952555</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www.5ifund.com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33</w:t>
      </w:r>
      <w:r>
        <w:rPr>
          <w:rFonts w:ascii="Times New Roman" w:eastAsia="宋体" w:hAnsi="Times New Roman" w:hint="eastAsia"/>
          <w:sz w:val="24"/>
          <w:szCs w:val="24"/>
        </w:rPr>
        <w:t>）上海万得基金销售有限公司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021-50712782</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hyperlink r:id="rId13" w:history="1">
        <w:r>
          <w:rPr>
            <w:rFonts w:ascii="Times New Roman" w:eastAsia="宋体" w:hAnsi="Times New Roman"/>
            <w:color w:val="000000"/>
            <w:sz w:val="24"/>
            <w:szCs w:val="24"/>
          </w:rPr>
          <w:t>www.520fund.com.cn</w:t>
        </w:r>
      </w:hyperlink>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34</w:t>
      </w:r>
      <w:r>
        <w:rPr>
          <w:rFonts w:ascii="Times New Roman" w:eastAsia="宋体" w:hAnsi="Times New Roman" w:hint="eastAsia"/>
          <w:sz w:val="24"/>
          <w:szCs w:val="24"/>
        </w:rPr>
        <w:t>）</w:t>
      </w:r>
      <w:r>
        <w:rPr>
          <w:rFonts w:ascii="Times New Roman" w:hAnsi="Times New Roman" w:hint="eastAsia"/>
          <w:sz w:val="24"/>
          <w:szCs w:val="24"/>
        </w:rPr>
        <w:t>万联证券股份有限公司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hAnsi="Times New Roman" w:hint="eastAsia"/>
          <w:color w:val="000000"/>
          <w:sz w:val="24"/>
          <w:szCs w:val="24"/>
        </w:rPr>
        <w:t>95322</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r>
        <w:rPr>
          <w:rFonts w:ascii="Times New Roman" w:hAnsi="Times New Roman" w:hint="eastAsia"/>
          <w:color w:val="000000"/>
          <w:sz w:val="24"/>
          <w:szCs w:val="24"/>
        </w:rPr>
        <w:t>www.wlzq.cn</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35</w:t>
      </w:r>
      <w:r>
        <w:rPr>
          <w:rFonts w:ascii="Times New Roman" w:eastAsia="宋体" w:hAnsi="Times New Roman" w:hint="eastAsia"/>
          <w:sz w:val="24"/>
          <w:szCs w:val="24"/>
        </w:rPr>
        <w:t>）西部证券股份有限公司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95582</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hAnsi="Times New Roman" w:hint="eastAsia"/>
          <w:color w:val="000000"/>
          <w:sz w:val="24"/>
          <w:szCs w:val="24"/>
        </w:rPr>
        <w:t>www.west95582.com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3</w:t>
      </w:r>
      <w:r>
        <w:rPr>
          <w:rFonts w:ascii="Times New Roman" w:eastAsia="宋体" w:hAnsi="Times New Roman" w:hint="eastAsia"/>
          <w:sz w:val="24"/>
          <w:szCs w:val="24"/>
        </w:rPr>
        <w:t>6</w:t>
      </w:r>
      <w:r>
        <w:rPr>
          <w:rFonts w:ascii="Times New Roman" w:eastAsia="宋体" w:hAnsi="Times New Roman" w:hint="eastAsia"/>
          <w:sz w:val="24"/>
          <w:szCs w:val="24"/>
        </w:rPr>
        <w:t>）玄元保险代理有限公司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400-080-8208</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https://www.licaimofang.com/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37</w:t>
      </w:r>
      <w:r>
        <w:rPr>
          <w:rFonts w:ascii="Times New Roman" w:eastAsia="宋体" w:hAnsi="Times New Roman" w:hint="eastAsia"/>
          <w:sz w:val="24"/>
          <w:szCs w:val="24"/>
        </w:rPr>
        <w:t>）北京雪球基金销售有限公司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400-159-9288</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https://danjuanapp.com/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38</w:t>
      </w:r>
      <w:r>
        <w:rPr>
          <w:rFonts w:ascii="Times New Roman" w:eastAsia="宋体" w:hAnsi="Times New Roman" w:hint="eastAsia"/>
          <w:sz w:val="24"/>
          <w:szCs w:val="24"/>
        </w:rPr>
        <w:t>）奕丰基金销售有限公司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400-684-0500</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www.ifastps.com.cn</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39</w:t>
      </w:r>
      <w:r>
        <w:rPr>
          <w:rFonts w:ascii="Times New Roman" w:eastAsia="宋体" w:hAnsi="Times New Roman" w:hint="eastAsia"/>
          <w:sz w:val="24"/>
          <w:szCs w:val="24"/>
        </w:rPr>
        <w:t>）珠海盈米基金销售有限公司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020-89629066</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www.yingmi.cn</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4</w:t>
      </w:r>
      <w:r>
        <w:rPr>
          <w:rFonts w:ascii="Times New Roman" w:hAnsi="Times New Roman" w:hint="eastAsia"/>
          <w:sz w:val="24"/>
          <w:szCs w:val="24"/>
        </w:rPr>
        <w:t>0</w:t>
      </w:r>
      <w:r>
        <w:rPr>
          <w:rFonts w:ascii="Times New Roman" w:eastAsia="宋体" w:hAnsi="Times New Roman" w:hint="eastAsia"/>
          <w:sz w:val="24"/>
          <w:szCs w:val="24"/>
        </w:rPr>
        <w:t>）长江证券股份有限公司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400-8888-999/95579</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hint="eastAsia"/>
          <w:color w:val="000000"/>
          <w:sz w:val="24"/>
          <w:szCs w:val="24"/>
        </w:rPr>
        <w:t>www.95579.com</w:t>
      </w:r>
    </w:p>
    <w:p w:rsidR="00575AEC" w:rsidRDefault="00273ACB">
      <w:pPr>
        <w:spacing w:line="288" w:lineRule="auto"/>
        <w:ind w:firstLine="480"/>
      </w:pPr>
      <w:r>
        <w:rPr>
          <w:rFonts w:ascii="Times New Roman" w:eastAsia="宋体" w:hAnsi="Times New Roman" w:hint="eastAsia"/>
          <w:sz w:val="24"/>
          <w:szCs w:val="24"/>
        </w:rPr>
        <w:t>（</w:t>
      </w:r>
      <w:r>
        <w:rPr>
          <w:rFonts w:ascii="Times New Roman" w:hAnsi="Times New Roman" w:hint="eastAsia"/>
          <w:sz w:val="24"/>
          <w:szCs w:val="24"/>
        </w:rPr>
        <w:t>41</w:t>
      </w:r>
      <w:r>
        <w:rPr>
          <w:rFonts w:ascii="Times New Roman" w:eastAsia="宋体" w:hAnsi="Times New Roman" w:hint="eastAsia"/>
          <w:sz w:val="24"/>
          <w:szCs w:val="24"/>
        </w:rPr>
        <w:t>）上海长量基金销售有限公司</w:t>
      </w:r>
    </w:p>
    <w:p w:rsidR="00575AEC" w:rsidRDefault="00273ACB">
      <w:pPr>
        <w:spacing w:line="288" w:lineRule="auto"/>
        <w:ind w:firstLine="480"/>
      </w:pPr>
      <w:r>
        <w:rPr>
          <w:rFonts w:hint="eastAsia"/>
        </w:rPr>
        <w:t>客服电话：</w:t>
      </w:r>
      <w:r>
        <w:rPr>
          <w:rFonts w:ascii="Times New Roman" w:eastAsia="宋体" w:hAnsi="Times New Roman"/>
          <w:color w:val="000000"/>
          <w:sz w:val="24"/>
          <w:szCs w:val="24"/>
        </w:rPr>
        <w:t>400-820-2899</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hyperlink r:id="rId14" w:history="1">
        <w:r>
          <w:rPr>
            <w:rFonts w:ascii="Times New Roman" w:eastAsia="宋体" w:hAnsi="Times New Roman"/>
            <w:color w:val="000000"/>
            <w:sz w:val="24"/>
            <w:szCs w:val="24"/>
          </w:rPr>
          <w:t>www.erichfund.com</w:t>
        </w:r>
      </w:hyperlink>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42</w:t>
      </w:r>
      <w:r>
        <w:rPr>
          <w:rFonts w:ascii="Times New Roman" w:eastAsia="宋体" w:hAnsi="Times New Roman" w:hint="eastAsia"/>
          <w:sz w:val="24"/>
          <w:szCs w:val="24"/>
        </w:rPr>
        <w:t>）招商证券股份有限公司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95565/0755-95565</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hyperlink r:id="rId15" w:history="1">
        <w:r>
          <w:rPr>
            <w:rFonts w:ascii="Times New Roman" w:eastAsia="宋体" w:hAnsi="Times New Roman" w:hint="eastAsia"/>
            <w:color w:val="000000"/>
            <w:sz w:val="24"/>
            <w:szCs w:val="24"/>
          </w:rPr>
          <w:t>www.cmschina.com</w:t>
        </w:r>
      </w:hyperlink>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43</w:t>
      </w:r>
      <w:r>
        <w:rPr>
          <w:rFonts w:ascii="Times New Roman" w:eastAsia="宋体" w:hAnsi="Times New Roman" w:hint="eastAsia"/>
          <w:sz w:val="24"/>
          <w:szCs w:val="24"/>
        </w:rPr>
        <w:t>）中国中金财富证券有限公司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95532/400-600-8008</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r>
        <w:rPr>
          <w:rFonts w:ascii="Times New Roman" w:eastAsia="宋体" w:hAnsi="Times New Roman"/>
          <w:color w:val="000000"/>
          <w:sz w:val="24"/>
          <w:szCs w:val="24"/>
        </w:rPr>
        <w:t>www.ciccwm.com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4</w:t>
      </w:r>
      <w:r>
        <w:rPr>
          <w:rFonts w:ascii="Times New Roman" w:hAnsi="Times New Roman" w:hint="eastAsia"/>
          <w:sz w:val="24"/>
          <w:szCs w:val="24"/>
        </w:rPr>
        <w:t>4</w:t>
      </w:r>
      <w:r>
        <w:rPr>
          <w:rFonts w:ascii="Times New Roman" w:eastAsia="宋体" w:hAnsi="Times New Roman" w:hint="eastAsia"/>
          <w:sz w:val="24"/>
          <w:szCs w:val="24"/>
        </w:rPr>
        <w:t>）上海中欧财富基金销售有限公司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400-100-2666</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hyperlink r:id="rId16" w:history="1">
        <w:r>
          <w:rPr>
            <w:rFonts w:ascii="Times New Roman" w:eastAsia="宋体" w:hAnsi="Times New Roman"/>
            <w:color w:val="000000"/>
            <w:sz w:val="24"/>
            <w:szCs w:val="24"/>
          </w:rPr>
          <w:t>www.zocaifu.com</w:t>
        </w:r>
      </w:hyperlink>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4</w:t>
      </w:r>
      <w:r>
        <w:rPr>
          <w:rFonts w:ascii="Times New Roman" w:hAnsi="Times New Roman" w:hint="eastAsia"/>
          <w:sz w:val="24"/>
          <w:szCs w:val="24"/>
        </w:rPr>
        <w:t>5</w:t>
      </w:r>
      <w:r>
        <w:rPr>
          <w:rFonts w:ascii="Times New Roman" w:eastAsia="宋体" w:hAnsi="Times New Roman" w:hint="eastAsia"/>
          <w:sz w:val="24"/>
          <w:szCs w:val="24"/>
        </w:rPr>
        <w:t>）中泰证券股份有限公司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95538</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r>
        <w:rPr>
          <w:rFonts w:ascii="Times New Roman" w:eastAsia="宋体" w:hAnsi="Times New Roman" w:hint="eastAsia"/>
          <w:color w:val="000000"/>
          <w:sz w:val="24"/>
          <w:szCs w:val="24"/>
        </w:rPr>
        <w:t>www.zts.com.cn</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46</w:t>
      </w:r>
      <w:r>
        <w:rPr>
          <w:rFonts w:ascii="Times New Roman" w:eastAsia="宋体" w:hAnsi="Times New Roman" w:hint="eastAsia"/>
          <w:sz w:val="24"/>
          <w:szCs w:val="24"/>
        </w:rPr>
        <w:t>）中信建投证券股份有限公司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4008-888-108/95587</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www.csc108.com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47</w:t>
      </w:r>
      <w:r>
        <w:rPr>
          <w:rFonts w:ascii="Times New Roman" w:eastAsia="宋体" w:hAnsi="Times New Roman" w:hint="eastAsia"/>
          <w:sz w:val="24"/>
          <w:szCs w:val="24"/>
        </w:rPr>
        <w:t>）中信期货有限公司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400-990-8826</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www.citicsf.com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48</w:t>
      </w:r>
      <w:r>
        <w:rPr>
          <w:rFonts w:ascii="Times New Roman" w:eastAsia="宋体" w:hAnsi="Times New Roman" w:hint="eastAsia"/>
          <w:sz w:val="24"/>
          <w:szCs w:val="24"/>
        </w:rPr>
        <w:t>）中信证券股份有限公司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95548</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hyperlink r:id="rId17" w:history="1">
        <w:r>
          <w:rPr>
            <w:rFonts w:ascii="Times New Roman" w:eastAsia="宋体" w:hAnsi="Times New Roman"/>
            <w:color w:val="000000"/>
            <w:sz w:val="24"/>
            <w:szCs w:val="24"/>
          </w:rPr>
          <w:t>www.cs.ecitic.com</w:t>
        </w:r>
      </w:hyperlink>
    </w:p>
    <w:p w:rsidR="00575AEC" w:rsidRDefault="00273ACB">
      <w:pPr>
        <w:spacing w:line="288" w:lineRule="auto"/>
        <w:ind w:firstLine="48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49</w:t>
      </w:r>
      <w:r>
        <w:rPr>
          <w:rFonts w:ascii="Times New Roman" w:eastAsia="宋体" w:hAnsi="Times New Roman" w:hint="eastAsia"/>
          <w:sz w:val="24"/>
          <w:szCs w:val="24"/>
        </w:rPr>
        <w:t>）中信证券（山东）有限责任公司</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客服电话：</w:t>
      </w:r>
      <w:r>
        <w:rPr>
          <w:rFonts w:ascii="Times New Roman" w:hAnsi="Times New Roman" w:hint="eastAsia"/>
          <w:color w:val="000000"/>
          <w:sz w:val="24"/>
          <w:szCs w:val="24"/>
        </w:rPr>
        <w:t>95548/400-899-5548</w:t>
      </w:r>
    </w:p>
    <w:p w:rsidR="00575AEC" w:rsidRDefault="00273ACB">
      <w:pPr>
        <w:spacing w:line="288" w:lineRule="auto"/>
        <w:ind w:firstLine="480"/>
        <w:rPr>
          <w:rFonts w:ascii="Times New Roman" w:eastAsia="宋体" w:hAnsi="Times New Roman"/>
          <w:color w:val="000000"/>
          <w:sz w:val="24"/>
          <w:szCs w:val="24"/>
        </w:rPr>
      </w:pPr>
      <w:r>
        <w:rPr>
          <w:rFonts w:ascii="Times New Roman" w:eastAsia="宋体" w:hAnsi="Times New Roman" w:hint="eastAsia"/>
          <w:sz w:val="24"/>
          <w:szCs w:val="24"/>
        </w:rPr>
        <w:t>网址：</w:t>
      </w:r>
      <w:r>
        <w:rPr>
          <w:rFonts w:ascii="Times New Roman" w:eastAsia="宋体" w:hAnsi="Times New Roman"/>
          <w:color w:val="000000"/>
          <w:sz w:val="24"/>
          <w:szCs w:val="24"/>
        </w:rPr>
        <w:t>http://sd.citics.com</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5</w:t>
      </w:r>
      <w:r>
        <w:rPr>
          <w:rFonts w:ascii="Times New Roman" w:hAnsi="Times New Roman" w:hint="eastAsia"/>
          <w:sz w:val="24"/>
          <w:szCs w:val="24"/>
        </w:rPr>
        <w:t>0</w:t>
      </w:r>
      <w:r>
        <w:rPr>
          <w:rFonts w:ascii="Times New Roman" w:eastAsia="宋体" w:hAnsi="Times New Roman" w:hint="eastAsia"/>
          <w:sz w:val="24"/>
          <w:szCs w:val="24"/>
        </w:rPr>
        <w:t>）中信证券华南股份有限公司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color w:val="000000"/>
          <w:sz w:val="24"/>
          <w:szCs w:val="24"/>
        </w:rPr>
        <w:t>95548</w:t>
      </w:r>
    </w:p>
    <w:p w:rsidR="00575AEC" w:rsidRDefault="00273ACB">
      <w:pPr>
        <w:spacing w:line="288" w:lineRule="auto"/>
        <w:ind w:firstLine="480"/>
      </w:pPr>
      <w:r>
        <w:rPr>
          <w:rFonts w:ascii="Times New Roman" w:eastAsia="宋体" w:hAnsi="Times New Roman" w:hint="eastAsia"/>
          <w:sz w:val="24"/>
          <w:szCs w:val="24"/>
        </w:rPr>
        <w:t>网址：</w:t>
      </w:r>
      <w:r>
        <w:rPr>
          <w:rFonts w:ascii="Times New Roman" w:eastAsia="宋体" w:hAnsi="Times New Roman"/>
          <w:color w:val="000000"/>
          <w:sz w:val="24"/>
          <w:szCs w:val="24"/>
        </w:rPr>
        <w:t>www.gzs.com.cn</w:t>
      </w:r>
    </w:p>
    <w:p w:rsidR="00575AEC" w:rsidRDefault="00273ACB">
      <w:pPr>
        <w:spacing w:line="288" w:lineRule="auto"/>
        <w:ind w:firstLine="480"/>
      </w:pPr>
      <w:r>
        <w:rPr>
          <w:rFonts w:ascii="Times New Roman" w:eastAsia="宋体" w:hAnsi="Times New Roman" w:hint="eastAsia"/>
          <w:sz w:val="24"/>
          <w:szCs w:val="24"/>
        </w:rPr>
        <w:t>（</w:t>
      </w:r>
      <w:r>
        <w:rPr>
          <w:rFonts w:ascii="Times New Roman" w:eastAsia="宋体" w:hAnsi="Times New Roman" w:hint="eastAsia"/>
          <w:sz w:val="24"/>
          <w:szCs w:val="24"/>
        </w:rPr>
        <w:t>5</w:t>
      </w:r>
      <w:r>
        <w:rPr>
          <w:rFonts w:ascii="Times New Roman" w:hAnsi="Times New Roman" w:hint="eastAsia"/>
          <w:sz w:val="24"/>
          <w:szCs w:val="24"/>
        </w:rPr>
        <w:t>1</w:t>
      </w:r>
      <w:r>
        <w:rPr>
          <w:rFonts w:ascii="Times New Roman" w:eastAsia="宋体" w:hAnsi="Times New Roman" w:hint="eastAsia"/>
          <w:sz w:val="24"/>
          <w:szCs w:val="24"/>
        </w:rPr>
        <w:t>）上海中正达广基金销售有限公司</w:t>
      </w:r>
    </w:p>
    <w:p w:rsidR="00575AEC" w:rsidRDefault="00273ACB">
      <w:pPr>
        <w:spacing w:line="288" w:lineRule="auto"/>
        <w:ind w:firstLine="480"/>
      </w:pPr>
      <w:r>
        <w:rPr>
          <w:rFonts w:ascii="Times New Roman" w:eastAsia="宋体" w:hAnsi="Times New Roman" w:hint="eastAsia"/>
          <w:sz w:val="24"/>
          <w:szCs w:val="24"/>
        </w:rPr>
        <w:t>客服电话：</w:t>
      </w:r>
      <w:r>
        <w:rPr>
          <w:rFonts w:ascii="Times New Roman" w:eastAsia="宋体" w:hAnsi="Times New Roman" w:hint="eastAsia"/>
          <w:color w:val="000000"/>
          <w:sz w:val="24"/>
          <w:szCs w:val="24"/>
        </w:rPr>
        <w:t>400-6767-523/021-33635338</w:t>
      </w:r>
    </w:p>
    <w:p w:rsidR="00575AEC" w:rsidRDefault="00273ACB">
      <w:pPr>
        <w:autoSpaceDE w:val="0"/>
        <w:autoSpaceDN w:val="0"/>
        <w:adjustRightInd w:val="0"/>
        <w:spacing w:before="29" w:line="288" w:lineRule="auto"/>
        <w:ind w:firstLineChars="200" w:firstLine="480"/>
        <w:jc w:val="left"/>
        <w:rPr>
          <w:rFonts w:ascii="Times New Roman" w:eastAsia="宋体" w:hAnsi="Times New Roman"/>
          <w:color w:val="000000"/>
          <w:sz w:val="24"/>
          <w:szCs w:val="24"/>
        </w:rPr>
      </w:pPr>
      <w:r>
        <w:rPr>
          <w:rFonts w:ascii="Times New Roman" w:eastAsia="宋体" w:hAnsi="Times New Roman" w:hint="eastAsia"/>
          <w:sz w:val="24"/>
          <w:szCs w:val="24"/>
        </w:rPr>
        <w:t>网址：</w:t>
      </w:r>
      <w:hyperlink r:id="rId18" w:history="1">
        <w:r>
          <w:rPr>
            <w:rFonts w:ascii="Times New Roman" w:eastAsia="宋体" w:hAnsi="Times New Roman"/>
            <w:color w:val="000000"/>
            <w:sz w:val="24"/>
            <w:szCs w:val="24"/>
          </w:rPr>
          <w:t>www.zhongzhengfund.com</w:t>
        </w:r>
      </w:hyperlink>
    </w:p>
    <w:p w:rsidR="00575AEC" w:rsidRDefault="00575AEC">
      <w:pPr>
        <w:autoSpaceDE w:val="0"/>
        <w:autoSpaceDN w:val="0"/>
        <w:adjustRightInd w:val="0"/>
        <w:spacing w:before="29" w:line="288" w:lineRule="auto"/>
        <w:ind w:firstLineChars="200" w:firstLine="480"/>
        <w:jc w:val="left"/>
        <w:rPr>
          <w:rFonts w:ascii="Times New Roman" w:eastAsia="宋体" w:hAnsi="Times New Roman"/>
          <w:color w:val="000000"/>
          <w:sz w:val="24"/>
          <w:szCs w:val="24"/>
        </w:rPr>
      </w:pPr>
    </w:p>
    <w:p w:rsidR="00575AEC" w:rsidRDefault="00273ACB">
      <w:pPr>
        <w:autoSpaceDE w:val="0"/>
        <w:autoSpaceDN w:val="0"/>
        <w:adjustRightInd w:val="0"/>
        <w:spacing w:before="29" w:line="288"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投资人可以通过上述销售机构办理本基金的相关业务，具体业务办理日期、时间及办理程序，以各销售机构相关规定为准。</w:t>
      </w:r>
    </w:p>
    <w:p w:rsidR="00575AEC" w:rsidRDefault="00575AEC">
      <w:pPr>
        <w:autoSpaceDE w:val="0"/>
        <w:autoSpaceDN w:val="0"/>
        <w:adjustRightInd w:val="0"/>
        <w:spacing w:before="29" w:line="288" w:lineRule="auto"/>
        <w:jc w:val="left"/>
        <w:rPr>
          <w:rFonts w:ascii="MS Sans Serif" w:hAnsi="MS Sans Serif" w:cs="MS Sans Serif"/>
          <w:color w:val="000000"/>
          <w:kern w:val="0"/>
          <w:sz w:val="23"/>
          <w:szCs w:val="23"/>
        </w:rPr>
      </w:pPr>
    </w:p>
    <w:p w:rsidR="00575AEC" w:rsidRDefault="00273ACB">
      <w:pPr>
        <w:autoSpaceDE w:val="0"/>
        <w:autoSpaceDN w:val="0"/>
        <w:adjustRightInd w:val="0"/>
        <w:spacing w:before="29" w:line="288" w:lineRule="auto"/>
        <w:jc w:val="left"/>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8</w:t>
      </w:r>
      <w:r>
        <w:rPr>
          <w:rFonts w:ascii="宋体" w:eastAsia="宋体" w:hAnsi="Arial" w:cs="宋体"/>
          <w:b/>
          <w:bCs/>
          <w:color w:val="000000"/>
          <w:kern w:val="0"/>
          <w:sz w:val="24"/>
          <w:szCs w:val="24"/>
        </w:rPr>
        <w:t xml:space="preserve"> </w:t>
      </w:r>
      <w:r>
        <w:rPr>
          <w:rFonts w:ascii="宋体" w:eastAsia="宋体" w:hAnsi="Arial" w:cs="宋体" w:hint="eastAsia"/>
          <w:b/>
          <w:bCs/>
          <w:color w:val="000000"/>
          <w:kern w:val="0"/>
          <w:sz w:val="24"/>
          <w:szCs w:val="24"/>
        </w:rPr>
        <w:t>基金份额净值公告的披露安排</w:t>
      </w:r>
    </w:p>
    <w:p w:rsidR="00575AEC" w:rsidRDefault="00273ACB">
      <w:pPr>
        <w:spacing w:line="360" w:lineRule="auto"/>
        <w:ind w:firstLineChars="200" w:firstLine="480"/>
        <w:rPr>
          <w:bCs/>
          <w:sz w:val="24"/>
        </w:rPr>
      </w:pPr>
      <w:r>
        <w:rPr>
          <w:bCs/>
          <w:sz w:val="24"/>
        </w:rPr>
        <w:t>在开始办理基金份额申购或者赎回后，基金管理人应当在不晚于每个开放日的次日，通过规定网站、基金销售机构网站或者营业网点披露开放日的各类基金份额净值和各类基金份额累计净值。</w:t>
      </w:r>
    </w:p>
    <w:p w:rsidR="00575AEC" w:rsidRDefault="00575AEC">
      <w:pPr>
        <w:autoSpaceDE w:val="0"/>
        <w:autoSpaceDN w:val="0"/>
        <w:adjustRightInd w:val="0"/>
        <w:spacing w:before="29" w:line="360" w:lineRule="auto"/>
        <w:jc w:val="left"/>
        <w:rPr>
          <w:rFonts w:ascii="MS Sans Serif" w:hAnsi="MS Sans Serif" w:cs="MS Sans Serif"/>
          <w:color w:val="000000"/>
          <w:kern w:val="0"/>
          <w:sz w:val="23"/>
          <w:szCs w:val="23"/>
        </w:rPr>
      </w:pPr>
    </w:p>
    <w:p w:rsidR="00575AEC" w:rsidRDefault="00273ACB">
      <w:pPr>
        <w:autoSpaceDE w:val="0"/>
        <w:autoSpaceDN w:val="0"/>
        <w:adjustRightInd w:val="0"/>
        <w:spacing w:before="29" w:line="360" w:lineRule="auto"/>
        <w:jc w:val="left"/>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9</w:t>
      </w:r>
      <w:r>
        <w:rPr>
          <w:rFonts w:ascii="宋体" w:eastAsia="宋体" w:hAnsi="Arial" w:cs="宋体"/>
          <w:b/>
          <w:bCs/>
          <w:color w:val="000000"/>
          <w:kern w:val="0"/>
          <w:sz w:val="24"/>
          <w:szCs w:val="24"/>
        </w:rPr>
        <w:t xml:space="preserve"> </w:t>
      </w:r>
      <w:r>
        <w:rPr>
          <w:rFonts w:ascii="宋体" w:eastAsia="宋体" w:hAnsi="Arial" w:cs="宋体" w:hint="eastAsia"/>
          <w:b/>
          <w:bCs/>
          <w:color w:val="000000"/>
          <w:kern w:val="0"/>
          <w:sz w:val="24"/>
          <w:szCs w:val="24"/>
        </w:rPr>
        <w:t>其他需要提示的事项</w:t>
      </w:r>
    </w:p>
    <w:p w:rsidR="00575AEC" w:rsidRDefault="00273ACB">
      <w:pPr>
        <w:autoSpaceDE w:val="0"/>
        <w:autoSpaceDN w:val="0"/>
        <w:adjustRightInd w:val="0"/>
        <w:spacing w:before="29" w:line="288" w:lineRule="auto"/>
        <w:ind w:firstLineChars="200" w:firstLine="48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1</w:t>
      </w:r>
      <w:r>
        <w:rPr>
          <w:rFonts w:ascii="宋体" w:eastAsia="宋体" w:hAnsi="Arial" w:cs="宋体" w:hint="eastAsia"/>
          <w:color w:val="000000"/>
          <w:kern w:val="0"/>
          <w:sz w:val="24"/>
          <w:szCs w:val="24"/>
        </w:rPr>
        <w:t>）投资者欲了解本基金的详细情况，请查阅本基金的招募说明书及基金份额发售公告，同时可以拨打上银基金管理有限公司客户服务电话</w:t>
      </w:r>
      <w:r>
        <w:rPr>
          <w:rFonts w:ascii="宋体" w:eastAsia="宋体" w:hAnsi="Arial" w:cs="宋体"/>
          <w:color w:val="000000"/>
          <w:kern w:val="0"/>
          <w:sz w:val="24"/>
          <w:szCs w:val="24"/>
        </w:rPr>
        <w:t>021-60231999</w:t>
      </w:r>
      <w:r>
        <w:rPr>
          <w:rFonts w:ascii="宋体" w:eastAsia="宋体" w:hAnsi="Arial" w:cs="宋体" w:hint="eastAsia"/>
          <w:color w:val="000000"/>
          <w:kern w:val="0"/>
          <w:sz w:val="24"/>
          <w:szCs w:val="24"/>
        </w:rPr>
        <w:t>咨询相关事宜，或登录网站获取相关信息。</w:t>
      </w:r>
    </w:p>
    <w:p w:rsidR="00575AEC" w:rsidRDefault="00273ACB">
      <w:pPr>
        <w:autoSpaceDE w:val="0"/>
        <w:autoSpaceDN w:val="0"/>
        <w:adjustRightInd w:val="0"/>
        <w:spacing w:before="29" w:line="288" w:lineRule="auto"/>
        <w:ind w:firstLineChars="200" w:firstLine="48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2</w:t>
      </w:r>
      <w:r>
        <w:rPr>
          <w:rFonts w:ascii="宋体" w:eastAsia="宋体" w:hAnsi="Arial" w:cs="宋体" w:hint="eastAsia"/>
          <w:color w:val="000000"/>
          <w:kern w:val="0"/>
          <w:sz w:val="24"/>
          <w:szCs w:val="24"/>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本基金管理人提醒投资者基金投资的“买者自负”原则，在做出投</w:t>
      </w:r>
      <w:r>
        <w:rPr>
          <w:rFonts w:ascii="宋体" w:eastAsia="宋体" w:hAnsi="Arial" w:cs="宋体" w:hint="eastAsia"/>
          <w:color w:val="000000"/>
          <w:kern w:val="0"/>
          <w:sz w:val="24"/>
          <w:szCs w:val="24"/>
        </w:rPr>
        <w:t>资决策后，基金运营状况与基金净值变化引致的投资风险，由投资者自行负担。</w:t>
      </w:r>
    </w:p>
    <w:p w:rsidR="00575AEC" w:rsidRDefault="00273ACB">
      <w:pPr>
        <w:autoSpaceDE w:val="0"/>
        <w:autoSpaceDN w:val="0"/>
        <w:adjustRightInd w:val="0"/>
        <w:spacing w:before="29" w:line="288" w:lineRule="auto"/>
        <w:ind w:firstLineChars="200" w:firstLine="48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特此公告。</w:t>
      </w:r>
    </w:p>
    <w:p w:rsidR="00575AEC" w:rsidRDefault="00575AEC">
      <w:pPr>
        <w:autoSpaceDE w:val="0"/>
        <w:autoSpaceDN w:val="0"/>
        <w:adjustRightInd w:val="0"/>
        <w:spacing w:before="29" w:line="288" w:lineRule="auto"/>
        <w:ind w:firstLineChars="200" w:firstLine="480"/>
        <w:jc w:val="left"/>
        <w:rPr>
          <w:rFonts w:ascii="宋体" w:eastAsia="宋体" w:hAnsi="Arial" w:cs="宋体"/>
          <w:color w:val="000000"/>
          <w:kern w:val="0"/>
          <w:sz w:val="24"/>
          <w:szCs w:val="24"/>
        </w:rPr>
      </w:pPr>
    </w:p>
    <w:p w:rsidR="00575AEC" w:rsidRDefault="00273ACB">
      <w:pPr>
        <w:autoSpaceDE w:val="0"/>
        <w:autoSpaceDN w:val="0"/>
        <w:adjustRightInd w:val="0"/>
        <w:spacing w:before="29" w:line="288" w:lineRule="auto"/>
        <w:jc w:val="right"/>
        <w:rPr>
          <w:rFonts w:ascii="宋体" w:eastAsia="宋体" w:hAnsi="Arial" w:cs="宋体"/>
          <w:color w:val="000000"/>
          <w:kern w:val="0"/>
          <w:sz w:val="24"/>
          <w:szCs w:val="24"/>
        </w:rPr>
      </w:pPr>
      <w:r>
        <w:rPr>
          <w:rFonts w:ascii="宋体" w:eastAsia="宋体" w:hAnsi="Arial" w:cs="宋体" w:hint="eastAsia"/>
          <w:color w:val="000000"/>
          <w:kern w:val="0"/>
          <w:sz w:val="24"/>
          <w:szCs w:val="24"/>
        </w:rPr>
        <w:t>上银基金管理有限公司</w:t>
      </w:r>
      <w:r>
        <w:rPr>
          <w:rFonts w:ascii="宋体" w:eastAsia="宋体" w:hAnsi="Arial" w:cs="宋体"/>
          <w:color w:val="000000"/>
          <w:kern w:val="0"/>
          <w:sz w:val="24"/>
          <w:szCs w:val="24"/>
        </w:rPr>
        <w:t xml:space="preserve"> </w:t>
      </w:r>
    </w:p>
    <w:p w:rsidR="00575AEC" w:rsidRDefault="00273ACB">
      <w:pPr>
        <w:autoSpaceDE w:val="0"/>
        <w:autoSpaceDN w:val="0"/>
        <w:adjustRightInd w:val="0"/>
        <w:spacing w:before="29" w:line="288" w:lineRule="auto"/>
        <w:jc w:val="right"/>
        <w:rPr>
          <w:rFonts w:ascii="宋体" w:eastAsia="宋体" w:hAnsi="Arial" w:cs="宋体"/>
          <w:color w:val="000000"/>
          <w:kern w:val="0"/>
          <w:sz w:val="24"/>
          <w:szCs w:val="24"/>
        </w:rPr>
      </w:pPr>
      <w:r>
        <w:rPr>
          <w:rFonts w:ascii="Times New Roman" w:hAnsi="Times New Roman" w:hint="eastAsia"/>
          <w:color w:val="000000"/>
          <w:kern w:val="0"/>
          <w:sz w:val="24"/>
          <w:szCs w:val="24"/>
        </w:rPr>
        <w:t>二〇二六</w:t>
      </w:r>
      <w:r>
        <w:rPr>
          <w:rFonts w:ascii="Times New Roman" w:hAnsi="Times New Roman"/>
          <w:color w:val="000000"/>
          <w:kern w:val="0"/>
          <w:sz w:val="24"/>
          <w:szCs w:val="24"/>
        </w:rPr>
        <w:t>年</w:t>
      </w:r>
      <w:r>
        <w:rPr>
          <w:rFonts w:ascii="Times New Roman" w:hAnsi="Times New Roman" w:hint="eastAsia"/>
          <w:color w:val="000000"/>
          <w:kern w:val="0"/>
          <w:sz w:val="24"/>
          <w:szCs w:val="24"/>
        </w:rPr>
        <w:t>一</w:t>
      </w:r>
      <w:r>
        <w:rPr>
          <w:rFonts w:ascii="Times New Roman" w:hAnsi="Times New Roman"/>
          <w:color w:val="000000"/>
          <w:kern w:val="0"/>
          <w:sz w:val="24"/>
          <w:szCs w:val="24"/>
        </w:rPr>
        <w:t>月</w:t>
      </w:r>
      <w:r>
        <w:rPr>
          <w:rFonts w:ascii="Times New Roman" w:hAnsi="Times New Roman" w:hint="eastAsia"/>
          <w:color w:val="000000"/>
          <w:kern w:val="0"/>
          <w:sz w:val="24"/>
          <w:szCs w:val="24"/>
        </w:rPr>
        <w:t>八</w:t>
      </w:r>
      <w:r>
        <w:rPr>
          <w:rFonts w:ascii="Times New Roman" w:hAnsi="Times New Roman"/>
          <w:color w:val="000000"/>
          <w:kern w:val="0"/>
          <w:sz w:val="24"/>
          <w:szCs w:val="24"/>
        </w:rPr>
        <w:t>日</w:t>
      </w:r>
    </w:p>
    <w:sectPr w:rsidR="00575AEC" w:rsidSect="00575AEC">
      <w:footerReference w:type="default" r:id="rId19"/>
      <w:pgSz w:w="11926" w:h="15840"/>
      <w:pgMar w:top="1440" w:right="1800" w:bottom="1440" w:left="1800" w:header="851"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AEC" w:rsidRDefault="00575AEC" w:rsidP="00575AEC">
      <w:r>
        <w:separator/>
      </w:r>
    </w:p>
  </w:endnote>
  <w:endnote w:type="continuationSeparator" w:id="0">
    <w:p w:rsidR="00575AEC" w:rsidRDefault="00575AEC" w:rsidP="00575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w.摷漹麙.">
    <w:altName w:val="宋体"/>
    <w:charset w:val="86"/>
    <w:family w:val="roman"/>
    <w:pitch w:val="default"/>
    <w:sig w:usb0="00000000" w:usb1="00000000" w:usb2="00000010" w:usb3="00000000" w:csb0="00040000" w:csb1="00000000"/>
  </w:font>
  <w:font w:name="MS Sans Serif">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AEC" w:rsidRDefault="00575AEC">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AEC" w:rsidRDefault="00575AEC" w:rsidP="00575AEC">
      <w:r>
        <w:separator/>
      </w:r>
    </w:p>
  </w:footnote>
  <w:footnote w:type="continuationSeparator" w:id="0">
    <w:p w:rsidR="00575AEC" w:rsidRDefault="00575AEC" w:rsidP="00575A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trackRevision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3BC5"/>
    <w:rsid w:val="00004380"/>
    <w:rsid w:val="000055FC"/>
    <w:rsid w:val="000118D9"/>
    <w:rsid w:val="00022B15"/>
    <w:rsid w:val="000328ED"/>
    <w:rsid w:val="00033F20"/>
    <w:rsid w:val="00053016"/>
    <w:rsid w:val="00053118"/>
    <w:rsid w:val="00060B3D"/>
    <w:rsid w:val="00061605"/>
    <w:rsid w:val="00065145"/>
    <w:rsid w:val="000651DA"/>
    <w:rsid w:val="00065417"/>
    <w:rsid w:val="00067D91"/>
    <w:rsid w:val="000774BF"/>
    <w:rsid w:val="00083651"/>
    <w:rsid w:val="00095185"/>
    <w:rsid w:val="000A6399"/>
    <w:rsid w:val="000B065C"/>
    <w:rsid w:val="000B1B7D"/>
    <w:rsid w:val="000B5E33"/>
    <w:rsid w:val="000C0088"/>
    <w:rsid w:val="000C0DA2"/>
    <w:rsid w:val="000C24E9"/>
    <w:rsid w:val="000C333E"/>
    <w:rsid w:val="000D0BF8"/>
    <w:rsid w:val="000E23A3"/>
    <w:rsid w:val="000E59D4"/>
    <w:rsid w:val="000F32EC"/>
    <w:rsid w:val="000F46B6"/>
    <w:rsid w:val="00103C09"/>
    <w:rsid w:val="00111129"/>
    <w:rsid w:val="001170B3"/>
    <w:rsid w:val="001170FE"/>
    <w:rsid w:val="0012093D"/>
    <w:rsid w:val="0012172B"/>
    <w:rsid w:val="001246EC"/>
    <w:rsid w:val="00131181"/>
    <w:rsid w:val="001437AB"/>
    <w:rsid w:val="001647CE"/>
    <w:rsid w:val="0016776E"/>
    <w:rsid w:val="00172A27"/>
    <w:rsid w:val="001747C6"/>
    <w:rsid w:val="00174CEF"/>
    <w:rsid w:val="0017573B"/>
    <w:rsid w:val="00175BFA"/>
    <w:rsid w:val="00176384"/>
    <w:rsid w:val="001815DD"/>
    <w:rsid w:val="001841C5"/>
    <w:rsid w:val="00184ED9"/>
    <w:rsid w:val="00185993"/>
    <w:rsid w:val="00185A3C"/>
    <w:rsid w:val="001868DC"/>
    <w:rsid w:val="00187D61"/>
    <w:rsid w:val="00192299"/>
    <w:rsid w:val="00192ED7"/>
    <w:rsid w:val="0019330C"/>
    <w:rsid w:val="00195EC4"/>
    <w:rsid w:val="001970AA"/>
    <w:rsid w:val="00197797"/>
    <w:rsid w:val="001A059F"/>
    <w:rsid w:val="001A34DA"/>
    <w:rsid w:val="001B1881"/>
    <w:rsid w:val="001B3C3F"/>
    <w:rsid w:val="001B4B73"/>
    <w:rsid w:val="001B7A93"/>
    <w:rsid w:val="001C1CC9"/>
    <w:rsid w:val="001C67A9"/>
    <w:rsid w:val="001C6977"/>
    <w:rsid w:val="001E1E82"/>
    <w:rsid w:val="001E3395"/>
    <w:rsid w:val="001F293B"/>
    <w:rsid w:val="001F2DBE"/>
    <w:rsid w:val="001F4DAE"/>
    <w:rsid w:val="001F524E"/>
    <w:rsid w:val="00203493"/>
    <w:rsid w:val="00205585"/>
    <w:rsid w:val="00211B39"/>
    <w:rsid w:val="00213AC8"/>
    <w:rsid w:val="0022390D"/>
    <w:rsid w:val="0022447E"/>
    <w:rsid w:val="002278C0"/>
    <w:rsid w:val="002447C1"/>
    <w:rsid w:val="002503A5"/>
    <w:rsid w:val="0025242A"/>
    <w:rsid w:val="00263781"/>
    <w:rsid w:val="00263B46"/>
    <w:rsid w:val="00267D41"/>
    <w:rsid w:val="00271A74"/>
    <w:rsid w:val="00273ACB"/>
    <w:rsid w:val="00280853"/>
    <w:rsid w:val="0028407F"/>
    <w:rsid w:val="002860EC"/>
    <w:rsid w:val="00296419"/>
    <w:rsid w:val="00297A5C"/>
    <w:rsid w:val="002A186C"/>
    <w:rsid w:val="002A3607"/>
    <w:rsid w:val="002A4E3B"/>
    <w:rsid w:val="002C327F"/>
    <w:rsid w:val="002C3E39"/>
    <w:rsid w:val="002D4176"/>
    <w:rsid w:val="002D631A"/>
    <w:rsid w:val="002F035D"/>
    <w:rsid w:val="00300F44"/>
    <w:rsid w:val="00303572"/>
    <w:rsid w:val="00303A3F"/>
    <w:rsid w:val="00306CC4"/>
    <w:rsid w:val="00307C9E"/>
    <w:rsid w:val="00312EAD"/>
    <w:rsid w:val="003157D3"/>
    <w:rsid w:val="003168EE"/>
    <w:rsid w:val="00317994"/>
    <w:rsid w:val="0032011F"/>
    <w:rsid w:val="00323A0D"/>
    <w:rsid w:val="00331285"/>
    <w:rsid w:val="00331A89"/>
    <w:rsid w:val="00331CE0"/>
    <w:rsid w:val="00335470"/>
    <w:rsid w:val="00355CEA"/>
    <w:rsid w:val="0036163D"/>
    <w:rsid w:val="003736E4"/>
    <w:rsid w:val="00374E59"/>
    <w:rsid w:val="00382D0E"/>
    <w:rsid w:val="00387813"/>
    <w:rsid w:val="00390609"/>
    <w:rsid w:val="003925DF"/>
    <w:rsid w:val="00392DDA"/>
    <w:rsid w:val="003A6440"/>
    <w:rsid w:val="003A7426"/>
    <w:rsid w:val="003B6742"/>
    <w:rsid w:val="003B7869"/>
    <w:rsid w:val="003C2BFF"/>
    <w:rsid w:val="003C3406"/>
    <w:rsid w:val="003C441F"/>
    <w:rsid w:val="003C4874"/>
    <w:rsid w:val="003C6097"/>
    <w:rsid w:val="003C65B4"/>
    <w:rsid w:val="003D128D"/>
    <w:rsid w:val="003D7152"/>
    <w:rsid w:val="003E2141"/>
    <w:rsid w:val="003E59EB"/>
    <w:rsid w:val="003E5A6F"/>
    <w:rsid w:val="003E6374"/>
    <w:rsid w:val="003F30F2"/>
    <w:rsid w:val="00402AC6"/>
    <w:rsid w:val="00414AFF"/>
    <w:rsid w:val="00421182"/>
    <w:rsid w:val="00430B7D"/>
    <w:rsid w:val="00430C91"/>
    <w:rsid w:val="00440F24"/>
    <w:rsid w:val="00444211"/>
    <w:rsid w:val="0044540B"/>
    <w:rsid w:val="004467EC"/>
    <w:rsid w:val="00446FAE"/>
    <w:rsid w:val="004513AF"/>
    <w:rsid w:val="00457ADB"/>
    <w:rsid w:val="00457E0B"/>
    <w:rsid w:val="004629FC"/>
    <w:rsid w:val="00475440"/>
    <w:rsid w:val="004906FC"/>
    <w:rsid w:val="0049604F"/>
    <w:rsid w:val="00496CBB"/>
    <w:rsid w:val="004A1262"/>
    <w:rsid w:val="004A1888"/>
    <w:rsid w:val="004A2C31"/>
    <w:rsid w:val="004A51A1"/>
    <w:rsid w:val="004A6A6F"/>
    <w:rsid w:val="004C6F07"/>
    <w:rsid w:val="004D053C"/>
    <w:rsid w:val="004D757C"/>
    <w:rsid w:val="004E422D"/>
    <w:rsid w:val="004E6DD0"/>
    <w:rsid w:val="004F2164"/>
    <w:rsid w:val="004F4CC2"/>
    <w:rsid w:val="004F563C"/>
    <w:rsid w:val="0050464A"/>
    <w:rsid w:val="00505A31"/>
    <w:rsid w:val="005118C8"/>
    <w:rsid w:val="005209EA"/>
    <w:rsid w:val="0052309F"/>
    <w:rsid w:val="00525F2E"/>
    <w:rsid w:val="0054040C"/>
    <w:rsid w:val="00554780"/>
    <w:rsid w:val="00557387"/>
    <w:rsid w:val="00566A34"/>
    <w:rsid w:val="005733AE"/>
    <w:rsid w:val="00575AEC"/>
    <w:rsid w:val="0058146B"/>
    <w:rsid w:val="0058232A"/>
    <w:rsid w:val="0058511E"/>
    <w:rsid w:val="00586542"/>
    <w:rsid w:val="00593707"/>
    <w:rsid w:val="005A29B2"/>
    <w:rsid w:val="005A3F07"/>
    <w:rsid w:val="005A4511"/>
    <w:rsid w:val="005B27E1"/>
    <w:rsid w:val="005B3694"/>
    <w:rsid w:val="005C39FE"/>
    <w:rsid w:val="005D287F"/>
    <w:rsid w:val="005E71A0"/>
    <w:rsid w:val="005F2BC7"/>
    <w:rsid w:val="005F5712"/>
    <w:rsid w:val="005F617F"/>
    <w:rsid w:val="00603B7D"/>
    <w:rsid w:val="006116E8"/>
    <w:rsid w:val="00612369"/>
    <w:rsid w:val="00630ACD"/>
    <w:rsid w:val="006473B4"/>
    <w:rsid w:val="0065129D"/>
    <w:rsid w:val="00657DF8"/>
    <w:rsid w:val="00663F58"/>
    <w:rsid w:val="006646F4"/>
    <w:rsid w:val="00665DB2"/>
    <w:rsid w:val="0066697F"/>
    <w:rsid w:val="006673B5"/>
    <w:rsid w:val="006725EB"/>
    <w:rsid w:val="006743B2"/>
    <w:rsid w:val="00681E61"/>
    <w:rsid w:val="00681E63"/>
    <w:rsid w:val="00683037"/>
    <w:rsid w:val="00686310"/>
    <w:rsid w:val="00691884"/>
    <w:rsid w:val="00696B63"/>
    <w:rsid w:val="006A01A3"/>
    <w:rsid w:val="006B0602"/>
    <w:rsid w:val="006B11EF"/>
    <w:rsid w:val="006C028B"/>
    <w:rsid w:val="006C1131"/>
    <w:rsid w:val="006C49BB"/>
    <w:rsid w:val="006C50F8"/>
    <w:rsid w:val="006C54B2"/>
    <w:rsid w:val="006E5277"/>
    <w:rsid w:val="006E5828"/>
    <w:rsid w:val="006E6A0C"/>
    <w:rsid w:val="006F1EF6"/>
    <w:rsid w:val="006F59FE"/>
    <w:rsid w:val="006F62B0"/>
    <w:rsid w:val="006F6CED"/>
    <w:rsid w:val="00705A54"/>
    <w:rsid w:val="007101A7"/>
    <w:rsid w:val="007105B4"/>
    <w:rsid w:val="007156E8"/>
    <w:rsid w:val="00721F1D"/>
    <w:rsid w:val="00730042"/>
    <w:rsid w:val="00737955"/>
    <w:rsid w:val="00740213"/>
    <w:rsid w:val="00743959"/>
    <w:rsid w:val="00747AC5"/>
    <w:rsid w:val="007502BC"/>
    <w:rsid w:val="007520CC"/>
    <w:rsid w:val="007566D4"/>
    <w:rsid w:val="007600BB"/>
    <w:rsid w:val="00761D33"/>
    <w:rsid w:val="00766583"/>
    <w:rsid w:val="00770AC3"/>
    <w:rsid w:val="00770F45"/>
    <w:rsid w:val="00790749"/>
    <w:rsid w:val="0079199B"/>
    <w:rsid w:val="0079730C"/>
    <w:rsid w:val="007A0343"/>
    <w:rsid w:val="007A0612"/>
    <w:rsid w:val="007A28D5"/>
    <w:rsid w:val="007A2BB0"/>
    <w:rsid w:val="007A79DD"/>
    <w:rsid w:val="007A7B98"/>
    <w:rsid w:val="007B509A"/>
    <w:rsid w:val="007B53BF"/>
    <w:rsid w:val="007B571E"/>
    <w:rsid w:val="007C1384"/>
    <w:rsid w:val="007D2302"/>
    <w:rsid w:val="007D3A9F"/>
    <w:rsid w:val="007D5AD2"/>
    <w:rsid w:val="007E0C8C"/>
    <w:rsid w:val="007F0489"/>
    <w:rsid w:val="00802EC7"/>
    <w:rsid w:val="00806613"/>
    <w:rsid w:val="00806F17"/>
    <w:rsid w:val="00810FBC"/>
    <w:rsid w:val="00812231"/>
    <w:rsid w:val="008133C5"/>
    <w:rsid w:val="00813845"/>
    <w:rsid w:val="0081393A"/>
    <w:rsid w:val="00813B65"/>
    <w:rsid w:val="00820CDC"/>
    <w:rsid w:val="00824729"/>
    <w:rsid w:val="0083391D"/>
    <w:rsid w:val="00834AA1"/>
    <w:rsid w:val="008350F9"/>
    <w:rsid w:val="00840135"/>
    <w:rsid w:val="00840439"/>
    <w:rsid w:val="008456FB"/>
    <w:rsid w:val="0084782B"/>
    <w:rsid w:val="00852A59"/>
    <w:rsid w:val="00862278"/>
    <w:rsid w:val="008673D2"/>
    <w:rsid w:val="00873503"/>
    <w:rsid w:val="00877494"/>
    <w:rsid w:val="0089304D"/>
    <w:rsid w:val="008A0AEF"/>
    <w:rsid w:val="008A5129"/>
    <w:rsid w:val="008A5500"/>
    <w:rsid w:val="008A61DD"/>
    <w:rsid w:val="008B1717"/>
    <w:rsid w:val="008C11B3"/>
    <w:rsid w:val="008C181E"/>
    <w:rsid w:val="008D330A"/>
    <w:rsid w:val="008E448F"/>
    <w:rsid w:val="008F3DCE"/>
    <w:rsid w:val="00910211"/>
    <w:rsid w:val="00912834"/>
    <w:rsid w:val="009129F7"/>
    <w:rsid w:val="00915452"/>
    <w:rsid w:val="00921979"/>
    <w:rsid w:val="00933B23"/>
    <w:rsid w:val="009346E0"/>
    <w:rsid w:val="00936E9B"/>
    <w:rsid w:val="00945501"/>
    <w:rsid w:val="00945E2A"/>
    <w:rsid w:val="00946E64"/>
    <w:rsid w:val="00960E34"/>
    <w:rsid w:val="00961BD2"/>
    <w:rsid w:val="00971BC5"/>
    <w:rsid w:val="00976D8C"/>
    <w:rsid w:val="00981E4E"/>
    <w:rsid w:val="0099124F"/>
    <w:rsid w:val="009947A7"/>
    <w:rsid w:val="009A20CA"/>
    <w:rsid w:val="009B0E8F"/>
    <w:rsid w:val="009B2F0D"/>
    <w:rsid w:val="009B3CA7"/>
    <w:rsid w:val="009B4878"/>
    <w:rsid w:val="009C2A2A"/>
    <w:rsid w:val="009C343E"/>
    <w:rsid w:val="009D0BD6"/>
    <w:rsid w:val="009D1FC1"/>
    <w:rsid w:val="009E1405"/>
    <w:rsid w:val="009E6CC8"/>
    <w:rsid w:val="009F1AD4"/>
    <w:rsid w:val="00A02889"/>
    <w:rsid w:val="00A07B04"/>
    <w:rsid w:val="00A1502F"/>
    <w:rsid w:val="00A16FC5"/>
    <w:rsid w:val="00A24B56"/>
    <w:rsid w:val="00A314BA"/>
    <w:rsid w:val="00A376DA"/>
    <w:rsid w:val="00A404D4"/>
    <w:rsid w:val="00A510C5"/>
    <w:rsid w:val="00A55472"/>
    <w:rsid w:val="00A6214F"/>
    <w:rsid w:val="00A63153"/>
    <w:rsid w:val="00A631E2"/>
    <w:rsid w:val="00A76D3A"/>
    <w:rsid w:val="00A82581"/>
    <w:rsid w:val="00A856CA"/>
    <w:rsid w:val="00A9503F"/>
    <w:rsid w:val="00AA1008"/>
    <w:rsid w:val="00AA28D0"/>
    <w:rsid w:val="00AA3166"/>
    <w:rsid w:val="00AB035A"/>
    <w:rsid w:val="00AB1C67"/>
    <w:rsid w:val="00AB3B28"/>
    <w:rsid w:val="00AB42A6"/>
    <w:rsid w:val="00AB63A8"/>
    <w:rsid w:val="00AC1A82"/>
    <w:rsid w:val="00AC681C"/>
    <w:rsid w:val="00AC682C"/>
    <w:rsid w:val="00AD506C"/>
    <w:rsid w:val="00AE3813"/>
    <w:rsid w:val="00AF1B80"/>
    <w:rsid w:val="00AF1F91"/>
    <w:rsid w:val="00AF2AE1"/>
    <w:rsid w:val="00AF729D"/>
    <w:rsid w:val="00B112B9"/>
    <w:rsid w:val="00B14E3E"/>
    <w:rsid w:val="00B1552F"/>
    <w:rsid w:val="00B17C61"/>
    <w:rsid w:val="00B2377C"/>
    <w:rsid w:val="00B31C38"/>
    <w:rsid w:val="00B322B5"/>
    <w:rsid w:val="00B33182"/>
    <w:rsid w:val="00B35E1D"/>
    <w:rsid w:val="00B37B4E"/>
    <w:rsid w:val="00B42578"/>
    <w:rsid w:val="00B52A1D"/>
    <w:rsid w:val="00B565F8"/>
    <w:rsid w:val="00B578AD"/>
    <w:rsid w:val="00B60A1F"/>
    <w:rsid w:val="00B63BE8"/>
    <w:rsid w:val="00B72DBD"/>
    <w:rsid w:val="00B73B0F"/>
    <w:rsid w:val="00B83C6D"/>
    <w:rsid w:val="00B8570C"/>
    <w:rsid w:val="00B86F61"/>
    <w:rsid w:val="00B8774B"/>
    <w:rsid w:val="00B94CBA"/>
    <w:rsid w:val="00BA09F2"/>
    <w:rsid w:val="00BA0BE8"/>
    <w:rsid w:val="00BA14B2"/>
    <w:rsid w:val="00BA365C"/>
    <w:rsid w:val="00BA72C9"/>
    <w:rsid w:val="00BB081B"/>
    <w:rsid w:val="00BB7DD4"/>
    <w:rsid w:val="00BC5DCB"/>
    <w:rsid w:val="00BC5EEB"/>
    <w:rsid w:val="00BD360D"/>
    <w:rsid w:val="00BD410E"/>
    <w:rsid w:val="00BD4785"/>
    <w:rsid w:val="00BE5B36"/>
    <w:rsid w:val="00BE69BA"/>
    <w:rsid w:val="00BE749B"/>
    <w:rsid w:val="00BF47A6"/>
    <w:rsid w:val="00BF5DBC"/>
    <w:rsid w:val="00BF6E96"/>
    <w:rsid w:val="00C011BC"/>
    <w:rsid w:val="00C0180E"/>
    <w:rsid w:val="00C071CF"/>
    <w:rsid w:val="00C109A1"/>
    <w:rsid w:val="00C1121F"/>
    <w:rsid w:val="00C1771B"/>
    <w:rsid w:val="00C21912"/>
    <w:rsid w:val="00C2488D"/>
    <w:rsid w:val="00C26572"/>
    <w:rsid w:val="00C2785B"/>
    <w:rsid w:val="00C27CD0"/>
    <w:rsid w:val="00C30033"/>
    <w:rsid w:val="00C311EE"/>
    <w:rsid w:val="00C331C1"/>
    <w:rsid w:val="00C50DCA"/>
    <w:rsid w:val="00C62254"/>
    <w:rsid w:val="00C64606"/>
    <w:rsid w:val="00C76047"/>
    <w:rsid w:val="00C840D7"/>
    <w:rsid w:val="00C85438"/>
    <w:rsid w:val="00C85B43"/>
    <w:rsid w:val="00C85DCA"/>
    <w:rsid w:val="00C90889"/>
    <w:rsid w:val="00C95C47"/>
    <w:rsid w:val="00CA31BF"/>
    <w:rsid w:val="00CA3D29"/>
    <w:rsid w:val="00CA4D2D"/>
    <w:rsid w:val="00CA5E6B"/>
    <w:rsid w:val="00CB00B4"/>
    <w:rsid w:val="00CB4593"/>
    <w:rsid w:val="00CB6043"/>
    <w:rsid w:val="00CB7B96"/>
    <w:rsid w:val="00CC273D"/>
    <w:rsid w:val="00CC3CF4"/>
    <w:rsid w:val="00CC5D65"/>
    <w:rsid w:val="00CD4FE8"/>
    <w:rsid w:val="00CD648F"/>
    <w:rsid w:val="00CD799C"/>
    <w:rsid w:val="00CE1240"/>
    <w:rsid w:val="00CE13B4"/>
    <w:rsid w:val="00CF48AF"/>
    <w:rsid w:val="00CF6A25"/>
    <w:rsid w:val="00CF78BE"/>
    <w:rsid w:val="00D01B99"/>
    <w:rsid w:val="00D054DD"/>
    <w:rsid w:val="00D067F0"/>
    <w:rsid w:val="00D14D38"/>
    <w:rsid w:val="00D162F0"/>
    <w:rsid w:val="00D16BB2"/>
    <w:rsid w:val="00D20C3B"/>
    <w:rsid w:val="00D22C33"/>
    <w:rsid w:val="00D23086"/>
    <w:rsid w:val="00D31648"/>
    <w:rsid w:val="00D34C4C"/>
    <w:rsid w:val="00D374F2"/>
    <w:rsid w:val="00D60000"/>
    <w:rsid w:val="00D605FA"/>
    <w:rsid w:val="00D66666"/>
    <w:rsid w:val="00D668AE"/>
    <w:rsid w:val="00D7029A"/>
    <w:rsid w:val="00D77120"/>
    <w:rsid w:val="00D85E87"/>
    <w:rsid w:val="00D91441"/>
    <w:rsid w:val="00D951C1"/>
    <w:rsid w:val="00D966B9"/>
    <w:rsid w:val="00D97908"/>
    <w:rsid w:val="00DA18B3"/>
    <w:rsid w:val="00DA1F3E"/>
    <w:rsid w:val="00DB00AA"/>
    <w:rsid w:val="00DB01AE"/>
    <w:rsid w:val="00DB21AA"/>
    <w:rsid w:val="00DB3071"/>
    <w:rsid w:val="00DB6FF3"/>
    <w:rsid w:val="00DC43E5"/>
    <w:rsid w:val="00DD0A63"/>
    <w:rsid w:val="00DD3802"/>
    <w:rsid w:val="00DD6AD7"/>
    <w:rsid w:val="00DF123B"/>
    <w:rsid w:val="00DF6187"/>
    <w:rsid w:val="00E04253"/>
    <w:rsid w:val="00E159A5"/>
    <w:rsid w:val="00E20729"/>
    <w:rsid w:val="00E209B2"/>
    <w:rsid w:val="00E270D8"/>
    <w:rsid w:val="00E27712"/>
    <w:rsid w:val="00E36051"/>
    <w:rsid w:val="00E366FA"/>
    <w:rsid w:val="00E3681D"/>
    <w:rsid w:val="00E41E92"/>
    <w:rsid w:val="00E42E15"/>
    <w:rsid w:val="00E43E0C"/>
    <w:rsid w:val="00E451E2"/>
    <w:rsid w:val="00E50E57"/>
    <w:rsid w:val="00E5103C"/>
    <w:rsid w:val="00E5124A"/>
    <w:rsid w:val="00E541AD"/>
    <w:rsid w:val="00E5442F"/>
    <w:rsid w:val="00E56717"/>
    <w:rsid w:val="00E57727"/>
    <w:rsid w:val="00E66507"/>
    <w:rsid w:val="00E67ACE"/>
    <w:rsid w:val="00E7039D"/>
    <w:rsid w:val="00E70E24"/>
    <w:rsid w:val="00E76165"/>
    <w:rsid w:val="00E80DAA"/>
    <w:rsid w:val="00E900A1"/>
    <w:rsid w:val="00E904A6"/>
    <w:rsid w:val="00E92780"/>
    <w:rsid w:val="00E92BB9"/>
    <w:rsid w:val="00E97F5C"/>
    <w:rsid w:val="00EA3479"/>
    <w:rsid w:val="00EA781A"/>
    <w:rsid w:val="00EB610E"/>
    <w:rsid w:val="00EC0478"/>
    <w:rsid w:val="00EC0809"/>
    <w:rsid w:val="00EC604B"/>
    <w:rsid w:val="00ED0C06"/>
    <w:rsid w:val="00ED17BE"/>
    <w:rsid w:val="00EE15E1"/>
    <w:rsid w:val="00EE2865"/>
    <w:rsid w:val="00EE464E"/>
    <w:rsid w:val="00EE47F2"/>
    <w:rsid w:val="00EE679F"/>
    <w:rsid w:val="00EE766D"/>
    <w:rsid w:val="00EF2A3A"/>
    <w:rsid w:val="00EF304E"/>
    <w:rsid w:val="00EF68DC"/>
    <w:rsid w:val="00F1151F"/>
    <w:rsid w:val="00F13C03"/>
    <w:rsid w:val="00F13DDC"/>
    <w:rsid w:val="00F204D7"/>
    <w:rsid w:val="00F25E73"/>
    <w:rsid w:val="00F334D4"/>
    <w:rsid w:val="00F34287"/>
    <w:rsid w:val="00F546E3"/>
    <w:rsid w:val="00F5671C"/>
    <w:rsid w:val="00F57430"/>
    <w:rsid w:val="00F71A28"/>
    <w:rsid w:val="00F82654"/>
    <w:rsid w:val="00F83E65"/>
    <w:rsid w:val="00F86E51"/>
    <w:rsid w:val="00F90284"/>
    <w:rsid w:val="00F90784"/>
    <w:rsid w:val="00F956FB"/>
    <w:rsid w:val="00F97174"/>
    <w:rsid w:val="00FA1A93"/>
    <w:rsid w:val="00FB2177"/>
    <w:rsid w:val="00FB2C7F"/>
    <w:rsid w:val="00FB75F9"/>
    <w:rsid w:val="00FD0F4E"/>
    <w:rsid w:val="00FD34C8"/>
    <w:rsid w:val="00FD4B35"/>
    <w:rsid w:val="00FE0B8F"/>
    <w:rsid w:val="00FE4B9F"/>
    <w:rsid w:val="00FE578D"/>
    <w:rsid w:val="00FE6511"/>
    <w:rsid w:val="00FE6D43"/>
    <w:rsid w:val="00FF093E"/>
    <w:rsid w:val="00FF1603"/>
    <w:rsid w:val="00FF594E"/>
    <w:rsid w:val="00FF5FAB"/>
    <w:rsid w:val="00FF66D5"/>
    <w:rsid w:val="01D42817"/>
    <w:rsid w:val="04B33850"/>
    <w:rsid w:val="066E140E"/>
    <w:rsid w:val="09111A2B"/>
    <w:rsid w:val="0C034CC9"/>
    <w:rsid w:val="0E4658BD"/>
    <w:rsid w:val="0F40049B"/>
    <w:rsid w:val="0F9F7712"/>
    <w:rsid w:val="10A65ADB"/>
    <w:rsid w:val="110578BD"/>
    <w:rsid w:val="11C979B5"/>
    <w:rsid w:val="11D017FE"/>
    <w:rsid w:val="121B2ED5"/>
    <w:rsid w:val="198A347F"/>
    <w:rsid w:val="1A93746A"/>
    <w:rsid w:val="1D621FBC"/>
    <w:rsid w:val="1F022E70"/>
    <w:rsid w:val="1F210396"/>
    <w:rsid w:val="1F5E319E"/>
    <w:rsid w:val="1FA06534"/>
    <w:rsid w:val="21D4019D"/>
    <w:rsid w:val="220F1D3D"/>
    <w:rsid w:val="231720C0"/>
    <w:rsid w:val="237A1936"/>
    <w:rsid w:val="249C164D"/>
    <w:rsid w:val="259B557B"/>
    <w:rsid w:val="276B6F5D"/>
    <w:rsid w:val="289840B9"/>
    <w:rsid w:val="2A780BFF"/>
    <w:rsid w:val="2ADB1436"/>
    <w:rsid w:val="2D1C3498"/>
    <w:rsid w:val="2E17436E"/>
    <w:rsid w:val="2FA558AD"/>
    <w:rsid w:val="308663E7"/>
    <w:rsid w:val="30953EA7"/>
    <w:rsid w:val="311376E8"/>
    <w:rsid w:val="312E590D"/>
    <w:rsid w:val="314836B4"/>
    <w:rsid w:val="31F42C77"/>
    <w:rsid w:val="32981A29"/>
    <w:rsid w:val="36201FB5"/>
    <w:rsid w:val="36C47C8D"/>
    <w:rsid w:val="37137BE6"/>
    <w:rsid w:val="390D207B"/>
    <w:rsid w:val="3A20229D"/>
    <w:rsid w:val="3CBE467B"/>
    <w:rsid w:val="3EEC7C89"/>
    <w:rsid w:val="438221F1"/>
    <w:rsid w:val="44AA5C04"/>
    <w:rsid w:val="44D11AF2"/>
    <w:rsid w:val="45D670BB"/>
    <w:rsid w:val="46681D8F"/>
    <w:rsid w:val="47096D17"/>
    <w:rsid w:val="493F6278"/>
    <w:rsid w:val="4ACE3F5A"/>
    <w:rsid w:val="4AEF55D2"/>
    <w:rsid w:val="4B107791"/>
    <w:rsid w:val="4D354178"/>
    <w:rsid w:val="4EBA0C1C"/>
    <w:rsid w:val="50A4314A"/>
    <w:rsid w:val="515241CB"/>
    <w:rsid w:val="51734FB7"/>
    <w:rsid w:val="51865403"/>
    <w:rsid w:val="518E7990"/>
    <w:rsid w:val="51AB4CBD"/>
    <w:rsid w:val="52095397"/>
    <w:rsid w:val="54620DF2"/>
    <w:rsid w:val="54840E8D"/>
    <w:rsid w:val="54EF1003"/>
    <w:rsid w:val="562B0B67"/>
    <w:rsid w:val="57F0081E"/>
    <w:rsid w:val="5A0A4C34"/>
    <w:rsid w:val="5AD867D4"/>
    <w:rsid w:val="5B85113A"/>
    <w:rsid w:val="5EA671F8"/>
    <w:rsid w:val="5ECC3978"/>
    <w:rsid w:val="5F6F55EC"/>
    <w:rsid w:val="5F747901"/>
    <w:rsid w:val="61A05962"/>
    <w:rsid w:val="625C61CF"/>
    <w:rsid w:val="63732647"/>
    <w:rsid w:val="63F34E09"/>
    <w:rsid w:val="63FC66A4"/>
    <w:rsid w:val="66CD63DD"/>
    <w:rsid w:val="66F531E7"/>
    <w:rsid w:val="675C5819"/>
    <w:rsid w:val="686D33B7"/>
    <w:rsid w:val="69311756"/>
    <w:rsid w:val="6A440E3D"/>
    <w:rsid w:val="6B121162"/>
    <w:rsid w:val="6B5215BC"/>
    <w:rsid w:val="6B7B3F5D"/>
    <w:rsid w:val="6C2578C3"/>
    <w:rsid w:val="6CE80DD3"/>
    <w:rsid w:val="6CF15D55"/>
    <w:rsid w:val="6D4574A6"/>
    <w:rsid w:val="6D744EB7"/>
    <w:rsid w:val="6F483B16"/>
    <w:rsid w:val="712A7FB1"/>
    <w:rsid w:val="713468EA"/>
    <w:rsid w:val="72C61959"/>
    <w:rsid w:val="73C1651F"/>
    <w:rsid w:val="7515249E"/>
    <w:rsid w:val="797F0F6B"/>
    <w:rsid w:val="7A3504C5"/>
    <w:rsid w:val="7B877646"/>
    <w:rsid w:val="7C0D776A"/>
    <w:rsid w:val="7DB22201"/>
    <w:rsid w:val="7E3D7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AEC"/>
    <w:pPr>
      <w:widowControl w:val="0"/>
      <w:jc w:val="both"/>
    </w:pPr>
    <w:rPr>
      <w:rFonts w:asciiTheme="minorHAnsi" w:eastAsiaTheme="minorEastAsia"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75AEC"/>
    <w:pPr>
      <w:jc w:val="left"/>
    </w:pPr>
  </w:style>
  <w:style w:type="paragraph" w:styleId="a4">
    <w:name w:val="Body Text"/>
    <w:basedOn w:val="a"/>
    <w:link w:val="Char0"/>
    <w:qFormat/>
    <w:rsid w:val="00575AEC"/>
    <w:pPr>
      <w:spacing w:line="312" w:lineRule="auto"/>
    </w:pPr>
    <w:rPr>
      <w:rFonts w:ascii="Times New Roman" w:eastAsia="宋体" w:hAnsi="Times New Roman"/>
      <w:sz w:val="28"/>
      <w:szCs w:val="20"/>
    </w:rPr>
  </w:style>
  <w:style w:type="paragraph" w:styleId="a5">
    <w:name w:val="Balloon Text"/>
    <w:basedOn w:val="a"/>
    <w:link w:val="Char1"/>
    <w:uiPriority w:val="99"/>
    <w:semiHidden/>
    <w:unhideWhenUsed/>
    <w:qFormat/>
    <w:rsid w:val="00575AEC"/>
    <w:rPr>
      <w:sz w:val="18"/>
      <w:szCs w:val="18"/>
    </w:rPr>
  </w:style>
  <w:style w:type="paragraph" w:styleId="a6">
    <w:name w:val="footer"/>
    <w:basedOn w:val="a"/>
    <w:link w:val="Char2"/>
    <w:uiPriority w:val="99"/>
    <w:unhideWhenUsed/>
    <w:qFormat/>
    <w:rsid w:val="00575AE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75AEC"/>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575AEC"/>
    <w:rPr>
      <w:b/>
      <w:bCs/>
    </w:rPr>
  </w:style>
  <w:style w:type="table" w:styleId="a9">
    <w:name w:val="Table Grid"/>
    <w:basedOn w:val="a1"/>
    <w:qFormat/>
    <w:rsid w:val="00575A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575AEC"/>
    <w:rPr>
      <w:rFonts w:cs="Times New Roman"/>
      <w:color w:val="0000FF" w:themeColor="hyperlink"/>
      <w:u w:val="single"/>
    </w:rPr>
  </w:style>
  <w:style w:type="character" w:styleId="ab">
    <w:name w:val="annotation reference"/>
    <w:basedOn w:val="a0"/>
    <w:uiPriority w:val="99"/>
    <w:semiHidden/>
    <w:unhideWhenUsed/>
    <w:qFormat/>
    <w:rsid w:val="00575AEC"/>
    <w:rPr>
      <w:rFonts w:cs="Times New Roman"/>
      <w:sz w:val="21"/>
      <w:szCs w:val="21"/>
    </w:rPr>
  </w:style>
  <w:style w:type="character" w:customStyle="1" w:styleId="Char3">
    <w:name w:val="页眉 Char"/>
    <w:basedOn w:val="a0"/>
    <w:link w:val="a7"/>
    <w:uiPriority w:val="99"/>
    <w:qFormat/>
    <w:locked/>
    <w:rsid w:val="00575AEC"/>
    <w:rPr>
      <w:rFonts w:cs="Times New Roman"/>
      <w:sz w:val="18"/>
      <w:szCs w:val="18"/>
    </w:rPr>
  </w:style>
  <w:style w:type="character" w:customStyle="1" w:styleId="Char2">
    <w:name w:val="页脚 Char"/>
    <w:basedOn w:val="a0"/>
    <w:link w:val="a6"/>
    <w:uiPriority w:val="99"/>
    <w:qFormat/>
    <w:locked/>
    <w:rsid w:val="00575AEC"/>
    <w:rPr>
      <w:rFonts w:cs="Times New Roman"/>
      <w:sz w:val="18"/>
      <w:szCs w:val="18"/>
    </w:rPr>
  </w:style>
  <w:style w:type="character" w:customStyle="1" w:styleId="Char">
    <w:name w:val="批注文字 Char"/>
    <w:basedOn w:val="a0"/>
    <w:link w:val="a3"/>
    <w:uiPriority w:val="99"/>
    <w:semiHidden/>
    <w:qFormat/>
    <w:locked/>
    <w:rsid w:val="00575AEC"/>
    <w:rPr>
      <w:rFonts w:cs="Times New Roman"/>
      <w:sz w:val="22"/>
      <w:szCs w:val="22"/>
    </w:rPr>
  </w:style>
  <w:style w:type="character" w:customStyle="1" w:styleId="Char4">
    <w:name w:val="批注主题 Char"/>
    <w:basedOn w:val="Char"/>
    <w:link w:val="a8"/>
    <w:uiPriority w:val="99"/>
    <w:semiHidden/>
    <w:qFormat/>
    <w:locked/>
    <w:rsid w:val="00575AEC"/>
    <w:rPr>
      <w:rFonts w:cs="Times New Roman"/>
      <w:b/>
      <w:bCs/>
      <w:sz w:val="22"/>
      <w:szCs w:val="22"/>
    </w:rPr>
  </w:style>
  <w:style w:type="character" w:customStyle="1" w:styleId="Char1">
    <w:name w:val="批注框文本 Char"/>
    <w:basedOn w:val="a0"/>
    <w:link w:val="a5"/>
    <w:uiPriority w:val="99"/>
    <w:semiHidden/>
    <w:qFormat/>
    <w:locked/>
    <w:rsid w:val="00575AEC"/>
    <w:rPr>
      <w:rFonts w:cs="Times New Roman"/>
      <w:sz w:val="18"/>
      <w:szCs w:val="18"/>
    </w:rPr>
  </w:style>
  <w:style w:type="character" w:customStyle="1" w:styleId="Char0">
    <w:name w:val="正文文本 Char"/>
    <w:basedOn w:val="a0"/>
    <w:link w:val="a4"/>
    <w:qFormat/>
    <w:rsid w:val="00575AEC"/>
    <w:rPr>
      <w:rFonts w:ascii="Times New Roman" w:eastAsia="宋体" w:hAnsi="Times New Roman"/>
      <w:sz w:val="28"/>
      <w:szCs w:val="20"/>
    </w:rPr>
  </w:style>
  <w:style w:type="paragraph" w:customStyle="1" w:styleId="Default">
    <w:name w:val="Default"/>
    <w:qFormat/>
    <w:rsid w:val="00575AEC"/>
    <w:pPr>
      <w:widowControl w:val="0"/>
      <w:autoSpaceDE w:val="0"/>
      <w:autoSpaceDN w:val="0"/>
      <w:adjustRightInd w:val="0"/>
    </w:pPr>
    <w:rPr>
      <w:rFonts w:ascii="宋体w.摷漹麙." w:eastAsia="宋体w.摷漹麙." w:hAnsiTheme="minorHAnsi" w:cs="宋体w.摷漹麙."/>
      <w:color w:val="000000"/>
      <w:sz w:val="24"/>
      <w:szCs w:val="24"/>
    </w:rPr>
  </w:style>
  <w:style w:type="paragraph" w:customStyle="1" w:styleId="1">
    <w:name w:val="修订1"/>
    <w:hidden/>
    <w:uiPriority w:val="99"/>
    <w:semiHidden/>
    <w:qFormat/>
    <w:rsid w:val="00575AEC"/>
    <w:rPr>
      <w:rFonts w:asciiTheme="minorHAnsi" w:eastAsiaTheme="minorEastAsia" w:hAnsiTheme="minorHAnsi"/>
      <w:kern w:val="2"/>
      <w:sz w:val="21"/>
      <w:szCs w:val="22"/>
    </w:rPr>
  </w:style>
  <w:style w:type="paragraph" w:styleId="ac">
    <w:name w:val="List Paragraph"/>
    <w:basedOn w:val="a"/>
    <w:uiPriority w:val="34"/>
    <w:qFormat/>
    <w:rsid w:val="00575AEC"/>
    <w:pPr>
      <w:ind w:firstLineChars="200" w:firstLine="420"/>
    </w:pPr>
  </w:style>
  <w:style w:type="paragraph" w:customStyle="1" w:styleId="2">
    <w:name w:val="修订2"/>
    <w:hidden/>
    <w:uiPriority w:val="99"/>
    <w:unhideWhenUsed/>
    <w:qFormat/>
    <w:rsid w:val="00575AEC"/>
    <w:rPr>
      <w:rFonts w:asciiTheme="minorHAnsi" w:eastAsiaTheme="minorEastAsia" w:hAnsiTheme="minorHAnsi"/>
      <w:kern w:val="2"/>
      <w:sz w:val="21"/>
      <w:szCs w:val="22"/>
    </w:rPr>
  </w:style>
  <w:style w:type="paragraph" w:customStyle="1" w:styleId="3">
    <w:name w:val="修订3"/>
    <w:hidden/>
    <w:uiPriority w:val="99"/>
    <w:unhideWhenUsed/>
    <w:qFormat/>
    <w:rsid w:val="00575AEC"/>
    <w:rPr>
      <w:rFonts w:asciiTheme="minorHAnsi" w:eastAsiaTheme="minorEastAsia" w:hAnsiTheme="minorHAns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rade.boscam.com.cn/etrading/" TargetMode="External"/><Relationship Id="rId13" Type="http://schemas.openxmlformats.org/officeDocument/2006/relationships/hyperlink" Target="http://www.520fund.com.cn" TargetMode="External"/><Relationship Id="rId18" Type="http://schemas.openxmlformats.org/officeDocument/2006/relationships/hyperlink" Target="http://www.zhongzhengfund.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cam.com.cn" TargetMode="External"/><Relationship Id="rId12" Type="http://schemas.openxmlformats.org/officeDocument/2006/relationships/hyperlink" Target="http://www.harvestwm.cn" TargetMode="External"/><Relationship Id="rId17" Type="http://schemas.openxmlformats.org/officeDocument/2006/relationships/hyperlink" Target="http://www.cs.ecitic.com" TargetMode="External"/><Relationship Id="rId2" Type="http://schemas.openxmlformats.org/officeDocument/2006/relationships/styles" Target="styles.xml"/><Relationship Id="rId16" Type="http://schemas.openxmlformats.org/officeDocument/2006/relationships/hyperlink" Target="http://www.zocaifu.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dicsc.com.cn" TargetMode="External"/><Relationship Id="rId5" Type="http://schemas.openxmlformats.org/officeDocument/2006/relationships/footnotes" Target="footnotes.xml"/><Relationship Id="rId15" Type="http://schemas.openxmlformats.org/officeDocument/2006/relationships/hyperlink" Target="http://www.cmschina.com" TargetMode="External"/><Relationship Id="rId10" Type="http://schemas.openxmlformats.org/officeDocument/2006/relationships/hyperlink" Target="http://www.gjzq.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xzsec.com" TargetMode="External"/><Relationship Id="rId14" Type="http://schemas.openxmlformats.org/officeDocument/2006/relationships/hyperlink" Target="http://www.erich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3341-651F-4DF3-8394-5D875B03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1619</Words>
  <Characters>9233</Characters>
  <Application>Microsoft Office Word</Application>
  <DocSecurity>4</DocSecurity>
  <Lines>76</Lines>
  <Paragraphs>21</Paragraphs>
  <ScaleCrop>false</ScaleCrop>
  <Company>Microsoft</Company>
  <LinksUpToDate>false</LinksUpToDate>
  <CharactersWithSpaces>10831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dc:creator>
  <cp:lastModifiedBy>ZHONGM</cp:lastModifiedBy>
  <cp:revision>2</cp:revision>
  <cp:lastPrinted>2022-01-26T02:37:00Z</cp:lastPrinted>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1D48CB3AC5224092B95B763C6AB810B0</vt:lpwstr>
  </property>
</Properties>
</file>