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6E" w:rsidRDefault="007957FE">
      <w:pPr>
        <w:jc w:val="center"/>
        <w:rPr>
          <w:b/>
          <w:color w:val="000000"/>
          <w:sz w:val="30"/>
          <w:szCs w:val="30"/>
        </w:rPr>
      </w:pPr>
      <w:bookmarkStart w:id="0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关于富国亚洲收益债券型证券投资基金（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QDII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）（人民币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A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、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C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、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E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类份额）暂停个人客户大额申购及定期定额投资业务的公告</w:t>
      </w:r>
    </w:p>
    <w:p w:rsidR="00EA706E" w:rsidRDefault="00EA706E">
      <w:pPr>
        <w:jc w:val="right"/>
        <w:rPr>
          <w:b/>
          <w:color w:val="000000"/>
          <w:sz w:val="30"/>
          <w:szCs w:val="30"/>
        </w:rPr>
      </w:pPr>
    </w:p>
    <w:p w:rsidR="00EA706E" w:rsidRDefault="007957FE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 w:hint="eastAsia"/>
          <w:color w:val="000000"/>
          <w:kern w:val="0"/>
          <w:sz w:val="24"/>
        </w:rPr>
        <w:t>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7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EA706E" w:rsidRDefault="00EA706E">
      <w:pPr>
        <w:jc w:val="right"/>
        <w:rPr>
          <w:i/>
          <w:sz w:val="28"/>
          <w:szCs w:val="28"/>
        </w:rPr>
      </w:pPr>
    </w:p>
    <w:p w:rsidR="00EA706E" w:rsidRDefault="007957FE">
      <w:pPr>
        <w:pStyle w:val="a"/>
      </w:pPr>
      <w:r>
        <w:rPr>
          <w:rFonts w:hint="eastAsia"/>
        </w:rPr>
        <w:t>公告基本信息</w:t>
      </w:r>
      <w:bookmarkEnd w:id="0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2"/>
        <w:gridCol w:w="850"/>
        <w:gridCol w:w="1567"/>
        <w:gridCol w:w="1333"/>
        <w:gridCol w:w="450"/>
        <w:gridCol w:w="1150"/>
        <w:gridCol w:w="1636"/>
        <w:gridCol w:w="1637"/>
      </w:tblGrid>
      <w:tr w:rsidR="00EA706E">
        <w:trPr>
          <w:cantSplit/>
          <w:jc w:val="center"/>
        </w:trPr>
        <w:tc>
          <w:tcPr>
            <w:tcW w:w="2292" w:type="dxa"/>
            <w:gridSpan w:val="2"/>
          </w:tcPr>
          <w:p w:rsidR="00EA706E" w:rsidRDefault="007957FE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7773" w:type="dxa"/>
            <w:gridSpan w:val="6"/>
          </w:tcPr>
          <w:p w:rsidR="00EA706E" w:rsidRDefault="007957FE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富国亚洲收益债券型证券投资基金（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EA706E">
        <w:trPr>
          <w:cantSplit/>
          <w:jc w:val="center"/>
        </w:trPr>
        <w:tc>
          <w:tcPr>
            <w:tcW w:w="2292" w:type="dxa"/>
            <w:gridSpan w:val="2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7773" w:type="dxa"/>
            <w:gridSpan w:val="6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EA706E">
        <w:trPr>
          <w:cantSplit/>
          <w:jc w:val="center"/>
        </w:trPr>
        <w:tc>
          <w:tcPr>
            <w:tcW w:w="2292" w:type="dxa"/>
            <w:gridSpan w:val="2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7773" w:type="dxa"/>
            <w:gridSpan w:val="6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008367</w:t>
            </w:r>
          </w:p>
        </w:tc>
      </w:tr>
      <w:tr w:rsidR="00EA706E">
        <w:trPr>
          <w:cantSplit/>
          <w:jc w:val="center"/>
        </w:trPr>
        <w:tc>
          <w:tcPr>
            <w:tcW w:w="2292" w:type="dxa"/>
            <w:gridSpan w:val="2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7773" w:type="dxa"/>
            <w:gridSpan w:val="6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EA706E">
        <w:trPr>
          <w:cantSplit/>
          <w:jc w:val="center"/>
        </w:trPr>
        <w:tc>
          <w:tcPr>
            <w:tcW w:w="2292" w:type="dxa"/>
            <w:gridSpan w:val="2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7773" w:type="dxa"/>
            <w:gridSpan w:val="6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《中华人民共和国证券投资基金法》及配套法规、《富国亚洲收益债券型证券投资基金（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）基金合同》、《富国亚洲收益债券型证券投资基金（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）招募说明书》及其更新等</w:t>
            </w:r>
          </w:p>
        </w:tc>
      </w:tr>
      <w:tr w:rsidR="00EA706E">
        <w:trPr>
          <w:cantSplit/>
          <w:jc w:val="center"/>
        </w:trPr>
        <w:tc>
          <w:tcPr>
            <w:tcW w:w="1442" w:type="dxa"/>
            <w:vMerge w:val="restart"/>
            <w:vAlign w:val="center"/>
          </w:tcPr>
          <w:p w:rsidR="00EA706E" w:rsidRDefault="007957F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暂停相关业务的起始日、金额及原因说明</w:t>
            </w:r>
          </w:p>
        </w:tc>
        <w:tc>
          <w:tcPr>
            <w:tcW w:w="4200" w:type="dxa"/>
            <w:gridSpan w:val="4"/>
          </w:tcPr>
          <w:p w:rsidR="00EA706E" w:rsidRDefault="007957F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暂停大额申购起始日</w:t>
            </w:r>
          </w:p>
        </w:tc>
        <w:tc>
          <w:tcPr>
            <w:tcW w:w="4423" w:type="dxa"/>
            <w:gridSpan w:val="3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EA706E">
        <w:trPr>
          <w:cantSplit/>
          <w:jc w:val="center"/>
        </w:trPr>
        <w:tc>
          <w:tcPr>
            <w:tcW w:w="1442" w:type="dxa"/>
            <w:vMerge/>
            <w:vAlign w:val="center"/>
          </w:tcPr>
          <w:p w:rsidR="00EA706E" w:rsidRDefault="00EA706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0" w:type="dxa"/>
            <w:gridSpan w:val="4"/>
          </w:tcPr>
          <w:p w:rsidR="00EA706E" w:rsidRDefault="007957F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暂停大额定期定额投资起始日</w:t>
            </w:r>
          </w:p>
        </w:tc>
        <w:tc>
          <w:tcPr>
            <w:tcW w:w="4423" w:type="dxa"/>
            <w:gridSpan w:val="3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EA706E">
        <w:trPr>
          <w:cantSplit/>
          <w:jc w:val="center"/>
        </w:trPr>
        <w:tc>
          <w:tcPr>
            <w:tcW w:w="1442" w:type="dxa"/>
            <w:vMerge/>
            <w:vAlign w:val="center"/>
          </w:tcPr>
          <w:p w:rsidR="00EA706E" w:rsidRDefault="00EA706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0" w:type="dxa"/>
            <w:gridSpan w:val="4"/>
          </w:tcPr>
          <w:p w:rsidR="00EA706E" w:rsidRDefault="007957F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限制大额申购金额（单位：元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4423" w:type="dxa"/>
            <w:gridSpan w:val="3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</w:tr>
      <w:tr w:rsidR="00EA706E">
        <w:trPr>
          <w:cantSplit/>
          <w:jc w:val="center"/>
        </w:trPr>
        <w:tc>
          <w:tcPr>
            <w:tcW w:w="1442" w:type="dxa"/>
            <w:vMerge/>
            <w:vAlign w:val="center"/>
          </w:tcPr>
          <w:p w:rsidR="00EA706E" w:rsidRDefault="00EA706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0" w:type="dxa"/>
            <w:gridSpan w:val="4"/>
          </w:tcPr>
          <w:p w:rsidR="00EA706E" w:rsidRDefault="007957F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限制</w:t>
            </w:r>
            <w:r>
              <w:rPr>
                <w:rFonts w:ascii="宋体" w:hAnsi="宋体" w:hint="eastAsia"/>
                <w:color w:val="000000"/>
                <w:sz w:val="24"/>
              </w:rPr>
              <w:t>大额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定期定额投资金额（单位：元）</w:t>
            </w:r>
          </w:p>
        </w:tc>
        <w:tc>
          <w:tcPr>
            <w:tcW w:w="4423" w:type="dxa"/>
            <w:gridSpan w:val="3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</w:tr>
      <w:tr w:rsidR="00EA706E">
        <w:trPr>
          <w:cantSplit/>
          <w:jc w:val="center"/>
        </w:trPr>
        <w:tc>
          <w:tcPr>
            <w:tcW w:w="1442" w:type="dxa"/>
            <w:vMerge/>
            <w:vAlign w:val="center"/>
          </w:tcPr>
          <w:p w:rsidR="00EA706E" w:rsidRDefault="00EA706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00" w:type="dxa"/>
            <w:gridSpan w:val="4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暂停大额申购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定期定额投资的原因说明</w:t>
            </w:r>
          </w:p>
        </w:tc>
        <w:tc>
          <w:tcPr>
            <w:tcW w:w="4423" w:type="dxa"/>
            <w:gridSpan w:val="3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EA706E">
        <w:trPr>
          <w:cantSplit/>
          <w:jc w:val="center"/>
        </w:trPr>
        <w:tc>
          <w:tcPr>
            <w:tcW w:w="2292" w:type="dxa"/>
            <w:gridSpan w:val="2"/>
          </w:tcPr>
          <w:p w:rsidR="00EA706E" w:rsidRDefault="007957FE">
            <w:pPr>
              <w:rPr>
                <w:rFonts w:ascii="宋体" w:hAnsi="宋体"/>
                <w:color w:val="000000"/>
                <w:sz w:val="24"/>
              </w:rPr>
            </w:pPr>
            <w:bookmarkStart w:id="1" w:name="_Toc275961406"/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1567" w:type="dxa"/>
          </w:tcPr>
          <w:p w:rsidR="00EA706E" w:rsidRDefault="007957F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）人民币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1333" w:type="dxa"/>
          </w:tcPr>
          <w:p w:rsidR="00EA706E" w:rsidRDefault="007957F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）人民币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1600" w:type="dxa"/>
            <w:gridSpan w:val="2"/>
          </w:tcPr>
          <w:p w:rsidR="00EA706E" w:rsidRDefault="007957F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）人民币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E</w:t>
            </w:r>
          </w:p>
        </w:tc>
        <w:tc>
          <w:tcPr>
            <w:tcW w:w="1636" w:type="dxa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1637" w:type="dxa"/>
          </w:tcPr>
          <w:p w:rsidR="00EA706E" w:rsidRDefault="007957F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富国亚洲收益债券（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QDII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）美元现汇</w:t>
            </w:r>
          </w:p>
        </w:tc>
      </w:tr>
      <w:tr w:rsidR="00EA706E">
        <w:trPr>
          <w:cantSplit/>
          <w:jc w:val="center"/>
        </w:trPr>
        <w:tc>
          <w:tcPr>
            <w:tcW w:w="2292" w:type="dxa"/>
            <w:gridSpan w:val="2"/>
            <w:vAlign w:val="center"/>
          </w:tcPr>
          <w:p w:rsidR="00EA706E" w:rsidRDefault="007957F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1567" w:type="dxa"/>
          </w:tcPr>
          <w:p w:rsidR="00EA706E" w:rsidRDefault="007957F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008367</w:t>
            </w:r>
          </w:p>
        </w:tc>
        <w:tc>
          <w:tcPr>
            <w:tcW w:w="1333" w:type="dxa"/>
          </w:tcPr>
          <w:p w:rsidR="00EA706E" w:rsidRDefault="007957F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019709</w:t>
            </w:r>
          </w:p>
        </w:tc>
        <w:tc>
          <w:tcPr>
            <w:tcW w:w="1600" w:type="dxa"/>
            <w:gridSpan w:val="2"/>
          </w:tcPr>
          <w:p w:rsidR="00EA706E" w:rsidRDefault="007957F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022374</w:t>
            </w:r>
          </w:p>
        </w:tc>
        <w:tc>
          <w:tcPr>
            <w:tcW w:w="1636" w:type="dxa"/>
            <w:vAlign w:val="center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1637" w:type="dxa"/>
          </w:tcPr>
          <w:p w:rsidR="00EA706E" w:rsidRDefault="007957F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008368</w:t>
            </w:r>
          </w:p>
        </w:tc>
      </w:tr>
      <w:tr w:rsidR="00EA706E">
        <w:trPr>
          <w:cantSplit/>
          <w:jc w:val="center"/>
        </w:trPr>
        <w:tc>
          <w:tcPr>
            <w:tcW w:w="2292" w:type="dxa"/>
            <w:gridSpan w:val="2"/>
            <w:vAlign w:val="center"/>
          </w:tcPr>
          <w:p w:rsidR="00EA706E" w:rsidRDefault="007957F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该分级基金是否暂停大额申购及定期定额投资</w:t>
            </w:r>
          </w:p>
        </w:tc>
        <w:tc>
          <w:tcPr>
            <w:tcW w:w="1567" w:type="dxa"/>
          </w:tcPr>
          <w:p w:rsidR="00EA706E" w:rsidRDefault="007957F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333" w:type="dxa"/>
          </w:tcPr>
          <w:p w:rsidR="00EA706E" w:rsidRDefault="007957F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00" w:type="dxa"/>
            <w:gridSpan w:val="2"/>
          </w:tcPr>
          <w:p w:rsidR="00EA706E" w:rsidRDefault="007957FE">
            <w:pPr>
              <w:jc w:val="left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是</w:t>
            </w:r>
          </w:p>
        </w:tc>
        <w:tc>
          <w:tcPr>
            <w:tcW w:w="1636" w:type="dxa"/>
            <w:vAlign w:val="center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该分级基金是否暂停大额申购及定期定额投资</w:t>
            </w:r>
          </w:p>
        </w:tc>
        <w:tc>
          <w:tcPr>
            <w:tcW w:w="1637" w:type="dxa"/>
          </w:tcPr>
          <w:p w:rsidR="00EA706E" w:rsidRDefault="007957FE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否</w:t>
            </w:r>
          </w:p>
        </w:tc>
      </w:tr>
      <w:tr w:rsidR="00EA706E">
        <w:trPr>
          <w:cantSplit/>
          <w:jc w:val="center"/>
        </w:trPr>
        <w:tc>
          <w:tcPr>
            <w:tcW w:w="2292" w:type="dxa"/>
            <w:gridSpan w:val="2"/>
          </w:tcPr>
          <w:p w:rsidR="00EA706E" w:rsidRDefault="007957F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下属分级基金的限制申购金额（单位：元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1567" w:type="dxa"/>
          </w:tcPr>
          <w:p w:rsidR="00EA706E" w:rsidRDefault="007957FE"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  <w:tc>
          <w:tcPr>
            <w:tcW w:w="1333" w:type="dxa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  <w:tc>
          <w:tcPr>
            <w:tcW w:w="1600" w:type="dxa"/>
            <w:gridSpan w:val="2"/>
          </w:tcPr>
          <w:p w:rsidR="00EA706E" w:rsidRDefault="007957FE"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  <w:tc>
          <w:tcPr>
            <w:tcW w:w="1636" w:type="dxa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下属分级基金的限制申购金额（单位：</w:t>
            </w:r>
            <w:r>
              <w:rPr>
                <w:rFonts w:ascii="宋体" w:hAnsi="宋体" w:hint="eastAsia"/>
                <w:color w:val="000000"/>
                <w:sz w:val="24"/>
              </w:rPr>
              <w:t>美</w:t>
            </w:r>
            <w:r>
              <w:rPr>
                <w:rFonts w:ascii="宋体" w:hAnsi="宋体" w:hint="eastAsia"/>
                <w:color w:val="000000"/>
                <w:sz w:val="24"/>
              </w:rPr>
              <w:t>元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1637" w:type="dxa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-</w:t>
            </w:r>
          </w:p>
        </w:tc>
      </w:tr>
      <w:tr w:rsidR="00EA706E">
        <w:trPr>
          <w:cantSplit/>
          <w:jc w:val="center"/>
        </w:trPr>
        <w:tc>
          <w:tcPr>
            <w:tcW w:w="2292" w:type="dxa"/>
            <w:gridSpan w:val="2"/>
          </w:tcPr>
          <w:p w:rsidR="00EA706E" w:rsidRDefault="007957F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限制大额定期定额投资（单位：元）</w:t>
            </w:r>
          </w:p>
        </w:tc>
        <w:tc>
          <w:tcPr>
            <w:tcW w:w="1567" w:type="dxa"/>
          </w:tcPr>
          <w:p w:rsidR="00EA706E" w:rsidRDefault="007957FE"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  <w:tc>
          <w:tcPr>
            <w:tcW w:w="1333" w:type="dxa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  <w:tc>
          <w:tcPr>
            <w:tcW w:w="1600" w:type="dxa"/>
            <w:gridSpan w:val="2"/>
          </w:tcPr>
          <w:p w:rsidR="00EA706E" w:rsidRDefault="007957FE">
            <w:r>
              <w:rPr>
                <w:rFonts w:ascii="宋体" w:hAnsi="宋体" w:hint="eastAsia"/>
                <w:color w:val="000000"/>
                <w:kern w:val="0"/>
                <w:sz w:val="24"/>
              </w:rPr>
              <w:t>1,000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,000.00</w:t>
            </w:r>
          </w:p>
        </w:tc>
        <w:tc>
          <w:tcPr>
            <w:tcW w:w="1636" w:type="dxa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限制大额定期定额投资（单位：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美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1637" w:type="dxa"/>
          </w:tcPr>
          <w:p w:rsidR="00EA706E" w:rsidRDefault="007957FE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-</w:t>
            </w:r>
          </w:p>
        </w:tc>
      </w:tr>
    </w:tbl>
    <w:p w:rsidR="00EA706E" w:rsidRDefault="007957FE">
      <w:pPr>
        <w:pStyle w:val="a"/>
      </w:pPr>
      <w:r>
        <w:t>其他需要提示的事项</w:t>
      </w:r>
      <w:bookmarkEnd w:id="1"/>
    </w:p>
    <w:p w:rsidR="00EA706E" w:rsidRDefault="007957FE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本基金管理人</w:t>
      </w:r>
      <w:r>
        <w:rPr>
          <w:rFonts w:hint="eastAsia"/>
          <w:color w:val="000000"/>
          <w:sz w:val="24"/>
        </w:rPr>
        <w:t>原决定自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10</w:t>
      </w:r>
      <w:r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20</w:t>
      </w:r>
      <w:r>
        <w:rPr>
          <w:color w:val="000000"/>
          <w:sz w:val="24"/>
        </w:rPr>
        <w:t>日</w:t>
      </w:r>
      <w:r>
        <w:rPr>
          <w:rFonts w:hint="eastAsia"/>
          <w:color w:val="000000"/>
          <w:sz w:val="24"/>
        </w:rPr>
        <w:t>起暂停接受单个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</w:rPr>
        <w:t>客户对本基金人民币</w:t>
      </w:r>
      <w:r>
        <w:rPr>
          <w:rFonts w:hint="eastAsia"/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类份额日累计金额超过</w:t>
      </w:r>
      <w:r>
        <w:rPr>
          <w:rFonts w:hint="eastAsia"/>
          <w:color w:val="000000"/>
          <w:sz w:val="24"/>
        </w:rPr>
        <w:t>50</w:t>
      </w:r>
      <w:r>
        <w:rPr>
          <w:rFonts w:hint="eastAsia"/>
          <w:color w:val="000000"/>
          <w:sz w:val="24"/>
        </w:rPr>
        <w:t>万元（不含</w:t>
      </w:r>
      <w:r>
        <w:rPr>
          <w:rFonts w:hint="eastAsia"/>
          <w:color w:val="000000"/>
          <w:sz w:val="24"/>
        </w:rPr>
        <w:t>50</w:t>
      </w:r>
      <w:r>
        <w:rPr>
          <w:rFonts w:hint="eastAsia"/>
          <w:color w:val="000000"/>
          <w:sz w:val="24"/>
        </w:rPr>
        <w:t>万元）的申购及定期定额投资业务申请（详见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17</w:t>
      </w:r>
      <w:r>
        <w:rPr>
          <w:rFonts w:hint="eastAsia"/>
          <w:color w:val="000000"/>
          <w:sz w:val="24"/>
        </w:rPr>
        <w:t>日公告），本基金管理人现决定自</w:t>
      </w:r>
      <w:r>
        <w:rPr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8</w:t>
      </w:r>
      <w:r>
        <w:rPr>
          <w:color w:val="000000"/>
          <w:sz w:val="24"/>
        </w:rPr>
        <w:t>日</w:t>
      </w:r>
      <w:r>
        <w:rPr>
          <w:rFonts w:hint="eastAsia"/>
          <w:color w:val="000000"/>
          <w:sz w:val="24"/>
        </w:rPr>
        <w:t>起对单个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</w:rPr>
        <w:t>客户对本基金人民币</w:t>
      </w:r>
      <w:r>
        <w:rPr>
          <w:rFonts w:hint="eastAsia"/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类份额日累计金额超过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万元（不含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万元）的申购及定期定额投资业务申请进行限制，如单个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</w:rPr>
        <w:t>客户日累计申请金额超过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万元，本基金管理人有权拒绝。单个</w:t>
      </w:r>
      <w:r>
        <w:rPr>
          <w:rFonts w:hint="eastAsia"/>
          <w:color w:val="000000"/>
          <w:sz w:val="24"/>
        </w:rPr>
        <w:t>机构</w:t>
      </w:r>
      <w:r>
        <w:rPr>
          <w:rFonts w:hint="eastAsia"/>
          <w:color w:val="000000"/>
          <w:sz w:val="24"/>
        </w:rPr>
        <w:t>客户对本基金人民币</w:t>
      </w:r>
      <w:r>
        <w:rPr>
          <w:rFonts w:hint="eastAsia"/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类份额的大额申购及定期定额投资业务申请限制仍按照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16</w:t>
      </w:r>
      <w:r>
        <w:rPr>
          <w:rFonts w:hint="eastAsia"/>
          <w:color w:val="000000"/>
          <w:sz w:val="24"/>
        </w:rPr>
        <w:t>日公告执行。</w:t>
      </w:r>
    </w:p>
    <w:p w:rsidR="00EA706E" w:rsidRDefault="007957FE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color w:val="000000"/>
          <w:sz w:val="24"/>
        </w:rPr>
        <w:t>在暂停本基金</w:t>
      </w:r>
      <w:r>
        <w:rPr>
          <w:rFonts w:hint="eastAsia"/>
          <w:color w:val="000000"/>
          <w:sz w:val="24"/>
        </w:rPr>
        <w:t>人民币</w:t>
      </w:r>
      <w:r>
        <w:rPr>
          <w:rFonts w:hint="eastAsia"/>
          <w:color w:val="000000"/>
          <w:sz w:val="24"/>
        </w:rPr>
        <w:t>A</w:t>
      </w:r>
      <w:r>
        <w:rPr>
          <w:color w:val="000000"/>
          <w:sz w:val="24"/>
        </w:rPr>
        <w:t>类份额大额申购及定期定额投资业务期间，本基金</w:t>
      </w:r>
      <w:r>
        <w:rPr>
          <w:rFonts w:hint="eastAsia"/>
          <w:color w:val="000000"/>
          <w:sz w:val="24"/>
        </w:rPr>
        <w:t>人民币</w:t>
      </w:r>
      <w:r>
        <w:rPr>
          <w:rFonts w:hint="eastAsia"/>
          <w:color w:val="000000"/>
          <w:sz w:val="24"/>
        </w:rPr>
        <w:t>A</w:t>
      </w:r>
      <w:r>
        <w:rPr>
          <w:color w:val="000000"/>
          <w:sz w:val="24"/>
        </w:rPr>
        <w:t>类份额</w:t>
      </w:r>
      <w:r>
        <w:rPr>
          <w:rFonts w:hint="eastAsia"/>
          <w:color w:val="000000"/>
          <w:sz w:val="24"/>
        </w:rPr>
        <w:t>单日单个个人客户累计金额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万元（含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万元）以下的申购及定期定额投资以及赎回等业务正常办理。</w:t>
      </w:r>
    </w:p>
    <w:p w:rsidR="00EA706E" w:rsidRDefault="007957FE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本基金管理人</w:t>
      </w:r>
      <w:r>
        <w:rPr>
          <w:rFonts w:hint="eastAsia"/>
          <w:color w:val="000000"/>
          <w:sz w:val="24"/>
        </w:rPr>
        <w:t>原决定自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17</w:t>
      </w:r>
      <w:r>
        <w:rPr>
          <w:color w:val="000000"/>
          <w:sz w:val="24"/>
        </w:rPr>
        <w:t>日</w:t>
      </w:r>
      <w:r>
        <w:rPr>
          <w:rFonts w:hint="eastAsia"/>
          <w:color w:val="000000"/>
          <w:sz w:val="24"/>
        </w:rPr>
        <w:t>起暂停接受单个</w:t>
      </w:r>
      <w:r>
        <w:rPr>
          <w:rFonts w:hint="eastAsia"/>
          <w:color w:val="000000"/>
          <w:sz w:val="24"/>
        </w:rPr>
        <w:t>基金账户</w:t>
      </w:r>
      <w:r>
        <w:rPr>
          <w:rFonts w:hint="eastAsia"/>
          <w:color w:val="000000"/>
          <w:sz w:val="24"/>
        </w:rPr>
        <w:t>对本基金人民币</w:t>
      </w:r>
      <w:r>
        <w:rPr>
          <w:rFonts w:hint="eastAsia"/>
          <w:color w:val="000000"/>
          <w:sz w:val="24"/>
        </w:rPr>
        <w:t>C</w:t>
      </w:r>
      <w:r>
        <w:rPr>
          <w:rFonts w:hint="eastAsia"/>
          <w:color w:val="000000"/>
          <w:sz w:val="24"/>
        </w:rPr>
        <w:t>类份额日累计金额超过</w:t>
      </w:r>
      <w:r>
        <w:rPr>
          <w:rFonts w:hint="eastAsia"/>
          <w:color w:val="000000"/>
          <w:sz w:val="24"/>
        </w:rPr>
        <w:t>5,000</w:t>
      </w:r>
      <w:r>
        <w:rPr>
          <w:rFonts w:hint="eastAsia"/>
          <w:color w:val="000000"/>
          <w:sz w:val="24"/>
        </w:rPr>
        <w:t>元（不含</w:t>
      </w:r>
      <w:r>
        <w:rPr>
          <w:rFonts w:hint="eastAsia"/>
          <w:color w:val="000000"/>
          <w:sz w:val="24"/>
        </w:rPr>
        <w:t>5,000</w:t>
      </w:r>
      <w:r>
        <w:rPr>
          <w:rFonts w:hint="eastAsia"/>
          <w:color w:val="000000"/>
          <w:sz w:val="24"/>
        </w:rPr>
        <w:t>元）的申购及定期定额投资业务申请（详见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16</w:t>
      </w:r>
      <w:r>
        <w:rPr>
          <w:rFonts w:hint="eastAsia"/>
          <w:color w:val="000000"/>
          <w:sz w:val="24"/>
        </w:rPr>
        <w:t>日公告），本基金管理人现决定自</w:t>
      </w:r>
      <w:r>
        <w:rPr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8</w:t>
      </w:r>
      <w:r>
        <w:rPr>
          <w:color w:val="000000"/>
          <w:sz w:val="24"/>
        </w:rPr>
        <w:t>日</w:t>
      </w:r>
      <w:r>
        <w:rPr>
          <w:rFonts w:hint="eastAsia"/>
          <w:color w:val="000000"/>
          <w:sz w:val="24"/>
        </w:rPr>
        <w:t>起对单个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</w:rPr>
        <w:t>客户对本基金人民币</w:t>
      </w:r>
      <w:r>
        <w:rPr>
          <w:rFonts w:hint="eastAsia"/>
          <w:color w:val="000000"/>
          <w:sz w:val="24"/>
        </w:rPr>
        <w:t>C</w:t>
      </w:r>
      <w:r>
        <w:rPr>
          <w:rFonts w:hint="eastAsia"/>
          <w:color w:val="000000"/>
          <w:sz w:val="24"/>
        </w:rPr>
        <w:t>类份额日累计金额超过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万元（不含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万元）的申购及定期定额投资业务申请进行限制，如单个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</w:rPr>
        <w:t>客户日累计申请金额超过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万元，本基金管理人有权拒绝。单个</w:t>
      </w:r>
      <w:r>
        <w:rPr>
          <w:rFonts w:hint="eastAsia"/>
          <w:color w:val="000000"/>
          <w:sz w:val="24"/>
        </w:rPr>
        <w:t>机构</w:t>
      </w:r>
      <w:r>
        <w:rPr>
          <w:rFonts w:hint="eastAsia"/>
          <w:color w:val="000000"/>
          <w:sz w:val="24"/>
        </w:rPr>
        <w:t>客户对本基金人民币</w:t>
      </w:r>
      <w:r>
        <w:rPr>
          <w:rFonts w:hint="eastAsia"/>
          <w:color w:val="000000"/>
          <w:sz w:val="24"/>
        </w:rPr>
        <w:t>C</w:t>
      </w:r>
      <w:r>
        <w:rPr>
          <w:rFonts w:hint="eastAsia"/>
          <w:color w:val="000000"/>
          <w:sz w:val="24"/>
        </w:rPr>
        <w:t>类份额的大额申购及定期定额投资业务申请限制仍按照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16</w:t>
      </w:r>
      <w:r>
        <w:rPr>
          <w:rFonts w:hint="eastAsia"/>
          <w:color w:val="000000"/>
          <w:sz w:val="24"/>
        </w:rPr>
        <w:t>日公告执行。</w:t>
      </w:r>
    </w:p>
    <w:p w:rsidR="00EA706E" w:rsidRDefault="007957FE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color w:val="000000"/>
          <w:sz w:val="24"/>
        </w:rPr>
        <w:t>在暂停本基金</w:t>
      </w:r>
      <w:r>
        <w:rPr>
          <w:rFonts w:hint="eastAsia"/>
          <w:color w:val="000000"/>
          <w:sz w:val="24"/>
        </w:rPr>
        <w:t>人民币</w:t>
      </w:r>
      <w:r>
        <w:rPr>
          <w:rFonts w:hint="eastAsia"/>
          <w:color w:val="000000"/>
          <w:sz w:val="24"/>
        </w:rPr>
        <w:t>C</w:t>
      </w:r>
      <w:r>
        <w:rPr>
          <w:color w:val="000000"/>
          <w:sz w:val="24"/>
        </w:rPr>
        <w:t>类份额大额申购及定期定额投资业务期间，本基金</w:t>
      </w:r>
      <w:r>
        <w:rPr>
          <w:rFonts w:hint="eastAsia"/>
          <w:color w:val="000000"/>
          <w:sz w:val="24"/>
        </w:rPr>
        <w:t>人民币</w:t>
      </w:r>
      <w:r>
        <w:rPr>
          <w:rFonts w:hint="eastAsia"/>
          <w:color w:val="000000"/>
          <w:sz w:val="24"/>
        </w:rPr>
        <w:t>C</w:t>
      </w:r>
      <w:r>
        <w:rPr>
          <w:color w:val="000000"/>
          <w:sz w:val="24"/>
        </w:rPr>
        <w:t>类份额</w:t>
      </w:r>
      <w:r>
        <w:rPr>
          <w:rFonts w:hint="eastAsia"/>
          <w:color w:val="000000"/>
          <w:sz w:val="24"/>
        </w:rPr>
        <w:t>单日单个个人客户累计金额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万元（含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万元）以下的申购及定期定额投资以及赎回等业务正常办理。</w:t>
      </w:r>
    </w:p>
    <w:p w:rsidR="00EA706E" w:rsidRDefault="007957FE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本基金管理人</w:t>
      </w:r>
      <w:r>
        <w:rPr>
          <w:rFonts w:hint="eastAsia"/>
          <w:color w:val="000000"/>
          <w:sz w:val="24"/>
        </w:rPr>
        <w:t>原决定自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17</w:t>
      </w:r>
      <w:r>
        <w:rPr>
          <w:color w:val="000000"/>
          <w:sz w:val="24"/>
        </w:rPr>
        <w:t>日</w:t>
      </w:r>
      <w:r>
        <w:rPr>
          <w:rFonts w:hint="eastAsia"/>
          <w:color w:val="000000"/>
          <w:sz w:val="24"/>
        </w:rPr>
        <w:t>起暂停接受单个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</w:rPr>
        <w:t>客户对本基金人民币</w:t>
      </w:r>
      <w:r>
        <w:rPr>
          <w:rFonts w:hint="eastAsia"/>
          <w:color w:val="000000"/>
          <w:sz w:val="24"/>
        </w:rPr>
        <w:t>E</w:t>
      </w:r>
      <w:r>
        <w:rPr>
          <w:rFonts w:hint="eastAsia"/>
          <w:color w:val="000000"/>
          <w:sz w:val="24"/>
        </w:rPr>
        <w:t>类份额日累计金额超过</w:t>
      </w:r>
      <w:r>
        <w:rPr>
          <w:rFonts w:hint="eastAsia"/>
          <w:color w:val="000000"/>
          <w:sz w:val="24"/>
        </w:rPr>
        <w:t>50</w:t>
      </w:r>
      <w:r>
        <w:rPr>
          <w:rFonts w:hint="eastAsia"/>
          <w:color w:val="000000"/>
          <w:sz w:val="24"/>
        </w:rPr>
        <w:t>万元（不含</w:t>
      </w:r>
      <w:r>
        <w:rPr>
          <w:rFonts w:hint="eastAsia"/>
          <w:color w:val="000000"/>
          <w:sz w:val="24"/>
        </w:rPr>
        <w:t>50</w:t>
      </w:r>
      <w:r>
        <w:rPr>
          <w:rFonts w:hint="eastAsia"/>
          <w:color w:val="000000"/>
          <w:sz w:val="24"/>
        </w:rPr>
        <w:t>万元）的申购及定期定额投资业务申请（详见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14</w:t>
      </w:r>
      <w:r>
        <w:rPr>
          <w:rFonts w:hint="eastAsia"/>
          <w:color w:val="000000"/>
          <w:sz w:val="24"/>
        </w:rPr>
        <w:t>日公告），本基金管理人现决定自</w:t>
      </w:r>
      <w:r>
        <w:rPr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6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8</w:t>
      </w:r>
      <w:r>
        <w:rPr>
          <w:color w:val="000000"/>
          <w:sz w:val="24"/>
        </w:rPr>
        <w:t>日</w:t>
      </w:r>
      <w:r>
        <w:rPr>
          <w:rFonts w:hint="eastAsia"/>
          <w:color w:val="000000"/>
          <w:sz w:val="24"/>
        </w:rPr>
        <w:t>起对单个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</w:rPr>
        <w:t>客户对本基金人民币</w:t>
      </w:r>
      <w:r>
        <w:rPr>
          <w:rFonts w:hint="eastAsia"/>
          <w:color w:val="000000"/>
          <w:sz w:val="24"/>
        </w:rPr>
        <w:t>E</w:t>
      </w:r>
      <w:r>
        <w:rPr>
          <w:rFonts w:hint="eastAsia"/>
          <w:color w:val="000000"/>
          <w:sz w:val="24"/>
        </w:rPr>
        <w:t>类份额日累计金额超过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万元（不含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万元）的申购及定期定额投资业务申请进行限制，如单个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</w:rPr>
        <w:t>客户日累计申请金额超过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万元，本基金管理人有权拒绝。单个</w:t>
      </w:r>
      <w:r>
        <w:rPr>
          <w:rFonts w:hint="eastAsia"/>
          <w:color w:val="000000"/>
          <w:sz w:val="24"/>
        </w:rPr>
        <w:t>机构</w:t>
      </w:r>
      <w:r>
        <w:rPr>
          <w:rFonts w:hint="eastAsia"/>
          <w:color w:val="000000"/>
          <w:sz w:val="24"/>
        </w:rPr>
        <w:t>客户对本基金人民币</w:t>
      </w:r>
      <w:r>
        <w:rPr>
          <w:rFonts w:hint="eastAsia"/>
          <w:color w:val="000000"/>
          <w:sz w:val="24"/>
        </w:rPr>
        <w:t>E</w:t>
      </w:r>
      <w:r>
        <w:rPr>
          <w:rFonts w:hint="eastAsia"/>
          <w:color w:val="000000"/>
          <w:sz w:val="24"/>
        </w:rPr>
        <w:t>类份额的大额申购及定期定额投资业务申请限制仍按照</w:t>
      </w:r>
      <w:r>
        <w:rPr>
          <w:rFonts w:hint="eastAsia"/>
          <w:color w:val="000000"/>
          <w:sz w:val="24"/>
        </w:rPr>
        <w:t>202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25</w:t>
      </w:r>
      <w:r>
        <w:rPr>
          <w:rFonts w:hint="eastAsia"/>
          <w:color w:val="000000"/>
          <w:sz w:val="24"/>
        </w:rPr>
        <w:t>日公告执行。</w:t>
      </w:r>
    </w:p>
    <w:p w:rsidR="00EA706E" w:rsidRDefault="007957FE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color w:val="000000"/>
          <w:sz w:val="24"/>
        </w:rPr>
        <w:t>在暂停本基金</w:t>
      </w:r>
      <w:r>
        <w:rPr>
          <w:rFonts w:hint="eastAsia"/>
          <w:color w:val="000000"/>
          <w:sz w:val="24"/>
        </w:rPr>
        <w:t>人民币</w:t>
      </w:r>
      <w:r>
        <w:rPr>
          <w:rFonts w:hint="eastAsia"/>
          <w:color w:val="000000"/>
          <w:sz w:val="24"/>
        </w:rPr>
        <w:t>E</w:t>
      </w:r>
      <w:r>
        <w:rPr>
          <w:color w:val="000000"/>
          <w:sz w:val="24"/>
        </w:rPr>
        <w:t>类份额大额申购及定期定额投资业务期间，本基金</w:t>
      </w:r>
      <w:r>
        <w:rPr>
          <w:rFonts w:hint="eastAsia"/>
          <w:color w:val="000000"/>
          <w:sz w:val="24"/>
        </w:rPr>
        <w:t>人民币</w:t>
      </w:r>
      <w:r>
        <w:rPr>
          <w:rFonts w:hint="eastAsia"/>
          <w:color w:val="000000"/>
          <w:sz w:val="24"/>
        </w:rPr>
        <w:t>E</w:t>
      </w:r>
      <w:r>
        <w:rPr>
          <w:color w:val="000000"/>
          <w:sz w:val="24"/>
        </w:rPr>
        <w:t>类份额</w:t>
      </w:r>
      <w:r>
        <w:rPr>
          <w:rFonts w:hint="eastAsia"/>
          <w:color w:val="000000"/>
          <w:sz w:val="24"/>
        </w:rPr>
        <w:t>单日单个个人客户累计金额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万元（含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万元）以下的申购及定期定额投资以及赎回等业务正常办理。</w:t>
      </w:r>
    </w:p>
    <w:p w:rsidR="00EA706E" w:rsidRDefault="007957FE">
      <w:pPr>
        <w:numPr>
          <w:ilvl w:val="0"/>
          <w:numId w:val="3"/>
        </w:numPr>
        <w:ind w:firstLine="420"/>
        <w:rPr>
          <w:color w:val="000000"/>
          <w:sz w:val="24"/>
        </w:rPr>
      </w:pPr>
      <w:r>
        <w:rPr>
          <w:color w:val="000000"/>
          <w:sz w:val="24"/>
        </w:rPr>
        <w:t>关于恢复本基金</w:t>
      </w:r>
      <w:r>
        <w:rPr>
          <w:rFonts w:hint="eastAsia"/>
          <w:color w:val="000000"/>
          <w:sz w:val="24"/>
        </w:rPr>
        <w:t>人民币</w:t>
      </w:r>
      <w:r>
        <w:rPr>
          <w:rFonts w:hint="eastAsia"/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C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E</w:t>
      </w:r>
      <w:r>
        <w:rPr>
          <w:color w:val="000000"/>
          <w:sz w:val="24"/>
        </w:rPr>
        <w:t>类份额大额申购及定期定额投资业务的时间，基金管理人将另行公告。</w:t>
      </w:r>
    </w:p>
    <w:p w:rsidR="00EA706E" w:rsidRDefault="007957FE">
      <w:p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8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  <w:bookmarkStart w:id="2" w:name="_GoBack"/>
      <w:bookmarkEnd w:id="2"/>
    </w:p>
    <w:p w:rsidR="00EA706E" w:rsidRDefault="007957FE">
      <w:pPr>
        <w:ind w:firstLine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9</w:t>
      </w:r>
      <w:r>
        <w:rPr>
          <w:color w:val="000000"/>
          <w:sz w:val="24"/>
        </w:rPr>
        <w:t>、风险提示：本公司承诺以诚实信用、勤勉尽责的原则管理和运用基金</w:t>
      </w:r>
      <w:r>
        <w:rPr>
          <w:color w:val="000000"/>
          <w:sz w:val="24"/>
        </w:rPr>
        <w:t>资产，但不保证基金一定盈利，也不保证最低收益。敬请投资者注意投资风险。投资者投资于上述基金前应认真阅读基金的基金合同、更新的招募说明书及相关公告。</w:t>
      </w:r>
    </w:p>
    <w:p w:rsidR="00EA706E" w:rsidRDefault="007957FE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EA706E" w:rsidRDefault="007957FE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EA706E" w:rsidRDefault="007957FE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</w:t>
      </w:r>
      <w:r>
        <w:rPr>
          <w:rFonts w:ascii="宋体" w:hAnsi="宋体" w:hint="eastAsia"/>
          <w:color w:val="000000"/>
          <w:kern w:val="0"/>
          <w:sz w:val="24"/>
        </w:rPr>
        <w:t>6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1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7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EA706E" w:rsidSect="00EA706E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5180"/>
    <w:multiLevelType w:val="multilevel"/>
    <w:tmpl w:val="63755180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55B38B"/>
    <w:multiLevelType w:val="singleLevel"/>
    <w:tmpl w:val="7055B38B"/>
    <w:lvl w:ilvl="0">
      <w:start w:val="1"/>
      <w:numFmt w:val="decimal"/>
      <w:suff w:val="nothing"/>
      <w:lvlText w:val="%1、"/>
      <w:lvlJc w:val="left"/>
    </w:lvl>
  </w:abstractNum>
  <w:abstractNum w:abstractNumId="2">
    <w:nsid w:val="7B4426EE"/>
    <w:multiLevelType w:val="multilevel"/>
    <w:tmpl w:val="7B4426E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87F42"/>
    <w:rsid w:val="00032D94"/>
    <w:rsid w:val="00055E93"/>
    <w:rsid w:val="00057684"/>
    <w:rsid w:val="000634F0"/>
    <w:rsid w:val="000672A2"/>
    <w:rsid w:val="00076791"/>
    <w:rsid w:val="00084AE5"/>
    <w:rsid w:val="000923D0"/>
    <w:rsid w:val="000977A6"/>
    <w:rsid w:val="000B52D5"/>
    <w:rsid w:val="000B5FFC"/>
    <w:rsid w:val="000D34BA"/>
    <w:rsid w:val="00103B85"/>
    <w:rsid w:val="00125246"/>
    <w:rsid w:val="00126599"/>
    <w:rsid w:val="001434F1"/>
    <w:rsid w:val="00160463"/>
    <w:rsid w:val="0017060B"/>
    <w:rsid w:val="0017409F"/>
    <w:rsid w:val="00174FE8"/>
    <w:rsid w:val="001816B0"/>
    <w:rsid w:val="001A23F3"/>
    <w:rsid w:val="001C0B72"/>
    <w:rsid w:val="001C6EF6"/>
    <w:rsid w:val="001E3807"/>
    <w:rsid w:val="001F3FE6"/>
    <w:rsid w:val="00202AF4"/>
    <w:rsid w:val="002246FB"/>
    <w:rsid w:val="002312BB"/>
    <w:rsid w:val="0024016F"/>
    <w:rsid w:val="00242AF0"/>
    <w:rsid w:val="002553C3"/>
    <w:rsid w:val="0025618E"/>
    <w:rsid w:val="00281317"/>
    <w:rsid w:val="00281AE2"/>
    <w:rsid w:val="00282DEB"/>
    <w:rsid w:val="00293001"/>
    <w:rsid w:val="002D4A9A"/>
    <w:rsid w:val="002E01DC"/>
    <w:rsid w:val="003006F6"/>
    <w:rsid w:val="003250BC"/>
    <w:rsid w:val="0033773A"/>
    <w:rsid w:val="00340BC0"/>
    <w:rsid w:val="00363752"/>
    <w:rsid w:val="00365403"/>
    <w:rsid w:val="003673E9"/>
    <w:rsid w:val="00370B6E"/>
    <w:rsid w:val="00387F42"/>
    <w:rsid w:val="00391684"/>
    <w:rsid w:val="003B74CD"/>
    <w:rsid w:val="003C2515"/>
    <w:rsid w:val="003C41E4"/>
    <w:rsid w:val="003D4F4B"/>
    <w:rsid w:val="003F07FE"/>
    <w:rsid w:val="003F12E1"/>
    <w:rsid w:val="00416857"/>
    <w:rsid w:val="00424BC6"/>
    <w:rsid w:val="00447620"/>
    <w:rsid w:val="0046512C"/>
    <w:rsid w:val="00482A8B"/>
    <w:rsid w:val="0049108C"/>
    <w:rsid w:val="00492A32"/>
    <w:rsid w:val="004A694F"/>
    <w:rsid w:val="004B10FE"/>
    <w:rsid w:val="004D08A0"/>
    <w:rsid w:val="004F696C"/>
    <w:rsid w:val="0050311A"/>
    <w:rsid w:val="00507A11"/>
    <w:rsid w:val="00513F60"/>
    <w:rsid w:val="0051530D"/>
    <w:rsid w:val="00537D6D"/>
    <w:rsid w:val="00544911"/>
    <w:rsid w:val="00583FB4"/>
    <w:rsid w:val="005A00CB"/>
    <w:rsid w:val="005A16E0"/>
    <w:rsid w:val="005A6FFF"/>
    <w:rsid w:val="005E24C4"/>
    <w:rsid w:val="006072E3"/>
    <w:rsid w:val="0061070B"/>
    <w:rsid w:val="0061664E"/>
    <w:rsid w:val="00622FB2"/>
    <w:rsid w:val="006276AF"/>
    <w:rsid w:val="00627E9A"/>
    <w:rsid w:val="00641DD8"/>
    <w:rsid w:val="006462FC"/>
    <w:rsid w:val="00662818"/>
    <w:rsid w:val="00673157"/>
    <w:rsid w:val="00676DFD"/>
    <w:rsid w:val="00684475"/>
    <w:rsid w:val="00684853"/>
    <w:rsid w:val="006D3B75"/>
    <w:rsid w:val="006D54B2"/>
    <w:rsid w:val="00716B5E"/>
    <w:rsid w:val="00752807"/>
    <w:rsid w:val="00763987"/>
    <w:rsid w:val="007640F1"/>
    <w:rsid w:val="007661A5"/>
    <w:rsid w:val="007929AB"/>
    <w:rsid w:val="007957FE"/>
    <w:rsid w:val="00796044"/>
    <w:rsid w:val="007A3AF2"/>
    <w:rsid w:val="007A4B62"/>
    <w:rsid w:val="007E2B84"/>
    <w:rsid w:val="007F453D"/>
    <w:rsid w:val="0081304A"/>
    <w:rsid w:val="008162FD"/>
    <w:rsid w:val="0083283D"/>
    <w:rsid w:val="008356C2"/>
    <w:rsid w:val="00836563"/>
    <w:rsid w:val="00847A71"/>
    <w:rsid w:val="00872ACE"/>
    <w:rsid w:val="00875755"/>
    <w:rsid w:val="00877069"/>
    <w:rsid w:val="0089500E"/>
    <w:rsid w:val="009269A3"/>
    <w:rsid w:val="00932CA8"/>
    <w:rsid w:val="009413D9"/>
    <w:rsid w:val="009572BF"/>
    <w:rsid w:val="00961000"/>
    <w:rsid w:val="009862C8"/>
    <w:rsid w:val="009864A7"/>
    <w:rsid w:val="00995E8E"/>
    <w:rsid w:val="009968AC"/>
    <w:rsid w:val="009A7A98"/>
    <w:rsid w:val="009D4F57"/>
    <w:rsid w:val="009F21A3"/>
    <w:rsid w:val="00A1179E"/>
    <w:rsid w:val="00A41E37"/>
    <w:rsid w:val="00A64FD3"/>
    <w:rsid w:val="00A90890"/>
    <w:rsid w:val="00A90AC9"/>
    <w:rsid w:val="00AA5BD2"/>
    <w:rsid w:val="00AB05DB"/>
    <w:rsid w:val="00AC6211"/>
    <w:rsid w:val="00AF02DA"/>
    <w:rsid w:val="00B020E2"/>
    <w:rsid w:val="00B039C5"/>
    <w:rsid w:val="00B23342"/>
    <w:rsid w:val="00B252A6"/>
    <w:rsid w:val="00B27512"/>
    <w:rsid w:val="00B37EDF"/>
    <w:rsid w:val="00B43EEF"/>
    <w:rsid w:val="00B5552F"/>
    <w:rsid w:val="00B828F9"/>
    <w:rsid w:val="00B8460B"/>
    <w:rsid w:val="00B95FDF"/>
    <w:rsid w:val="00BB0834"/>
    <w:rsid w:val="00BC09E0"/>
    <w:rsid w:val="00BC2B20"/>
    <w:rsid w:val="00BD2CCA"/>
    <w:rsid w:val="00C0304E"/>
    <w:rsid w:val="00C14369"/>
    <w:rsid w:val="00C15863"/>
    <w:rsid w:val="00C32EF7"/>
    <w:rsid w:val="00C43225"/>
    <w:rsid w:val="00C7384A"/>
    <w:rsid w:val="00C740F4"/>
    <w:rsid w:val="00C82B41"/>
    <w:rsid w:val="00CA5A48"/>
    <w:rsid w:val="00CC199B"/>
    <w:rsid w:val="00CF309F"/>
    <w:rsid w:val="00D3025E"/>
    <w:rsid w:val="00D3544B"/>
    <w:rsid w:val="00D7653E"/>
    <w:rsid w:val="00D76BCA"/>
    <w:rsid w:val="00D91D63"/>
    <w:rsid w:val="00D9785E"/>
    <w:rsid w:val="00DC1C3B"/>
    <w:rsid w:val="00DD68C9"/>
    <w:rsid w:val="00E13E89"/>
    <w:rsid w:val="00E13FF3"/>
    <w:rsid w:val="00E434C9"/>
    <w:rsid w:val="00E458D5"/>
    <w:rsid w:val="00E6133E"/>
    <w:rsid w:val="00E63817"/>
    <w:rsid w:val="00E663C8"/>
    <w:rsid w:val="00E93DB2"/>
    <w:rsid w:val="00E95CB5"/>
    <w:rsid w:val="00EA706E"/>
    <w:rsid w:val="00EC0FEA"/>
    <w:rsid w:val="00EC6901"/>
    <w:rsid w:val="00ED2EA3"/>
    <w:rsid w:val="00EF64FA"/>
    <w:rsid w:val="00F03CB3"/>
    <w:rsid w:val="00F076FE"/>
    <w:rsid w:val="00F46B02"/>
    <w:rsid w:val="00F70607"/>
    <w:rsid w:val="00F92AE4"/>
    <w:rsid w:val="00F93F60"/>
    <w:rsid w:val="00F961C1"/>
    <w:rsid w:val="00FB797F"/>
    <w:rsid w:val="00FD2AE2"/>
    <w:rsid w:val="00FE5168"/>
    <w:rsid w:val="01AF4249"/>
    <w:rsid w:val="01E07623"/>
    <w:rsid w:val="01EF65B9"/>
    <w:rsid w:val="0413083D"/>
    <w:rsid w:val="04241DDC"/>
    <w:rsid w:val="04EB0520"/>
    <w:rsid w:val="06331B3C"/>
    <w:rsid w:val="06582C75"/>
    <w:rsid w:val="08095497"/>
    <w:rsid w:val="093C74AB"/>
    <w:rsid w:val="0B4D2798"/>
    <w:rsid w:val="0B914186"/>
    <w:rsid w:val="0CCB0EB2"/>
    <w:rsid w:val="0D294819"/>
    <w:rsid w:val="0FFF04BC"/>
    <w:rsid w:val="10B0706C"/>
    <w:rsid w:val="121A7943"/>
    <w:rsid w:val="12213A4B"/>
    <w:rsid w:val="14001A0B"/>
    <w:rsid w:val="141F3511"/>
    <w:rsid w:val="15220C25"/>
    <w:rsid w:val="175A4C10"/>
    <w:rsid w:val="1824372C"/>
    <w:rsid w:val="188A3223"/>
    <w:rsid w:val="18DC7657"/>
    <w:rsid w:val="18F45EEF"/>
    <w:rsid w:val="19A47D92"/>
    <w:rsid w:val="1BC16BC7"/>
    <w:rsid w:val="1CE21A70"/>
    <w:rsid w:val="1E6B1006"/>
    <w:rsid w:val="1F217DA1"/>
    <w:rsid w:val="23D4597F"/>
    <w:rsid w:val="251F22F5"/>
    <w:rsid w:val="25E17963"/>
    <w:rsid w:val="266D65F7"/>
    <w:rsid w:val="2816750C"/>
    <w:rsid w:val="2E874F00"/>
    <w:rsid w:val="3044003E"/>
    <w:rsid w:val="35E76CF9"/>
    <w:rsid w:val="362670DC"/>
    <w:rsid w:val="38967CF8"/>
    <w:rsid w:val="3A1D4D12"/>
    <w:rsid w:val="3A4E3D7D"/>
    <w:rsid w:val="3A5C40A4"/>
    <w:rsid w:val="3A8263B2"/>
    <w:rsid w:val="3AC7657F"/>
    <w:rsid w:val="3B993045"/>
    <w:rsid w:val="3BA9752F"/>
    <w:rsid w:val="3D4207E1"/>
    <w:rsid w:val="3F964EF1"/>
    <w:rsid w:val="406A16BE"/>
    <w:rsid w:val="40AC2859"/>
    <w:rsid w:val="43D95D00"/>
    <w:rsid w:val="44283229"/>
    <w:rsid w:val="45CE1495"/>
    <w:rsid w:val="46191F15"/>
    <w:rsid w:val="461A77AC"/>
    <w:rsid w:val="491A59E3"/>
    <w:rsid w:val="49F30C25"/>
    <w:rsid w:val="4BDA621E"/>
    <w:rsid w:val="4CBA3672"/>
    <w:rsid w:val="4F121247"/>
    <w:rsid w:val="4F6C04D0"/>
    <w:rsid w:val="4FAC0EB5"/>
    <w:rsid w:val="50E336C1"/>
    <w:rsid w:val="512B513A"/>
    <w:rsid w:val="517A77B2"/>
    <w:rsid w:val="51B34E0C"/>
    <w:rsid w:val="52EE4A1B"/>
    <w:rsid w:val="536E1052"/>
    <w:rsid w:val="566343DC"/>
    <w:rsid w:val="5908019E"/>
    <w:rsid w:val="5975717C"/>
    <w:rsid w:val="59E0058C"/>
    <w:rsid w:val="5A041940"/>
    <w:rsid w:val="5BE74A2E"/>
    <w:rsid w:val="5C0C7E11"/>
    <w:rsid w:val="645460B2"/>
    <w:rsid w:val="65DA7B27"/>
    <w:rsid w:val="65F7036C"/>
    <w:rsid w:val="674B4506"/>
    <w:rsid w:val="67FE3FA9"/>
    <w:rsid w:val="694E26B9"/>
    <w:rsid w:val="69D87020"/>
    <w:rsid w:val="6B410883"/>
    <w:rsid w:val="6C3F2D24"/>
    <w:rsid w:val="6CAF20DF"/>
    <w:rsid w:val="6DAC0CFD"/>
    <w:rsid w:val="6EE132F8"/>
    <w:rsid w:val="706E1197"/>
    <w:rsid w:val="72814C5A"/>
    <w:rsid w:val="73FF295B"/>
    <w:rsid w:val="79B44354"/>
    <w:rsid w:val="7B4F534F"/>
    <w:rsid w:val="7C01687E"/>
    <w:rsid w:val="7EC54E07"/>
    <w:rsid w:val="7F67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A706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EA706E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EA706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qFormat/>
    <w:rsid w:val="00EA706E"/>
    <w:pPr>
      <w:shd w:val="clear" w:color="auto" w:fill="000080"/>
    </w:pPr>
  </w:style>
  <w:style w:type="paragraph" w:styleId="3">
    <w:name w:val="toc 3"/>
    <w:next w:val="a0"/>
    <w:uiPriority w:val="39"/>
    <w:unhideWhenUsed/>
    <w:qFormat/>
    <w:rsid w:val="00EA706E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qFormat/>
    <w:rsid w:val="00EA706E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qFormat/>
    <w:rsid w:val="00EA7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qFormat/>
    <w:rsid w:val="00EA7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uiPriority w:val="39"/>
    <w:unhideWhenUsed/>
    <w:qFormat/>
    <w:rsid w:val="00EA706E"/>
    <w:pPr>
      <w:spacing w:after="100"/>
    </w:pPr>
  </w:style>
  <w:style w:type="paragraph" w:styleId="4">
    <w:name w:val="toc 4"/>
    <w:next w:val="a0"/>
    <w:uiPriority w:val="39"/>
    <w:unhideWhenUsed/>
    <w:qFormat/>
    <w:rsid w:val="00EA706E"/>
    <w:pPr>
      <w:spacing w:after="100"/>
      <w:ind w:left="660"/>
    </w:pPr>
  </w:style>
  <w:style w:type="paragraph" w:styleId="a8">
    <w:name w:val="footnote text"/>
    <w:basedOn w:val="a0"/>
    <w:qFormat/>
    <w:rsid w:val="00EA706E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uiPriority w:val="39"/>
    <w:unhideWhenUsed/>
    <w:qFormat/>
    <w:rsid w:val="00EA706E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EA706E"/>
    <w:pPr>
      <w:numPr>
        <w:numId w:val="2"/>
      </w:numPr>
      <w:spacing w:before="120" w:after="120"/>
    </w:pPr>
    <w:rPr>
      <w:rFonts w:ascii="Calibri" w:hAnsi="Calibri"/>
      <w:sz w:val="28"/>
      <w:lang w:val="zh-CN"/>
    </w:rPr>
  </w:style>
  <w:style w:type="character" w:styleId="a9">
    <w:name w:val="Hyperlink"/>
    <w:uiPriority w:val="99"/>
    <w:unhideWhenUsed/>
    <w:qFormat/>
    <w:rsid w:val="00EA706E"/>
    <w:rPr>
      <w:color w:val="0563C1" w:themeColor="hyperlink"/>
      <w:u w:val="single"/>
    </w:rPr>
  </w:style>
  <w:style w:type="character" w:styleId="aa">
    <w:name w:val="footnote reference"/>
    <w:qFormat/>
    <w:rsid w:val="00EA706E"/>
    <w:rPr>
      <w:vertAlign w:val="superscript"/>
    </w:rPr>
  </w:style>
  <w:style w:type="paragraph" w:customStyle="1" w:styleId="Char3">
    <w:name w:val="Char"/>
    <w:basedOn w:val="a0"/>
    <w:qFormat/>
    <w:rsid w:val="00EA706E"/>
  </w:style>
  <w:style w:type="character" w:customStyle="1" w:styleId="Char1">
    <w:name w:val="页眉 Char"/>
    <w:link w:val="a7"/>
    <w:qFormat/>
    <w:rsid w:val="00EA706E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EA706E"/>
    <w:rPr>
      <w:kern w:val="2"/>
      <w:sz w:val="18"/>
      <w:szCs w:val="18"/>
    </w:rPr>
  </w:style>
  <w:style w:type="character" w:customStyle="1" w:styleId="Char2">
    <w:name w:val="标题 Char"/>
    <w:link w:val="a"/>
    <w:qFormat/>
    <w:rsid w:val="00EA706E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qFormat/>
    <w:rsid w:val="00EA706E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EA706E"/>
    <w:rPr>
      <w:lang w:eastAsia="ja-JP"/>
    </w:rPr>
  </w:style>
  <w:style w:type="character" w:customStyle="1" w:styleId="Char">
    <w:name w:val="批注框文本 Char"/>
    <w:link w:val="a5"/>
    <w:uiPriority w:val="99"/>
    <w:semiHidden/>
    <w:qFormat/>
    <w:rsid w:val="00EA7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共同基金_临时公告(基金暂停大额申购等业务公告)_LS0000_公募临时公告.dotx</Template>
  <TotalTime>0</TotalTime>
  <Pages>3</Pages>
  <Words>317</Words>
  <Characters>1809</Characters>
  <Application>Microsoft Office Word</Application>
  <DocSecurity>4</DocSecurity>
  <Lines>15</Lines>
  <Paragraphs>4</Paragraphs>
  <ScaleCrop>false</ScaleCrop>
  <Company>fullgoal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2026-01-06T16:01:00Z</dcterms:created>
  <dcterms:modified xsi:type="dcterms:W3CDTF">2026-01-06T16:01:00Z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BA4DE8DF35F048ED8A86B68C506A01BC</vt:lpwstr>
  </property>
</Properties>
</file>