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1803ED">
      <w:pPr>
        <w:pStyle w:val="XBRL2"/>
        <w:spacing w:before="156"/>
      </w:pPr>
      <w:bookmarkStart w:id="0" w:name="_Toc510201001"/>
      <w:bookmarkEnd w:id="0"/>
      <w:r>
        <w:t xml:space="preserve">　</w:t>
      </w:r>
      <w:r>
        <w:t xml:space="preserve"> </w:t>
      </w:r>
    </w:p>
    <w:p w:rsidR="00000000" w:rsidRDefault="001803ED">
      <w:pPr>
        <w:jc w:val="center"/>
      </w:pPr>
      <w:r>
        <w:rPr>
          <w:rFonts w:cs="Times New Roman" w:hint="eastAsia"/>
          <w:b/>
          <w:sz w:val="48"/>
          <w:szCs w:val="48"/>
        </w:rPr>
        <w:t>关于华富安鑫债券型证券投资基金暂停大额申购、定投及转换转入业务的公告</w:t>
      </w:r>
    </w:p>
    <w:p w:rsidR="00000000" w:rsidRDefault="001803ED">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803ED">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803ED">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803ED">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803ED">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803ED">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803ED">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803ED">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803ED">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803ED">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803ED">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803ED">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803ED">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1803ED">
      <w:pPr>
        <w:spacing w:line="360" w:lineRule="auto"/>
        <w:jc w:val="center"/>
        <w:rPr>
          <w:rFonts w:hint="eastAsia"/>
        </w:rPr>
      </w:pPr>
      <w:r>
        <w:rPr>
          <w:rFonts w:hint="eastAsia"/>
          <w:b/>
          <w:bCs/>
          <w:sz w:val="24"/>
          <w:szCs w:val="30"/>
        </w:rPr>
        <w:t>公告送出日期：</w:t>
      </w:r>
      <w:r>
        <w:rPr>
          <w:rFonts w:hint="eastAsia"/>
          <w:b/>
          <w:bCs/>
          <w:sz w:val="24"/>
          <w:szCs w:val="30"/>
        </w:rPr>
        <w:t>202</w:t>
      </w:r>
      <w:r>
        <w:rPr>
          <w:rFonts w:hint="eastAsia"/>
          <w:b/>
          <w:bCs/>
          <w:sz w:val="24"/>
          <w:szCs w:val="30"/>
        </w:rPr>
        <w:t>6</w:t>
      </w:r>
      <w:r>
        <w:rPr>
          <w:rFonts w:hint="eastAsia"/>
          <w:b/>
          <w:bCs/>
          <w:sz w:val="24"/>
          <w:szCs w:val="30"/>
        </w:rPr>
        <w:t>年</w:t>
      </w:r>
      <w:r>
        <w:rPr>
          <w:rFonts w:hint="eastAsia"/>
          <w:b/>
          <w:bCs/>
          <w:sz w:val="24"/>
          <w:szCs w:val="30"/>
        </w:rPr>
        <w:t>1</w:t>
      </w:r>
      <w:r>
        <w:rPr>
          <w:rFonts w:hint="eastAsia"/>
          <w:b/>
          <w:bCs/>
          <w:sz w:val="24"/>
          <w:szCs w:val="30"/>
        </w:rPr>
        <w:t>月</w:t>
      </w:r>
      <w:r>
        <w:rPr>
          <w:rFonts w:hint="eastAsia"/>
          <w:b/>
          <w:bCs/>
          <w:sz w:val="24"/>
          <w:szCs w:val="30"/>
        </w:rPr>
        <w:t>7</w:t>
      </w:r>
      <w:r>
        <w:rPr>
          <w:rFonts w:hint="eastAsia"/>
          <w:b/>
          <w:bCs/>
          <w:sz w:val="24"/>
          <w:szCs w:val="30"/>
        </w:rPr>
        <w:t>日</w:t>
      </w:r>
    </w:p>
    <w:p w:rsidR="00000000" w:rsidRDefault="001803ED">
      <w:pPr>
        <w:pStyle w:val="XBRLTitle1"/>
        <w:spacing w:before="156"/>
        <w:jc w:val="left"/>
        <w:rPr>
          <w:rFonts w:hint="eastAsia"/>
        </w:rPr>
      </w:pPr>
      <w:r>
        <w:rPr>
          <w:rFonts w:hint="eastAsia"/>
          <w:b w:val="0"/>
          <w:bCs w:val="0"/>
          <w:color w:val="404040"/>
          <w:kern w:val="0"/>
        </w:rPr>
        <w:br w:type="page"/>
      </w:r>
      <w:bookmarkStart w:id="1" w:name="_Toc513295846"/>
      <w:bookmarkStart w:id="2" w:name="_Toc490050000"/>
      <w:bookmarkStart w:id="3" w:name="_Toc34322059"/>
      <w:bookmarkStart w:id="4" w:name="_Toc513295892"/>
      <w:bookmarkStart w:id="5" w:name="_Toc17897936"/>
      <w:bookmarkStart w:id="6" w:name="_Toc17898178"/>
      <w:bookmarkStart w:id="7" w:name="_Toc481075046"/>
      <w:bookmarkStart w:id="8" w:name="_Toc512519480"/>
      <w:bookmarkStart w:id="9" w:name="_Toc438646451"/>
      <w:bookmarkStart w:id="10" w:name="m101"/>
      <w:bookmarkStart w:id="11" w:name="_Toc194311890"/>
      <w:bookmarkStart w:id="12" w:name="m01_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897" w:type="dxa"/>
        <w:tblInd w:w="0"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tblPr>
      <w:tblGrid>
        <w:gridCol w:w="1349"/>
        <w:gridCol w:w="2989"/>
        <w:gridCol w:w="2199"/>
        <w:gridCol w:w="2360"/>
      </w:tblGrid>
      <w:tr w:rsidR="00000000">
        <w:tc>
          <w:tcPr>
            <w:tcW w:w="43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ascii="Calibri" w:hAnsi="Calibri" w:hint="eastAsia"/>
              </w:rPr>
              <w:t>基金名称</w:t>
            </w:r>
          </w:p>
        </w:tc>
        <w:tc>
          <w:tcPr>
            <w:tcW w:w="4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1803ED">
            <w:pPr>
              <w:rPr>
                <w:rFonts w:ascii="宋体" w:hAnsi="宋体" w:hint="eastAsia"/>
                <w:szCs w:val="21"/>
              </w:rPr>
            </w:pPr>
            <w:r>
              <w:rPr>
                <w:rFonts w:hint="eastAsia"/>
              </w:rPr>
              <w:t>华富安鑫债券型证券投资基金</w:t>
            </w:r>
          </w:p>
        </w:tc>
      </w:tr>
      <w:tr w:rsidR="00000000">
        <w:tc>
          <w:tcPr>
            <w:tcW w:w="43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hint="eastAsia"/>
              </w:rPr>
              <w:t>基金简称</w:t>
            </w:r>
            <w:r>
              <w:rPr>
                <w:rFonts w:hint="eastAsia"/>
              </w:rPr>
              <w:t xml:space="preserve"> </w:t>
            </w:r>
          </w:p>
        </w:tc>
        <w:tc>
          <w:tcPr>
            <w:tcW w:w="4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1803ED">
            <w:pPr>
              <w:rPr>
                <w:rFonts w:ascii="宋体" w:hAnsi="宋体" w:hint="eastAsia"/>
                <w:szCs w:val="21"/>
              </w:rPr>
            </w:pPr>
            <w:r>
              <w:rPr>
                <w:rFonts w:ascii="宋体" w:hAnsi="宋体" w:hint="eastAsia"/>
                <w:szCs w:val="21"/>
              </w:rPr>
              <w:t>华富安鑫</w:t>
            </w:r>
            <w:r>
              <w:rPr>
                <w:rFonts w:ascii="宋体" w:hAnsi="宋体"/>
                <w:szCs w:val="21"/>
              </w:rPr>
              <w:t>债券</w:t>
            </w:r>
          </w:p>
        </w:tc>
      </w:tr>
      <w:tr w:rsidR="00000000">
        <w:tc>
          <w:tcPr>
            <w:tcW w:w="43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hint="eastAsia"/>
              </w:rPr>
              <w:t>基金主代码</w:t>
            </w:r>
            <w:r>
              <w:rPr>
                <w:rFonts w:hint="eastAsia"/>
              </w:rPr>
              <w:t xml:space="preserve"> </w:t>
            </w:r>
          </w:p>
        </w:tc>
        <w:tc>
          <w:tcPr>
            <w:tcW w:w="4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1803ED">
            <w:pPr>
              <w:rPr>
                <w:rFonts w:ascii="宋体" w:hAnsi="宋体"/>
                <w:szCs w:val="21"/>
              </w:rPr>
            </w:pPr>
            <w:r>
              <w:rPr>
                <w:rFonts w:ascii="宋体" w:hAnsi="宋体"/>
                <w:szCs w:val="21"/>
              </w:rPr>
              <w:t>000028</w:t>
            </w:r>
          </w:p>
        </w:tc>
      </w:tr>
      <w:tr w:rsidR="00000000">
        <w:tc>
          <w:tcPr>
            <w:tcW w:w="43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ascii="Calibri" w:hAnsi="Calibri" w:hint="eastAsia"/>
              </w:rPr>
              <w:t>基金管理人名称</w:t>
            </w:r>
          </w:p>
        </w:tc>
        <w:tc>
          <w:tcPr>
            <w:tcW w:w="4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hint="eastAsia"/>
              </w:rPr>
              <w:t>华富基金管理有限公司</w:t>
            </w:r>
          </w:p>
        </w:tc>
      </w:tr>
      <w:tr w:rsidR="00000000">
        <w:tc>
          <w:tcPr>
            <w:tcW w:w="43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ascii="Calibri" w:hAnsi="Calibri" w:hint="eastAsia"/>
              </w:rPr>
              <w:t>公告依据</w:t>
            </w:r>
          </w:p>
        </w:tc>
        <w:tc>
          <w:tcPr>
            <w:tcW w:w="4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hint="eastAsia"/>
              </w:rPr>
              <w:t>根据《中华人民共和国证券投资基金法》《公开募集证券投资基金运作管理办法》《公开募集证券投资基金信息披露管理办法》</w:t>
            </w:r>
            <w:r>
              <w:rPr>
                <w:rFonts w:ascii="宋体" w:hAnsi="宋体" w:hint="eastAsia"/>
                <w:szCs w:val="21"/>
              </w:rPr>
              <w:t>《华富安鑫债券型证券投资基金基金合同》</w:t>
            </w:r>
            <w:r>
              <w:rPr>
                <w:rFonts w:hint="eastAsia"/>
              </w:rPr>
              <w:t>和</w:t>
            </w:r>
            <w:r>
              <w:rPr>
                <w:rFonts w:ascii="宋体" w:hAnsi="宋体" w:hint="eastAsia"/>
                <w:szCs w:val="21"/>
              </w:rPr>
              <w:t>《华富</w:t>
            </w:r>
            <w:r>
              <w:rPr>
                <w:rFonts w:ascii="宋体" w:hAnsi="宋体" w:hint="eastAsia"/>
                <w:szCs w:val="21"/>
              </w:rPr>
              <w:t>安鑫债券型证券投资基金招募说明书》</w:t>
            </w:r>
            <w:r>
              <w:rPr>
                <w:rFonts w:hint="eastAsia"/>
              </w:rPr>
              <w:t>等有关规定</w:t>
            </w:r>
          </w:p>
        </w:tc>
      </w:tr>
      <w:tr w:rsidR="00000000">
        <w:tc>
          <w:tcPr>
            <w:tcW w:w="13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ascii="Calibri" w:hAnsi="Calibri" w:hint="eastAsia"/>
              </w:rPr>
              <w:t>暂停相关业务的起始日、金额及原因说明</w:t>
            </w: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ascii="Calibri" w:hAnsi="Calibri" w:hint="eastAsia"/>
              </w:rPr>
              <w:t>暂停大额申购起始日</w:t>
            </w:r>
          </w:p>
        </w:tc>
        <w:tc>
          <w:tcPr>
            <w:tcW w:w="4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hint="eastAsia"/>
              </w:rPr>
              <w:t>20</w:t>
            </w:r>
            <w:r>
              <w:t>2</w:t>
            </w:r>
            <w:r>
              <w:rPr>
                <w:rFonts w:hint="eastAsia"/>
              </w:rPr>
              <w:t>6</w:t>
            </w:r>
            <w:r>
              <w:rPr>
                <w:rFonts w:hint="eastAsia"/>
              </w:rPr>
              <w:t>年</w:t>
            </w:r>
            <w:r>
              <w:rPr>
                <w:rFonts w:hint="eastAsia"/>
              </w:rPr>
              <w:t>1</w:t>
            </w:r>
            <w:r>
              <w:rPr>
                <w:rFonts w:hint="eastAsia"/>
              </w:rPr>
              <w:t>月</w:t>
            </w:r>
            <w:r>
              <w:rPr>
                <w:rFonts w:hint="eastAsia"/>
              </w:rPr>
              <w:t>8</w:t>
            </w:r>
            <w:r>
              <w:rPr>
                <w:rFonts w:hint="eastAsia"/>
              </w:rPr>
              <w:t>日</w:t>
            </w:r>
          </w:p>
        </w:tc>
      </w:tr>
      <w:tr w:rsidR="00000000">
        <w:tc>
          <w:tcPr>
            <w:tcW w:w="1349" w:type="dxa"/>
            <w:vMerge/>
            <w:tcBorders>
              <w:top w:val="single" w:sz="4" w:space="0" w:color="000000"/>
              <w:left w:val="single" w:sz="4" w:space="0" w:color="000000"/>
              <w:bottom w:val="single" w:sz="4" w:space="0" w:color="000000"/>
              <w:right w:val="single" w:sz="4" w:space="0" w:color="000000"/>
            </w:tcBorders>
            <w:vAlign w:val="center"/>
          </w:tcPr>
          <w:p w:rsidR="00000000" w:rsidRDefault="001803ED">
            <w:pPr>
              <w:widowControl/>
              <w:jc w:val="left"/>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ascii="Calibri" w:hAnsi="Calibri" w:hint="eastAsia"/>
              </w:rPr>
              <w:t>暂停大额转换转入起始日</w:t>
            </w:r>
          </w:p>
        </w:tc>
        <w:tc>
          <w:tcPr>
            <w:tcW w:w="4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hint="eastAsia"/>
              </w:rPr>
              <w:t>20</w:t>
            </w:r>
            <w:r>
              <w:t>2</w:t>
            </w:r>
            <w:r>
              <w:rPr>
                <w:rFonts w:hint="eastAsia"/>
              </w:rPr>
              <w:t>6</w:t>
            </w:r>
            <w:r>
              <w:rPr>
                <w:rFonts w:hint="eastAsia"/>
              </w:rPr>
              <w:t>年</w:t>
            </w:r>
            <w:r>
              <w:rPr>
                <w:rFonts w:hint="eastAsia"/>
              </w:rPr>
              <w:t>1</w:t>
            </w:r>
            <w:r>
              <w:rPr>
                <w:rFonts w:hint="eastAsia"/>
              </w:rPr>
              <w:t>月</w:t>
            </w:r>
            <w:r>
              <w:rPr>
                <w:rFonts w:hint="eastAsia"/>
              </w:rPr>
              <w:t>8</w:t>
            </w:r>
            <w:r>
              <w:rPr>
                <w:rFonts w:hint="eastAsia"/>
              </w:rPr>
              <w:t>日</w:t>
            </w:r>
          </w:p>
        </w:tc>
      </w:tr>
      <w:tr w:rsidR="00000000">
        <w:tc>
          <w:tcPr>
            <w:tcW w:w="1349" w:type="dxa"/>
            <w:vMerge/>
            <w:tcBorders>
              <w:top w:val="single" w:sz="4" w:space="0" w:color="000000"/>
              <w:left w:val="single" w:sz="4" w:space="0" w:color="000000"/>
              <w:bottom w:val="single" w:sz="4" w:space="0" w:color="000000"/>
              <w:right w:val="single" w:sz="4" w:space="0" w:color="000000"/>
            </w:tcBorders>
            <w:vAlign w:val="center"/>
          </w:tcPr>
          <w:p w:rsidR="00000000" w:rsidRDefault="001803ED">
            <w:pPr>
              <w:widowControl/>
              <w:jc w:val="left"/>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ascii="Calibri" w:hAnsi="Calibri" w:hint="eastAsia"/>
              </w:rPr>
              <w:t>暂停定期定额投资起始日</w:t>
            </w:r>
          </w:p>
        </w:tc>
        <w:tc>
          <w:tcPr>
            <w:tcW w:w="4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hint="eastAsia"/>
              </w:rPr>
              <w:t>20</w:t>
            </w:r>
            <w:r>
              <w:t>2</w:t>
            </w:r>
            <w:r>
              <w:rPr>
                <w:rFonts w:hint="eastAsia"/>
              </w:rPr>
              <w:t>6</w:t>
            </w:r>
            <w:r>
              <w:rPr>
                <w:rFonts w:hint="eastAsia"/>
              </w:rPr>
              <w:t>年</w:t>
            </w:r>
            <w:r>
              <w:rPr>
                <w:rFonts w:hint="eastAsia"/>
              </w:rPr>
              <w:t>1</w:t>
            </w:r>
            <w:r>
              <w:rPr>
                <w:rFonts w:hint="eastAsia"/>
              </w:rPr>
              <w:t>月</w:t>
            </w:r>
            <w:r>
              <w:rPr>
                <w:rFonts w:hint="eastAsia"/>
              </w:rPr>
              <w:t>8</w:t>
            </w:r>
            <w:r>
              <w:rPr>
                <w:rFonts w:hint="eastAsia"/>
              </w:rPr>
              <w:t>日</w:t>
            </w:r>
          </w:p>
        </w:tc>
      </w:tr>
      <w:tr w:rsidR="00000000">
        <w:tc>
          <w:tcPr>
            <w:tcW w:w="1349" w:type="dxa"/>
            <w:vMerge/>
            <w:tcBorders>
              <w:top w:val="single" w:sz="4" w:space="0" w:color="000000"/>
              <w:left w:val="single" w:sz="4" w:space="0" w:color="000000"/>
              <w:bottom w:val="single" w:sz="4" w:space="0" w:color="000000"/>
              <w:right w:val="single" w:sz="4" w:space="0" w:color="000000"/>
            </w:tcBorders>
            <w:vAlign w:val="center"/>
          </w:tcPr>
          <w:p w:rsidR="00000000" w:rsidRDefault="001803ED">
            <w:pPr>
              <w:widowControl/>
              <w:jc w:val="left"/>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ascii="Calibri" w:hAnsi="Calibri" w:hint="eastAsia"/>
              </w:rPr>
              <w:t>限制申购金额（单位：人民币元</w:t>
            </w:r>
            <w:r>
              <w:rPr>
                <w:rFonts w:hint="eastAsia"/>
              </w:rPr>
              <w:t xml:space="preserve"> </w:t>
            </w:r>
            <w:r>
              <w:rPr>
                <w:rFonts w:ascii="Calibri" w:hAnsi="Calibri" w:hint="eastAsia"/>
              </w:rPr>
              <w:t>）</w:t>
            </w:r>
          </w:p>
        </w:tc>
        <w:tc>
          <w:tcPr>
            <w:tcW w:w="4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t>5</w:t>
            </w:r>
            <w:r>
              <w:rPr>
                <w:rFonts w:hint="eastAsia"/>
              </w:rPr>
              <w:t>,000,000.00</w:t>
            </w:r>
          </w:p>
        </w:tc>
      </w:tr>
      <w:tr w:rsidR="00000000">
        <w:tc>
          <w:tcPr>
            <w:tcW w:w="1349" w:type="dxa"/>
            <w:vMerge/>
            <w:tcBorders>
              <w:top w:val="single" w:sz="4" w:space="0" w:color="000000"/>
              <w:left w:val="single" w:sz="4" w:space="0" w:color="000000"/>
              <w:bottom w:val="single" w:sz="4" w:space="0" w:color="000000"/>
              <w:right w:val="single" w:sz="4" w:space="0" w:color="000000"/>
            </w:tcBorders>
            <w:vAlign w:val="center"/>
          </w:tcPr>
          <w:p w:rsidR="00000000" w:rsidRDefault="001803ED">
            <w:pPr>
              <w:widowControl/>
              <w:jc w:val="left"/>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ascii="Calibri" w:hAnsi="Calibri" w:hint="eastAsia"/>
              </w:rPr>
              <w:t>限制转换转入金额（单位：人民币元</w:t>
            </w:r>
            <w:r>
              <w:rPr>
                <w:rFonts w:hint="eastAsia"/>
              </w:rPr>
              <w:t xml:space="preserve"> </w:t>
            </w:r>
            <w:r>
              <w:rPr>
                <w:rFonts w:ascii="Calibri" w:hAnsi="Calibri" w:hint="eastAsia"/>
              </w:rPr>
              <w:t>）</w:t>
            </w:r>
            <w:r>
              <w:rPr>
                <w:rFonts w:hint="eastAsia"/>
              </w:rPr>
              <w:t xml:space="preserve"> </w:t>
            </w:r>
          </w:p>
        </w:tc>
        <w:tc>
          <w:tcPr>
            <w:tcW w:w="4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t>5</w:t>
            </w:r>
            <w:r>
              <w:rPr>
                <w:rFonts w:hint="eastAsia"/>
              </w:rPr>
              <w:t>,000,000.00</w:t>
            </w:r>
          </w:p>
        </w:tc>
      </w:tr>
      <w:tr w:rsidR="00000000">
        <w:tc>
          <w:tcPr>
            <w:tcW w:w="1349" w:type="dxa"/>
            <w:vMerge/>
            <w:tcBorders>
              <w:top w:val="single" w:sz="4" w:space="0" w:color="000000"/>
              <w:left w:val="single" w:sz="4" w:space="0" w:color="000000"/>
              <w:bottom w:val="single" w:sz="4" w:space="0" w:color="000000"/>
              <w:right w:val="single" w:sz="4" w:space="0" w:color="000000"/>
            </w:tcBorders>
            <w:vAlign w:val="center"/>
          </w:tcPr>
          <w:p w:rsidR="00000000" w:rsidRDefault="001803ED">
            <w:pPr>
              <w:widowControl/>
              <w:jc w:val="left"/>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ascii="Calibri" w:hAnsi="Calibri" w:hint="eastAsia"/>
              </w:rPr>
              <w:t>限制定期定额投资金额（单位：人民币元</w:t>
            </w:r>
            <w:r>
              <w:rPr>
                <w:rFonts w:ascii="Calibri" w:hAnsi="Calibri" w:hint="eastAsia"/>
              </w:rPr>
              <w:t xml:space="preserve"> </w:t>
            </w:r>
            <w:r>
              <w:rPr>
                <w:rFonts w:ascii="Calibri" w:hAnsi="Calibri" w:hint="eastAsia"/>
              </w:rPr>
              <w:t>）</w:t>
            </w:r>
            <w:r>
              <w:rPr>
                <w:rFonts w:hint="eastAsia"/>
              </w:rPr>
              <w:t xml:space="preserve"> </w:t>
            </w:r>
          </w:p>
        </w:tc>
        <w:tc>
          <w:tcPr>
            <w:tcW w:w="4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t>5</w:t>
            </w:r>
            <w:r>
              <w:rPr>
                <w:rFonts w:hint="eastAsia"/>
              </w:rPr>
              <w:t>,000,000.00</w:t>
            </w:r>
          </w:p>
        </w:tc>
      </w:tr>
      <w:tr w:rsidR="00000000">
        <w:tc>
          <w:tcPr>
            <w:tcW w:w="1349" w:type="dxa"/>
            <w:vMerge/>
            <w:tcBorders>
              <w:top w:val="single" w:sz="4" w:space="0" w:color="000000"/>
              <w:left w:val="single" w:sz="4" w:space="0" w:color="000000"/>
              <w:bottom w:val="single" w:sz="4" w:space="0" w:color="000000"/>
              <w:right w:val="single" w:sz="4" w:space="0" w:color="000000"/>
            </w:tcBorders>
            <w:vAlign w:val="center"/>
          </w:tcPr>
          <w:p w:rsidR="00000000" w:rsidRDefault="001803ED">
            <w:pPr>
              <w:widowControl/>
              <w:jc w:val="left"/>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803ED">
            <w:pPr>
              <w:rPr>
                <w:rFonts w:hint="eastAsia"/>
              </w:rPr>
            </w:pPr>
            <w:r>
              <w:rPr>
                <w:rFonts w:ascii="Calibri" w:hAnsi="Calibri" w:hint="eastAsia"/>
              </w:rPr>
              <w:t>暂停大额申购、大额转换转入、定期定额投资的原因说明</w:t>
            </w:r>
          </w:p>
        </w:tc>
        <w:tc>
          <w:tcPr>
            <w:tcW w:w="4559"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000000" w:rsidRDefault="001803ED">
            <w:pPr>
              <w:rPr>
                <w:rFonts w:hint="eastAsia"/>
              </w:rPr>
            </w:pPr>
            <w:r>
              <w:rPr>
                <w:rFonts w:hint="eastAsia"/>
              </w:rPr>
              <w:t>为了保证基金的平稳运作，保</w:t>
            </w:r>
            <w:r>
              <w:rPr>
                <w:rFonts w:hint="eastAsia"/>
              </w:rPr>
              <w:t>护基金持有人的利益</w:t>
            </w:r>
          </w:p>
        </w:tc>
      </w:tr>
      <w:tr w:rsidR="00000000">
        <w:tc>
          <w:tcPr>
            <w:tcW w:w="4338"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00000" w:rsidRDefault="001803ED">
            <w:pPr>
              <w:rPr>
                <w:rFonts w:hint="eastAsia"/>
              </w:rPr>
            </w:pPr>
            <w:r>
              <w:rPr>
                <w:rFonts w:ascii="Calibri" w:hAnsi="Calibri" w:hint="eastAsia"/>
              </w:rPr>
              <w:t>下属分级基金的基金简称</w:t>
            </w:r>
          </w:p>
        </w:tc>
        <w:tc>
          <w:tcPr>
            <w:tcW w:w="2199" w:type="dxa"/>
            <w:tcBorders>
              <w:top w:val="single" w:sz="4" w:space="0" w:color="auto"/>
              <w:left w:val="single" w:sz="4" w:space="0" w:color="auto"/>
              <w:bottom w:val="single" w:sz="4" w:space="0" w:color="auto"/>
              <w:right w:val="single" w:sz="4" w:space="0" w:color="auto"/>
            </w:tcBorders>
            <w:vAlign w:val="center"/>
          </w:tcPr>
          <w:p w:rsidR="00000000" w:rsidRDefault="001803ED">
            <w:pPr>
              <w:ind w:firstLineChars="100" w:firstLine="210"/>
              <w:rPr>
                <w:rFonts w:hint="eastAsia"/>
              </w:rPr>
            </w:pPr>
            <w:r>
              <w:rPr>
                <w:rFonts w:hint="eastAsia"/>
              </w:rPr>
              <w:t>华富安鑫债券</w:t>
            </w:r>
            <w:r>
              <w:rPr>
                <w:rFonts w:hint="eastAsia"/>
              </w:rPr>
              <w:t>A</w:t>
            </w:r>
          </w:p>
        </w:tc>
        <w:tc>
          <w:tcPr>
            <w:tcW w:w="2360" w:type="dxa"/>
            <w:tcBorders>
              <w:top w:val="single" w:sz="4" w:space="0" w:color="auto"/>
              <w:left w:val="single" w:sz="4" w:space="0" w:color="auto"/>
              <w:bottom w:val="single" w:sz="4" w:space="0" w:color="auto"/>
              <w:right w:val="single" w:sz="4" w:space="0" w:color="auto"/>
            </w:tcBorders>
            <w:vAlign w:val="center"/>
          </w:tcPr>
          <w:p w:rsidR="00000000" w:rsidRDefault="001803ED">
            <w:pPr>
              <w:ind w:firstLineChars="100" w:firstLine="210"/>
              <w:rPr>
                <w:rFonts w:hint="eastAsia"/>
              </w:rPr>
            </w:pPr>
            <w:bookmarkStart w:id="13" w:name="t_6_1_1_fj_0011B_a1_fm1"/>
            <w:bookmarkStart w:id="14" w:name="t_6_1_1_fj_0011C_a1_fm1"/>
            <w:bookmarkEnd w:id="13"/>
            <w:bookmarkEnd w:id="14"/>
            <w:r>
              <w:rPr>
                <w:rFonts w:hint="eastAsia"/>
              </w:rPr>
              <w:t>华富安鑫债券</w:t>
            </w:r>
            <w:r>
              <w:rPr>
                <w:rFonts w:hint="eastAsia"/>
              </w:rPr>
              <w:t>C</w:t>
            </w:r>
          </w:p>
        </w:tc>
      </w:tr>
      <w:tr w:rsidR="00000000">
        <w:tc>
          <w:tcPr>
            <w:tcW w:w="4338"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00000" w:rsidRDefault="001803ED">
            <w:pPr>
              <w:rPr>
                <w:rFonts w:hint="eastAsia"/>
              </w:rPr>
            </w:pPr>
            <w:r>
              <w:rPr>
                <w:rFonts w:ascii="Calibri" w:hAnsi="Calibri" w:hint="eastAsia"/>
              </w:rPr>
              <w:t>下属分级基金的交易代码</w:t>
            </w:r>
          </w:p>
        </w:tc>
        <w:tc>
          <w:tcPr>
            <w:tcW w:w="2199" w:type="dxa"/>
            <w:tcBorders>
              <w:top w:val="single" w:sz="4" w:space="0" w:color="auto"/>
              <w:left w:val="single" w:sz="4" w:space="0" w:color="auto"/>
              <w:bottom w:val="single" w:sz="4" w:space="0" w:color="auto"/>
              <w:right w:val="single" w:sz="4" w:space="0" w:color="auto"/>
            </w:tcBorders>
            <w:vAlign w:val="center"/>
          </w:tcPr>
          <w:p w:rsidR="00000000" w:rsidRDefault="001803ED">
            <w:pPr>
              <w:ind w:firstLineChars="100" w:firstLine="210"/>
              <w:rPr>
                <w:rFonts w:hint="eastAsia"/>
              </w:rPr>
            </w:pPr>
            <w:r>
              <w:rPr>
                <w:rFonts w:hint="eastAsia"/>
              </w:rPr>
              <w:t>000028</w:t>
            </w:r>
          </w:p>
        </w:tc>
        <w:tc>
          <w:tcPr>
            <w:tcW w:w="2360" w:type="dxa"/>
            <w:tcBorders>
              <w:top w:val="single" w:sz="4" w:space="0" w:color="auto"/>
              <w:left w:val="single" w:sz="4" w:space="0" w:color="auto"/>
              <w:bottom w:val="single" w:sz="4" w:space="0" w:color="auto"/>
              <w:right w:val="single" w:sz="4" w:space="0" w:color="auto"/>
            </w:tcBorders>
            <w:vAlign w:val="center"/>
          </w:tcPr>
          <w:p w:rsidR="00000000" w:rsidRDefault="001803ED">
            <w:pPr>
              <w:ind w:firstLineChars="100" w:firstLine="210"/>
              <w:rPr>
                <w:rFonts w:hint="eastAsia"/>
              </w:rPr>
            </w:pPr>
            <w:bookmarkStart w:id="15" w:name="t_1_1_fj_0012B_a1_fm1"/>
            <w:bookmarkStart w:id="16" w:name="t_1_1_fj_0012C_a1_fm1"/>
            <w:bookmarkEnd w:id="15"/>
            <w:bookmarkEnd w:id="16"/>
            <w:r>
              <w:rPr>
                <w:rFonts w:hint="eastAsia"/>
              </w:rPr>
              <w:t>022830</w:t>
            </w:r>
          </w:p>
        </w:tc>
      </w:tr>
      <w:tr w:rsidR="00000000">
        <w:tc>
          <w:tcPr>
            <w:tcW w:w="4338"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00000" w:rsidRDefault="001803ED">
            <w:pPr>
              <w:rPr>
                <w:rFonts w:hint="eastAsia"/>
              </w:rPr>
            </w:pPr>
            <w:r>
              <w:rPr>
                <w:rFonts w:ascii="Calibri" w:hAnsi="Calibri" w:hint="eastAsia"/>
              </w:rPr>
              <w:t>该分级基金是否暂停大额申购、大额转换转入、定期定额投资</w:t>
            </w:r>
          </w:p>
        </w:tc>
        <w:tc>
          <w:tcPr>
            <w:tcW w:w="2199" w:type="dxa"/>
            <w:tcBorders>
              <w:top w:val="single" w:sz="4" w:space="0" w:color="auto"/>
              <w:left w:val="single" w:sz="4" w:space="0" w:color="auto"/>
              <w:bottom w:val="single" w:sz="4" w:space="0" w:color="auto"/>
              <w:right w:val="single" w:sz="4" w:space="0" w:color="auto"/>
            </w:tcBorders>
            <w:vAlign w:val="center"/>
          </w:tcPr>
          <w:p w:rsidR="00000000" w:rsidRDefault="001803ED">
            <w:pPr>
              <w:ind w:firstLineChars="100" w:firstLine="210"/>
              <w:rPr>
                <w:rFonts w:hint="eastAsia"/>
              </w:rPr>
            </w:pPr>
            <w:r>
              <w:rPr>
                <w:rFonts w:hint="eastAsia"/>
              </w:rPr>
              <w:t>是</w:t>
            </w:r>
          </w:p>
        </w:tc>
        <w:tc>
          <w:tcPr>
            <w:tcW w:w="2360" w:type="dxa"/>
            <w:tcBorders>
              <w:top w:val="single" w:sz="4" w:space="0" w:color="auto"/>
              <w:left w:val="single" w:sz="4" w:space="0" w:color="auto"/>
              <w:bottom w:val="single" w:sz="4" w:space="0" w:color="auto"/>
              <w:right w:val="single" w:sz="4" w:space="0" w:color="auto"/>
            </w:tcBorders>
            <w:vAlign w:val="center"/>
          </w:tcPr>
          <w:p w:rsidR="00000000" w:rsidRDefault="001803ED">
            <w:pPr>
              <w:ind w:firstLineChars="100" w:firstLine="210"/>
              <w:rPr>
                <w:rFonts w:hint="eastAsia"/>
              </w:rPr>
            </w:pPr>
            <w:r>
              <w:rPr>
                <w:rFonts w:hint="eastAsia"/>
              </w:rPr>
              <w:t>是</w:t>
            </w:r>
          </w:p>
        </w:tc>
      </w:tr>
    </w:tbl>
    <w:p w:rsidR="00000000" w:rsidRDefault="001803ED">
      <w:pPr>
        <w:pStyle w:val="XBRLTitle1"/>
        <w:spacing w:before="156" w:line="360" w:lineRule="auto"/>
        <w:jc w:val="left"/>
        <w:rPr>
          <w:rFonts w:hint="eastAsia"/>
        </w:rPr>
      </w:pPr>
      <w:bookmarkStart w:id="17" w:name="_Toc17897969"/>
      <w:bookmarkStart w:id="18" w:name="_Toc438646481"/>
      <w:bookmarkStart w:id="19" w:name="_Toc513295878"/>
      <w:bookmarkStart w:id="20" w:name="_Toc490050049"/>
      <w:bookmarkStart w:id="21" w:name="_Toc17898228"/>
      <w:bookmarkStart w:id="22" w:name="_Toc513295941"/>
      <w:bookmarkStart w:id="23" w:name="_Toc512519529"/>
      <w:bookmarkStart w:id="24" w:name="_Toc34322063"/>
      <w:bookmarkStart w:id="25" w:name="_Toc481075097"/>
      <w:bookmarkStart w:id="26" w:name="m201_01"/>
      <w:r>
        <w:rPr>
          <w:rFonts w:hAnsi="宋体" w:hint="eastAsia"/>
          <w:szCs w:val="24"/>
        </w:rPr>
        <w:t>其他需要提示的事项</w:t>
      </w:r>
      <w:bookmarkEnd w:id="17"/>
      <w:bookmarkEnd w:id="18"/>
      <w:bookmarkEnd w:id="19"/>
      <w:bookmarkEnd w:id="20"/>
      <w:bookmarkEnd w:id="21"/>
      <w:bookmarkEnd w:id="22"/>
      <w:bookmarkEnd w:id="23"/>
      <w:bookmarkEnd w:id="24"/>
      <w:bookmarkEnd w:id="25"/>
      <w:r>
        <w:rPr>
          <w:rFonts w:hAnsi="宋体" w:hint="eastAsia"/>
          <w:szCs w:val="24"/>
        </w:rPr>
        <w:t xml:space="preserve"> </w:t>
      </w:r>
    </w:p>
    <w:p w:rsidR="00000000" w:rsidRDefault="001803ED">
      <w:pPr>
        <w:ind w:left="425"/>
      </w:pPr>
    </w:p>
    <w:p w:rsidR="00000000" w:rsidRDefault="001803ED">
      <w:pPr>
        <w:spacing w:line="360" w:lineRule="auto"/>
        <w:ind w:firstLineChars="200" w:firstLine="420"/>
        <w:jc w:val="left"/>
        <w:rPr>
          <w:szCs w:val="21"/>
        </w:rPr>
      </w:pPr>
      <w:r>
        <w:rPr>
          <w:rFonts w:hint="eastAsia"/>
          <w:szCs w:val="21"/>
        </w:rPr>
        <w:t>本基金的所有代销机构及本基金的直销网点自</w:t>
      </w:r>
      <w:r>
        <w:rPr>
          <w:rFonts w:hint="eastAsia"/>
        </w:rPr>
        <w:t>20</w:t>
      </w:r>
      <w:r>
        <w:t>2</w:t>
      </w:r>
      <w:r>
        <w:rPr>
          <w:rFonts w:hint="eastAsia"/>
        </w:rPr>
        <w:t>6</w:t>
      </w:r>
      <w:r>
        <w:rPr>
          <w:rFonts w:hint="eastAsia"/>
        </w:rPr>
        <w:t>年</w:t>
      </w:r>
      <w:r>
        <w:rPr>
          <w:rFonts w:hint="eastAsia"/>
        </w:rPr>
        <w:t>1</w:t>
      </w:r>
      <w:r>
        <w:rPr>
          <w:rFonts w:hint="eastAsia"/>
        </w:rPr>
        <w:t>月</w:t>
      </w:r>
      <w:r>
        <w:rPr>
          <w:rFonts w:hint="eastAsia"/>
        </w:rPr>
        <w:t>8</w:t>
      </w:r>
      <w:r>
        <w:rPr>
          <w:rFonts w:hint="eastAsia"/>
        </w:rPr>
        <w:t>日</w:t>
      </w:r>
      <w:r>
        <w:rPr>
          <w:rFonts w:hint="eastAsia"/>
          <w:szCs w:val="21"/>
        </w:rPr>
        <w:t>起，暂停接受单个非个人客户的基金账户对本基金日累计金额</w:t>
      </w:r>
      <w:r>
        <w:t>5</w:t>
      </w:r>
      <w:r>
        <w:rPr>
          <w:rFonts w:hint="eastAsia"/>
        </w:rPr>
        <w:t>,000,000.00</w:t>
      </w:r>
      <w:r>
        <w:rPr>
          <w:rFonts w:hint="eastAsia"/>
          <w:szCs w:val="21"/>
        </w:rPr>
        <w:t>元以上（不含</w:t>
      </w:r>
      <w:r>
        <w:t>5</w:t>
      </w:r>
      <w:r>
        <w:rPr>
          <w:rFonts w:hint="eastAsia"/>
        </w:rPr>
        <w:t>,000,000.00</w:t>
      </w:r>
      <w:r>
        <w:rPr>
          <w:rFonts w:hint="eastAsia"/>
          <w:szCs w:val="21"/>
        </w:rPr>
        <w:t>元，</w:t>
      </w:r>
      <w:r>
        <w:rPr>
          <w:rFonts w:hint="eastAsia"/>
          <w:szCs w:val="21"/>
        </w:rPr>
        <w:t>A</w:t>
      </w:r>
      <w:r>
        <w:rPr>
          <w:rFonts w:hint="eastAsia"/>
          <w:szCs w:val="21"/>
        </w:rPr>
        <w:t>类及</w:t>
      </w:r>
      <w:r>
        <w:rPr>
          <w:rFonts w:hint="eastAsia"/>
          <w:szCs w:val="21"/>
        </w:rPr>
        <w:t>C</w:t>
      </w:r>
      <w:r>
        <w:rPr>
          <w:rFonts w:hint="eastAsia"/>
          <w:szCs w:val="21"/>
        </w:rPr>
        <w:t>类金额合并计算）的申购、定投、转换转入业务申请，如单日单个非个人客户的基金账户累计的申购、定投、转换转入</w:t>
      </w:r>
      <w:r>
        <w:rPr>
          <w:rFonts w:hint="eastAsia"/>
          <w:szCs w:val="21"/>
        </w:rPr>
        <w:t>本基金金额超过人民币</w:t>
      </w:r>
      <w:r>
        <w:t>5</w:t>
      </w:r>
      <w:r>
        <w:rPr>
          <w:rFonts w:hint="eastAsia"/>
        </w:rPr>
        <w:t>,000,000.00</w:t>
      </w:r>
      <w:r>
        <w:rPr>
          <w:rFonts w:hint="eastAsia"/>
          <w:szCs w:val="21"/>
        </w:rPr>
        <w:t>元以上（不含</w:t>
      </w:r>
      <w:r>
        <w:t>5</w:t>
      </w:r>
      <w:r>
        <w:rPr>
          <w:rFonts w:hint="eastAsia"/>
        </w:rPr>
        <w:t>,000,000.00</w:t>
      </w:r>
      <w:r>
        <w:rPr>
          <w:rFonts w:hint="eastAsia"/>
          <w:szCs w:val="21"/>
        </w:rPr>
        <w:t>元，</w:t>
      </w:r>
      <w:r>
        <w:rPr>
          <w:rFonts w:hint="eastAsia"/>
          <w:szCs w:val="21"/>
        </w:rPr>
        <w:t>A</w:t>
      </w:r>
      <w:r>
        <w:rPr>
          <w:rFonts w:hint="eastAsia"/>
          <w:szCs w:val="21"/>
        </w:rPr>
        <w:t>类及</w:t>
      </w:r>
      <w:r>
        <w:rPr>
          <w:rFonts w:hint="eastAsia"/>
          <w:szCs w:val="21"/>
        </w:rPr>
        <w:t>C</w:t>
      </w:r>
      <w:r>
        <w:rPr>
          <w:rFonts w:hint="eastAsia"/>
          <w:szCs w:val="21"/>
        </w:rPr>
        <w:t>类金额合并计算），本基金管理人有权拒绝。</w:t>
      </w:r>
    </w:p>
    <w:p w:rsidR="00000000" w:rsidRDefault="001803ED">
      <w:pPr>
        <w:spacing w:line="360" w:lineRule="auto"/>
        <w:ind w:firstLineChars="200" w:firstLine="420"/>
        <w:rPr>
          <w:szCs w:val="21"/>
        </w:rPr>
      </w:pPr>
      <w:r>
        <w:rPr>
          <w:rFonts w:hint="eastAsia"/>
          <w:szCs w:val="21"/>
        </w:rPr>
        <w:t>除另有公告外，在暂停本基金的大额申购、定投及转换转入业务期间，本基金的赎回、转换转出等其他业务正常办理。</w:t>
      </w:r>
    </w:p>
    <w:p w:rsidR="00000000" w:rsidRDefault="001803ED">
      <w:pPr>
        <w:spacing w:line="360" w:lineRule="auto"/>
        <w:ind w:firstLineChars="200" w:firstLine="420"/>
        <w:jc w:val="left"/>
        <w:rPr>
          <w:szCs w:val="21"/>
        </w:rPr>
      </w:pPr>
      <w:r>
        <w:rPr>
          <w:rFonts w:hint="eastAsia"/>
          <w:szCs w:val="21"/>
        </w:rPr>
        <w:t>本基金的申购和定投及转换转入限额安排后续如有调整，请以本公司最新公告为准。</w:t>
      </w:r>
    </w:p>
    <w:p w:rsidR="00000000" w:rsidRDefault="001803ED">
      <w:pPr>
        <w:spacing w:line="360" w:lineRule="auto"/>
        <w:ind w:firstLineChars="200" w:firstLine="420"/>
        <w:jc w:val="left"/>
        <w:rPr>
          <w:szCs w:val="21"/>
        </w:rPr>
      </w:pPr>
      <w:r>
        <w:rPr>
          <w:rFonts w:hint="eastAsia"/>
          <w:szCs w:val="21"/>
        </w:rPr>
        <w:t>如有疑问，请拨打客户服务热线：</w:t>
      </w:r>
      <w:r>
        <w:rPr>
          <w:rFonts w:hint="eastAsia"/>
          <w:szCs w:val="21"/>
        </w:rPr>
        <w:t>400-700-8001</w:t>
      </w:r>
      <w:r>
        <w:rPr>
          <w:rFonts w:hint="eastAsia"/>
          <w:szCs w:val="21"/>
        </w:rPr>
        <w:t>或登录网站</w:t>
      </w:r>
      <w:r>
        <w:rPr>
          <w:rFonts w:hint="eastAsia"/>
          <w:szCs w:val="21"/>
        </w:rPr>
        <w:t>www.hffund.com</w:t>
      </w:r>
      <w:r>
        <w:rPr>
          <w:rFonts w:hint="eastAsia"/>
          <w:szCs w:val="21"/>
        </w:rPr>
        <w:t>获取相关信息。</w:t>
      </w:r>
    </w:p>
    <w:p w:rsidR="00000000" w:rsidRDefault="001803ED">
      <w:pPr>
        <w:spacing w:line="360" w:lineRule="auto"/>
        <w:ind w:firstLineChars="200" w:firstLine="420"/>
        <w:jc w:val="left"/>
        <w:rPr>
          <w:szCs w:val="21"/>
        </w:rPr>
      </w:pPr>
      <w:r>
        <w:rPr>
          <w:rFonts w:hint="eastAsia"/>
          <w:szCs w:val="21"/>
        </w:rPr>
        <w:t>本公告的解释权归本基金管理人。</w:t>
      </w:r>
    </w:p>
    <w:p w:rsidR="00000000" w:rsidRDefault="001803ED">
      <w:pPr>
        <w:spacing w:line="360" w:lineRule="auto"/>
        <w:ind w:firstLineChars="200" w:firstLine="420"/>
        <w:jc w:val="left"/>
        <w:rPr>
          <w:szCs w:val="21"/>
        </w:rPr>
      </w:pPr>
      <w:r>
        <w:rPr>
          <w:rFonts w:hint="eastAsia"/>
          <w:szCs w:val="21"/>
        </w:rPr>
        <w:t>风险提示：本公司承诺以诚实信用、勤勉尽责的原则管理和运用</w:t>
      </w:r>
      <w:r>
        <w:rPr>
          <w:rFonts w:hint="eastAsia"/>
          <w:szCs w:val="21"/>
        </w:rPr>
        <w:t>基金资产，但不保证基金一</w:t>
      </w:r>
      <w:r>
        <w:rPr>
          <w:rFonts w:hint="eastAsia"/>
          <w:szCs w:val="21"/>
        </w:rPr>
        <w:lastRenderedPageBreak/>
        <w:t>定盈利，也不保证最低收益。投资者投资基金之前应认真阅读各基金的《基金合同》《招募说明书》《基金产品资料概要》等文件。敬请投资者留意投资风险。</w:t>
      </w:r>
    </w:p>
    <w:p w:rsidR="00000000" w:rsidRDefault="001803ED">
      <w:pPr>
        <w:spacing w:line="360" w:lineRule="auto"/>
        <w:ind w:firstLineChars="200" w:firstLine="420"/>
        <w:jc w:val="left"/>
        <w:rPr>
          <w:rFonts w:hint="eastAsia"/>
        </w:rPr>
      </w:pPr>
      <w:r>
        <w:rPr>
          <w:rFonts w:hint="eastAsia"/>
          <w:szCs w:val="21"/>
        </w:rPr>
        <w:t>特此公告。</w:t>
      </w:r>
    </w:p>
    <w:p w:rsidR="00000000" w:rsidRDefault="001803ED">
      <w:pPr>
        <w:rPr>
          <w:rFonts w:hint="eastAsia"/>
        </w:rPr>
      </w:pPr>
    </w:p>
    <w:p w:rsidR="00000000" w:rsidRDefault="001803ED">
      <w:pPr>
        <w:spacing w:line="360" w:lineRule="auto"/>
        <w:ind w:firstLineChars="600" w:firstLine="1446"/>
        <w:jc w:val="right"/>
        <w:rPr>
          <w:rFonts w:hint="eastAsia"/>
        </w:rPr>
      </w:pPr>
      <w:r>
        <w:rPr>
          <w:rFonts w:hint="eastAsia"/>
          <w:b/>
          <w:bCs/>
          <w:sz w:val="24"/>
          <w:szCs w:val="24"/>
        </w:rPr>
        <w:t>华富基金管理有限公司</w:t>
      </w:r>
    </w:p>
    <w:p w:rsidR="00000000" w:rsidRDefault="001803ED">
      <w:pPr>
        <w:spacing w:line="360" w:lineRule="auto"/>
        <w:ind w:right="241" w:firstLineChars="600" w:firstLine="1446"/>
        <w:jc w:val="right"/>
        <w:rPr>
          <w:rFonts w:hint="eastAsia"/>
        </w:rPr>
      </w:pPr>
      <w:r>
        <w:rPr>
          <w:rFonts w:hint="eastAsia"/>
          <w:b/>
          <w:bCs/>
          <w:sz w:val="24"/>
          <w:szCs w:val="24"/>
        </w:rPr>
        <w:t>202</w:t>
      </w:r>
      <w:r>
        <w:rPr>
          <w:rFonts w:hint="eastAsia"/>
          <w:b/>
          <w:bCs/>
          <w:sz w:val="24"/>
          <w:szCs w:val="24"/>
        </w:rPr>
        <w:t>6</w:t>
      </w:r>
      <w:r>
        <w:rPr>
          <w:rFonts w:hint="eastAsia"/>
          <w:b/>
          <w:bCs/>
          <w:sz w:val="24"/>
          <w:szCs w:val="24"/>
        </w:rPr>
        <w:t>年</w:t>
      </w:r>
      <w:r>
        <w:rPr>
          <w:rFonts w:hint="eastAsia"/>
          <w:b/>
          <w:bCs/>
          <w:sz w:val="24"/>
          <w:szCs w:val="24"/>
        </w:rPr>
        <w:t>1</w:t>
      </w:r>
      <w:r>
        <w:rPr>
          <w:rFonts w:hint="eastAsia"/>
          <w:b/>
          <w:bCs/>
          <w:sz w:val="24"/>
          <w:szCs w:val="24"/>
        </w:rPr>
        <w:t>月</w:t>
      </w:r>
      <w:r>
        <w:rPr>
          <w:rFonts w:hint="eastAsia"/>
          <w:b/>
          <w:bCs/>
          <w:sz w:val="24"/>
          <w:szCs w:val="24"/>
        </w:rPr>
        <w:t>7</w:t>
      </w:r>
      <w:r>
        <w:rPr>
          <w:rFonts w:hint="eastAsia"/>
          <w:b/>
          <w:bCs/>
          <w:sz w:val="24"/>
          <w:szCs w:val="24"/>
        </w:rPr>
        <w:t>日</w:t>
      </w:r>
      <w:bookmarkEnd w:id="26"/>
    </w:p>
    <w:sectPr w:rsidR="00000000">
      <w:headerReference w:type="default" r:id="rId7"/>
      <w:footerReference w:type="default" r:id="rId8"/>
      <w:headerReference w:type="first" r:id="rId9"/>
      <w:pgSz w:w="11907" w:h="16839"/>
      <w:pgMar w:top="1440" w:right="1531" w:bottom="1134" w:left="1531"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803ED">
      <w:r>
        <w:separator/>
      </w:r>
    </w:p>
  </w:endnote>
  <w:endnote w:type="continuationSeparator" w:id="0">
    <w:p w:rsidR="00000000" w:rsidRDefault="00180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swiss"/>
    <w:pitch w:val="default"/>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803E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noProof/>
        <w:sz w:val="18"/>
        <w:szCs w:val="18"/>
      </w:rPr>
      <w:t>3</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803ED">
      <w:r>
        <w:separator/>
      </w:r>
    </w:p>
  </w:footnote>
  <w:footnote w:type="continuationSeparator" w:id="0">
    <w:p w:rsidR="00000000" w:rsidRDefault="00180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803ED">
    <w:pPr>
      <w:pStyle w:val="a8"/>
      <w:jc w:val="right"/>
    </w:pPr>
    <w:r>
      <w:rPr>
        <w:rFonts w:hint="eastAsia"/>
      </w:rPr>
      <w:t>关于华富安鑫债券型证券投资基金暂停大额申购、定投及转换转入业务的公告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803ED">
    <w:pPr>
      <w:pStyle w:val="a8"/>
      <w:jc w:val="right"/>
      <w:rPr>
        <w:rFonts w:hint="eastAsia"/>
      </w:rPr>
    </w:pPr>
    <w:r>
      <w:rPr>
        <w:rFonts w:hint="eastAsia"/>
      </w:rPr>
      <w:t>关于华富中证人工智能产业交易型开放式指数证券投资基金暂停大额申购、定投及转换转入业务的公告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mirrorMargins/>
  <w:attachedTemplate r:id="rId1"/>
  <w:trackRevisions/>
  <w:doNotTrackMove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zdlNDVmZTdhNmVmMTE0YTg5NzE5YzQ5YmQ0NzJhZTUifQ=="/>
  </w:docVars>
  <w:rsids>
    <w:rsidRoot w:val="00AF5096"/>
    <w:rsid w:val="00067CF8"/>
    <w:rsid w:val="00093947"/>
    <w:rsid w:val="000A0BCE"/>
    <w:rsid w:val="0010684F"/>
    <w:rsid w:val="001803ED"/>
    <w:rsid w:val="001D30BC"/>
    <w:rsid w:val="001D3F29"/>
    <w:rsid w:val="00255722"/>
    <w:rsid w:val="002A1B59"/>
    <w:rsid w:val="002E5786"/>
    <w:rsid w:val="002F1702"/>
    <w:rsid w:val="00347467"/>
    <w:rsid w:val="003C5BA9"/>
    <w:rsid w:val="004024B3"/>
    <w:rsid w:val="0048576E"/>
    <w:rsid w:val="0058196A"/>
    <w:rsid w:val="005F2406"/>
    <w:rsid w:val="005F47B9"/>
    <w:rsid w:val="00662DF3"/>
    <w:rsid w:val="006C3E23"/>
    <w:rsid w:val="007B2E41"/>
    <w:rsid w:val="007B2FB3"/>
    <w:rsid w:val="00842806"/>
    <w:rsid w:val="00905D06"/>
    <w:rsid w:val="009328F7"/>
    <w:rsid w:val="009E50AA"/>
    <w:rsid w:val="009F153E"/>
    <w:rsid w:val="00A9326A"/>
    <w:rsid w:val="00AF5096"/>
    <w:rsid w:val="00B24A6B"/>
    <w:rsid w:val="00BC5974"/>
    <w:rsid w:val="00C34809"/>
    <w:rsid w:val="00C36727"/>
    <w:rsid w:val="00E266D0"/>
    <w:rsid w:val="00EA4794"/>
    <w:rsid w:val="00F15697"/>
    <w:rsid w:val="00F166A6"/>
    <w:rsid w:val="00F40974"/>
    <w:rsid w:val="03B721F8"/>
    <w:rsid w:val="1DCF3FBF"/>
    <w:rsid w:val="1DD43CFE"/>
    <w:rsid w:val="22FD5AA5"/>
    <w:rsid w:val="26ED706D"/>
    <w:rsid w:val="285923C1"/>
    <w:rsid w:val="34255A9B"/>
    <w:rsid w:val="36C25D85"/>
    <w:rsid w:val="3B863C80"/>
    <w:rsid w:val="4AEF3676"/>
    <w:rsid w:val="5A4F2277"/>
    <w:rsid w:val="5E014835"/>
    <w:rsid w:val="69AF2418"/>
    <w:rsid w:val="726A3806"/>
    <w:rsid w:val="77FB29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qFormat="1"/>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semiHidden="0"/>
    <w:lsdException w:name="page number" w:semiHidden="0" w:unhideWhenUsed="0"/>
    <w:lsdException w:name="Title" w:semiHidden="0" w:uiPriority="10" w:unhideWhenUsed="0" w:qFormat="1"/>
    <w:lsdException w:name="Default Paragraph Font" w:semiHidden="0" w:uiPriority="1"/>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3">
    <w:name w:val="Document Map"/>
    <w:basedOn w:val="a"/>
    <w:link w:val="Char"/>
    <w:pPr>
      <w:shd w:val="clear" w:color="auto" w:fill="000080"/>
    </w:pPr>
  </w:style>
  <w:style w:type="character" w:customStyle="1" w:styleId="Char">
    <w:name w:val="文档结构图 Char"/>
    <w:link w:val="a3"/>
    <w:locked/>
    <w:rPr>
      <w:rFonts w:ascii="宋体" w:eastAsia="宋体" w:hAnsi="宋体" w:hint="eastAsia"/>
      <w:kern w:val="2"/>
      <w:sz w:val="18"/>
      <w:szCs w:val="18"/>
    </w:rPr>
  </w:style>
  <w:style w:type="paragraph" w:styleId="a4">
    <w:name w:val="annotation text"/>
    <w:basedOn w:val="a"/>
    <w:link w:val="Char0"/>
    <w:uiPriority w:val="99"/>
    <w:unhideWhenUsed/>
    <w:qFormat/>
    <w:pPr>
      <w:jc w:val="left"/>
    </w:pPr>
  </w:style>
  <w:style w:type="character" w:customStyle="1" w:styleId="Char0">
    <w:name w:val="批注文字 Char"/>
    <w:link w:val="a4"/>
    <w:uiPriority w:val="99"/>
    <w:rPr>
      <w:rFonts w:cs="宋体"/>
      <w:kern w:val="2"/>
      <w:sz w:val="21"/>
    </w:rPr>
  </w:style>
  <w:style w:type="paragraph" w:styleId="30">
    <w:name w:val="toc 3"/>
    <w:basedOn w:val="a"/>
    <w:next w:val="a"/>
    <w:uiPriority w:val="39"/>
    <w:unhideWhenUsed/>
  </w:style>
  <w:style w:type="paragraph" w:styleId="a5">
    <w:name w:val="Date"/>
    <w:basedOn w:val="a"/>
    <w:next w:val="a"/>
    <w:link w:val="Char1"/>
    <w:rPr>
      <w:sz w:val="32"/>
    </w:rPr>
  </w:style>
  <w:style w:type="character" w:customStyle="1" w:styleId="Char1">
    <w:name w:val="日期 Char"/>
    <w:link w:val="a5"/>
    <w:locked/>
    <w:rPr>
      <w:kern w:val="2"/>
      <w:sz w:val="21"/>
    </w:rPr>
  </w:style>
  <w:style w:type="paragraph" w:styleId="a6">
    <w:name w:val="Balloon Text"/>
    <w:basedOn w:val="a"/>
    <w:link w:val="Char2"/>
    <w:uiPriority w:val="99"/>
    <w:unhideWhenUsed/>
    <w:rPr>
      <w:sz w:val="18"/>
      <w:szCs w:val="18"/>
    </w:rPr>
  </w:style>
  <w:style w:type="character" w:customStyle="1" w:styleId="Char2">
    <w:name w:val="批注框文本 Char"/>
    <w:link w:val="a6"/>
    <w:uiPriority w:val="99"/>
    <w:semiHidden/>
    <w:locked/>
    <w:rPr>
      <w:kern w:val="2"/>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character" w:customStyle="1" w:styleId="Char3">
    <w:name w:val="页脚 Char"/>
    <w:link w:val="a7"/>
    <w:uiPriority w:val="99"/>
    <w:locked/>
    <w:rPr>
      <w:kern w:val="2"/>
      <w:sz w:val="18"/>
      <w:szCs w:val="18"/>
    </w:rPr>
  </w:style>
  <w:style w:type="paragraph" w:styleId="a8">
    <w:name w:val="header"/>
    <w:basedOn w:val="a"/>
    <w:link w:val="Char4"/>
    <w:uiPriority w:val="99"/>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8"/>
    <w:uiPriority w:val="99"/>
    <w:locked/>
    <w:rPr>
      <w:kern w:val="2"/>
      <w:sz w:val="18"/>
      <w:szCs w:val="18"/>
    </w:rPr>
  </w:style>
  <w:style w:type="paragraph" w:styleId="10">
    <w:name w:val="toc 1"/>
    <w:basedOn w:val="a"/>
    <w:next w:val="a"/>
    <w:uiPriority w:val="39"/>
    <w:unhideWhenUsed/>
    <w:pPr>
      <w:tabs>
        <w:tab w:val="right" w:leader="dot" w:pos="8835"/>
      </w:tabs>
    </w:pPr>
    <w:rPr>
      <w:lang w:val="en-US" w:eastAsia="zh-CN"/>
    </w:rPr>
  </w:style>
  <w:style w:type="paragraph" w:styleId="a9">
    <w:name w:val="Subtitle"/>
    <w:basedOn w:val="2"/>
    <w:next w:val="3"/>
    <w:link w:val="Char5"/>
    <w:qFormat/>
    <w:pPr>
      <w:spacing w:before="240" w:after="60" w:line="312" w:lineRule="auto"/>
      <w:jc w:val="left"/>
    </w:pPr>
    <w:rPr>
      <w:bCs w:val="0"/>
      <w:kern w:val="24"/>
      <w:sz w:val="24"/>
    </w:rPr>
  </w:style>
  <w:style w:type="character" w:customStyle="1" w:styleId="Char5">
    <w:name w:val="副标题 Char"/>
    <w:link w:val="a9"/>
    <w:locked/>
    <w:rPr>
      <w:rFonts w:ascii="Cambria" w:hAnsi="Cambria" w:cs="Times New Roman" w:hint="default"/>
      <w:b/>
      <w:bCs/>
      <w:kern w:val="24"/>
      <w:sz w:val="32"/>
      <w:szCs w:val="32"/>
    </w:rPr>
  </w:style>
  <w:style w:type="paragraph" w:styleId="aa">
    <w:name w:val="footnote text"/>
    <w:basedOn w:val="a"/>
    <w:link w:val="Char6"/>
    <w:pPr>
      <w:snapToGrid w:val="0"/>
      <w:jc w:val="left"/>
    </w:pPr>
    <w:rPr>
      <w:sz w:val="18"/>
      <w:szCs w:val="18"/>
    </w:rPr>
  </w:style>
  <w:style w:type="character" w:customStyle="1" w:styleId="Char6">
    <w:name w:val="脚注文本 Char"/>
    <w:link w:val="aa"/>
    <w:locked/>
    <w:rPr>
      <w:kern w:val="2"/>
      <w:sz w:val="18"/>
      <w:szCs w:val="18"/>
    </w:rPr>
  </w:style>
  <w:style w:type="paragraph" w:styleId="20">
    <w:name w:val="toc 2"/>
    <w:basedOn w:val="a"/>
    <w:next w:val="a"/>
    <w:uiPriority w:val="39"/>
    <w:unhideWhenUsed/>
    <w:pPr>
      <w:ind w:leftChars="200" w:left="420"/>
    </w:pPr>
  </w:style>
  <w:style w:type="paragraph" w:styleId="ab">
    <w:name w:val="Normal (Web)"/>
    <w:basedOn w:val="a"/>
    <w:pPr>
      <w:widowControl/>
      <w:spacing w:before="100" w:beforeAutospacing="1" w:after="100" w:afterAutospacing="1"/>
      <w:jc w:val="left"/>
    </w:pPr>
    <w:rPr>
      <w:kern w:val="0"/>
      <w:sz w:val="24"/>
    </w:rPr>
  </w:style>
  <w:style w:type="paragraph" w:styleId="ac">
    <w:name w:val="Title"/>
    <w:basedOn w:val="1"/>
    <w:next w:val="2"/>
    <w:link w:val="Char7"/>
    <w:uiPriority w:val="10"/>
    <w:qFormat/>
    <w:pPr>
      <w:keepNext w:val="0"/>
      <w:keepLines w:val="0"/>
      <w:spacing w:before="240" w:after="60" w:line="240" w:lineRule="auto"/>
      <w:jc w:val="center"/>
    </w:pPr>
    <w:rPr>
      <w:rFonts w:ascii="Cambria" w:hAnsi="Cambria"/>
      <w:kern w:val="0"/>
      <w:sz w:val="32"/>
      <w:szCs w:val="32"/>
    </w:rPr>
  </w:style>
  <w:style w:type="character" w:customStyle="1" w:styleId="Char7">
    <w:name w:val="标题 Char"/>
    <w:link w:val="ac"/>
    <w:uiPriority w:val="10"/>
    <w:locked/>
    <w:rPr>
      <w:rFonts w:ascii="Cambria" w:hAnsi="Cambria" w:cs="Times New Roman" w:hint="default"/>
      <w:b/>
      <w:bCs/>
      <w:kern w:val="2"/>
      <w:sz w:val="32"/>
      <w:szCs w:val="32"/>
    </w:rPr>
  </w:style>
  <w:style w:type="paragraph" w:styleId="ad">
    <w:name w:val="annotation subject"/>
    <w:basedOn w:val="a4"/>
    <w:next w:val="a4"/>
    <w:link w:val="Char8"/>
    <w:uiPriority w:val="99"/>
    <w:unhideWhenUsed/>
    <w:rPr>
      <w:b/>
      <w:bCs/>
    </w:rPr>
  </w:style>
  <w:style w:type="character" w:customStyle="1" w:styleId="Char8">
    <w:name w:val="批注主题 Char"/>
    <w:link w:val="ad"/>
    <w:uiPriority w:val="99"/>
    <w:semiHidden/>
    <w:rPr>
      <w:rFonts w:cs="宋体"/>
      <w:b/>
      <w:bCs/>
      <w:kern w:val="2"/>
      <w:sz w:val="21"/>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uiPriority w:val="99"/>
    <w:unhideWhenUsed/>
    <w:rPr>
      <w:color w:val="800080"/>
      <w:u w:val="single"/>
    </w:rPr>
  </w:style>
  <w:style w:type="character" w:styleId="af0">
    <w:name w:val="Hyperlink"/>
    <w:uiPriority w:val="99"/>
    <w:unhideWhenUsed/>
    <w:rPr>
      <w:color w:val="0000FF"/>
      <w:u w:val="single"/>
    </w:rPr>
  </w:style>
  <w:style w:type="character" w:styleId="af1">
    <w:name w:val="annotation reference"/>
    <w:uiPriority w:val="99"/>
    <w:unhideWhenUsed/>
    <w:rPr>
      <w:sz w:val="21"/>
      <w:szCs w:val="21"/>
    </w:rPr>
  </w:style>
  <w:style w:type="character" w:styleId="af2">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2">
    <w:name w:val="文档结构图 字符1"/>
    <w:link w:val="a3"/>
    <w:locked/>
    <w:rPr>
      <w:rFonts w:ascii="宋体" w:eastAsia="宋体" w:hAnsi="宋体" w:hint="eastAsia"/>
      <w:kern w:val="2"/>
      <w:sz w:val="18"/>
      <w:szCs w:val="18"/>
    </w:rPr>
  </w:style>
  <w:style w:type="character" w:customStyle="1" w:styleId="13">
    <w:name w:val="日期 字符1"/>
    <w:link w:val="a5"/>
    <w:locked/>
    <w:rPr>
      <w:rFonts w:ascii="宋体" w:eastAsia="宋体" w:hAnsi="宋体" w:hint="eastAsia"/>
      <w:kern w:val="2"/>
      <w:sz w:val="32"/>
    </w:rPr>
  </w:style>
  <w:style w:type="character" w:customStyle="1" w:styleId="14">
    <w:name w:val="批注框文本 字符1"/>
    <w:link w:val="a6"/>
    <w:uiPriority w:val="99"/>
    <w:semiHidden/>
    <w:locked/>
    <w:rPr>
      <w:kern w:val="2"/>
      <w:sz w:val="18"/>
      <w:szCs w:val="18"/>
    </w:rPr>
  </w:style>
  <w:style w:type="character" w:customStyle="1" w:styleId="15">
    <w:name w:val="页脚 字符1"/>
    <w:link w:val="a7"/>
    <w:uiPriority w:val="99"/>
    <w:locked/>
    <w:rPr>
      <w:kern w:val="2"/>
      <w:sz w:val="18"/>
      <w:szCs w:val="18"/>
    </w:rPr>
  </w:style>
  <w:style w:type="character" w:customStyle="1" w:styleId="22">
    <w:name w:val="页眉 字符2"/>
    <w:link w:val="a8"/>
    <w:locked/>
    <w:rPr>
      <w:kern w:val="2"/>
      <w:sz w:val="18"/>
      <w:szCs w:val="18"/>
    </w:rPr>
  </w:style>
  <w:style w:type="character" w:customStyle="1" w:styleId="16">
    <w:name w:val="副标题 字符1"/>
    <w:link w:val="a9"/>
    <w:locked/>
    <w:rPr>
      <w:rFonts w:ascii="Cambria" w:eastAsia="宋体" w:hAnsi="Cambria" w:cs="宋体" w:hint="default"/>
      <w:b/>
      <w:bCs w:val="0"/>
      <w:kern w:val="24"/>
      <w:sz w:val="24"/>
      <w:szCs w:val="32"/>
    </w:rPr>
  </w:style>
  <w:style w:type="character" w:customStyle="1" w:styleId="17">
    <w:name w:val="脚注文本 字符1"/>
    <w:link w:val="aa"/>
    <w:locked/>
    <w:rPr>
      <w:kern w:val="2"/>
      <w:sz w:val="18"/>
      <w:szCs w:val="18"/>
    </w:rPr>
  </w:style>
  <w:style w:type="character" w:customStyle="1" w:styleId="18">
    <w:name w:val="标题 字符1"/>
    <w:link w:val="ac"/>
    <w:uiPriority w:val="10"/>
    <w:locked/>
    <w:rPr>
      <w:rFonts w:ascii="Cambria" w:hAnsi="Cambria" w:cs="宋体" w:hint="default"/>
      <w:b/>
      <w:bCs/>
      <w:sz w:val="32"/>
      <w:szCs w:val="32"/>
    </w:rPr>
  </w:style>
  <w:style w:type="character" w:customStyle="1" w:styleId="19">
    <w:name w:val="标题 1 字符"/>
    <w:link w:val="1"/>
    <w:uiPriority w:val="9"/>
    <w:locked/>
    <w:rPr>
      <w:b/>
      <w:bCs/>
      <w:kern w:val="44"/>
      <w:sz w:val="44"/>
      <w:szCs w:val="44"/>
    </w:rPr>
  </w:style>
  <w:style w:type="character" w:customStyle="1" w:styleId="23">
    <w:name w:val="标题 2 字符"/>
    <w:link w:val="2"/>
    <w:uiPriority w:val="9"/>
    <w:locked/>
    <w:rPr>
      <w:rFonts w:ascii="Cambria" w:eastAsia="宋体" w:hAnsi="Cambria" w:cs="Times New Roman" w:hint="default"/>
      <w:b/>
      <w:bCs/>
      <w:kern w:val="2"/>
      <w:sz w:val="32"/>
      <w:szCs w:val="32"/>
    </w:rPr>
  </w:style>
  <w:style w:type="character" w:customStyle="1" w:styleId="32">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character" w:customStyle="1" w:styleId="af3">
    <w:name w:val="文档结构图 字符"/>
    <w:link w:val="a3"/>
    <w:locked/>
    <w:rPr>
      <w:rFonts w:ascii="Microsoft YaHei UI" w:eastAsia="Microsoft YaHei UI" w:hAnsi="Microsoft YaHei UI" w:hint="eastAsia"/>
      <w:kern w:val="2"/>
      <w:sz w:val="18"/>
      <w:szCs w:val="18"/>
    </w:rPr>
  </w:style>
  <w:style w:type="character" w:customStyle="1" w:styleId="af4">
    <w:name w:val="日期 字符"/>
    <w:link w:val="a5"/>
    <w:locked/>
    <w:rPr>
      <w:kern w:val="2"/>
      <w:sz w:val="21"/>
    </w:rPr>
  </w:style>
  <w:style w:type="character" w:customStyle="1" w:styleId="af5">
    <w:name w:val="批注框文本 字符"/>
    <w:link w:val="a6"/>
    <w:uiPriority w:val="99"/>
    <w:semiHidden/>
    <w:locked/>
    <w:rPr>
      <w:kern w:val="2"/>
      <w:sz w:val="18"/>
      <w:szCs w:val="18"/>
    </w:rPr>
  </w:style>
  <w:style w:type="character" w:customStyle="1" w:styleId="af6">
    <w:name w:val="页脚 字符"/>
    <w:link w:val="a7"/>
    <w:uiPriority w:val="99"/>
    <w:locked/>
    <w:rPr>
      <w:kern w:val="2"/>
      <w:sz w:val="18"/>
      <w:szCs w:val="18"/>
    </w:rPr>
  </w:style>
  <w:style w:type="character" w:customStyle="1" w:styleId="af7">
    <w:name w:val="页眉 字符"/>
    <w:link w:val="a8"/>
    <w:uiPriority w:val="99"/>
    <w:locked/>
    <w:rPr>
      <w:kern w:val="2"/>
      <w:sz w:val="18"/>
      <w:szCs w:val="18"/>
    </w:rPr>
  </w:style>
  <w:style w:type="character" w:customStyle="1" w:styleId="af8">
    <w:name w:val="副标题 字符"/>
    <w:link w:val="a9"/>
    <w:locked/>
    <w:rPr>
      <w:rFonts w:ascii="Calibri" w:eastAsia="宋体" w:hAnsi="Calibri" w:cs="Times New Roman" w:hint="default"/>
      <w:b/>
      <w:bCs/>
      <w:kern w:val="24"/>
      <w:sz w:val="32"/>
      <w:szCs w:val="32"/>
    </w:rPr>
  </w:style>
  <w:style w:type="character" w:customStyle="1" w:styleId="af9">
    <w:name w:val="脚注文本 字符"/>
    <w:link w:val="aa"/>
    <w:locked/>
    <w:rPr>
      <w:kern w:val="2"/>
      <w:sz w:val="18"/>
      <w:szCs w:val="18"/>
    </w:rPr>
  </w:style>
  <w:style w:type="character" w:customStyle="1" w:styleId="afa">
    <w:name w:val="标题 字符"/>
    <w:link w:val="ac"/>
    <w:uiPriority w:val="10"/>
    <w:locked/>
    <w:rPr>
      <w:rFonts w:ascii="Cambria" w:eastAsia="宋体" w:hAnsi="Cambria" w:cs="Times New Roman" w:hint="default"/>
      <w:b/>
      <w:bCs/>
      <w:kern w:val="2"/>
      <w:sz w:val="32"/>
      <w:szCs w:val="32"/>
    </w:rPr>
  </w:style>
  <w:style w:type="paragraph" w:customStyle="1" w:styleId="msonormal0">
    <w:name w:val="msonormal"/>
    <w:basedOn w:val="a"/>
    <w:pPr>
      <w:widowControl/>
      <w:spacing w:before="100" w:beforeAutospacing="1" w:after="100" w:afterAutospacing="1"/>
      <w:jc w:val="left"/>
    </w:pPr>
    <w:rPr>
      <w:kern w:val="0"/>
      <w:sz w:val="24"/>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9"/>
    <w:next w:val="4"/>
    <w:qFormat/>
    <w:pPr>
      <w:numPr>
        <w:ilvl w:val="5"/>
        <w:numId w:val="1"/>
      </w:numPr>
      <w:spacing w:beforeLines="50" w:after="0" w:line="240" w:lineRule="auto"/>
      <w:outlineLvl w:val="9"/>
    </w:pPr>
    <w:rPr>
      <w:bCs/>
    </w:rPr>
  </w:style>
  <w:style w:type="paragraph" w:customStyle="1" w:styleId="afb">
    <w:name w:val="次标题"/>
    <w:basedOn w:val="3"/>
    <w:next w:val="a"/>
    <w:pPr>
      <w:spacing w:before="120" w:after="120"/>
      <w:jc w:val="left"/>
    </w:pPr>
    <w:rPr>
      <w:sz w:val="21"/>
    </w:rPr>
  </w:style>
  <w:style w:type="paragraph" w:customStyle="1" w:styleId="XBRL6">
    <w:name w:val="XBRL标题6"/>
    <w:basedOn w:val="a9"/>
    <w:next w:val="4"/>
    <w:qFormat/>
    <w:pPr>
      <w:spacing w:beforeLines="50" w:after="0" w:line="240" w:lineRule="auto"/>
      <w:outlineLvl w:val="9"/>
    </w:pPr>
    <w:rPr>
      <w:bCs/>
    </w:rPr>
  </w:style>
  <w:style w:type="paragraph" w:customStyle="1" w:styleId="XBRL2">
    <w:name w:val="XBRL标题2"/>
    <w:basedOn w:val="a9"/>
    <w:next w:val="4"/>
    <w:qFormat/>
    <w:pPr>
      <w:spacing w:beforeLines="50" w:after="0" w:line="240" w:lineRule="auto"/>
    </w:pPr>
    <w:rPr>
      <w:bCs/>
    </w:rPr>
  </w:style>
  <w:style w:type="paragraph" w:customStyle="1" w:styleId="XBRL3">
    <w:name w:val="XBRL标题3"/>
    <w:basedOn w:val="a9"/>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9"/>
    <w:next w:val="4"/>
    <w:qFormat/>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9"/>
    <w:next w:val="4"/>
    <w:qFormat/>
    <w:pPr>
      <w:numPr>
        <w:ilvl w:val="4"/>
        <w:numId w:val="1"/>
      </w:numPr>
      <w:spacing w:beforeLines="50" w:after="0" w:line="240" w:lineRule="auto"/>
      <w:outlineLvl w:val="9"/>
    </w:pPr>
    <w:rPr>
      <w:bCs/>
    </w:rPr>
  </w:style>
  <w:style w:type="paragraph" w:customStyle="1" w:styleId="Char9">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9"/>
    <w:next w:val="4"/>
    <w:qFormat/>
    <w:pPr>
      <w:spacing w:beforeLines="50" w:after="0" w:line="240" w:lineRule="auto"/>
      <w:outlineLvl w:val="9"/>
    </w:pPr>
    <w:rPr>
      <w:bCs/>
    </w:rPr>
  </w:style>
  <w:style w:type="paragraph" w:customStyle="1" w:styleId="XBRL4">
    <w:name w:val="XBRL标题4"/>
    <w:basedOn w:val="a9"/>
    <w:next w:val="4"/>
    <w:qFormat/>
    <w:pPr>
      <w:spacing w:beforeLines="50" w:after="0" w:line="240" w:lineRule="auto"/>
      <w:outlineLvl w:val="9"/>
    </w:pPr>
    <w:rPr>
      <w:bCs/>
    </w:rPr>
  </w:style>
  <w:style w:type="paragraph" w:customStyle="1" w:styleId="XBRLTitle4">
    <w:name w:val="XBRLTitle4"/>
    <w:basedOn w:val="a9"/>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9"/>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a">
    <w:name w:val="页眉 字符1"/>
    <w:locked/>
    <w:rPr>
      <w:kern w:val="2"/>
      <w:sz w:val="18"/>
      <w:szCs w:val="18"/>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Words>
  <Characters>966</Characters>
  <Application>Microsoft Office Word</Application>
  <DocSecurity>4</DocSecurity>
  <Lines>8</Lines>
  <Paragraphs>2</Paragraphs>
  <ScaleCrop>false</ScaleCrop>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2024-01-12T13:24:00Z</cp:lastPrinted>
  <dcterms:created xsi:type="dcterms:W3CDTF">2026-01-06T16:01:00Z</dcterms:created>
  <dcterms:modified xsi:type="dcterms:W3CDTF">2026-01-06T16:01:00Z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F40641EB99194D1AA6D6C44A13F56171_13</vt:lpwstr>
  </property>
  <property fmtid="{D5CDD505-2E9C-101B-9397-08002B2CF9AE}" pid="4" name="KSOTemplateDocerSaveRecord">
    <vt:lpwstr>eyJoZGlkIjoiYjkzNGNjNmNhZjE2MzM2YmQwZTY5MWMzYzAzZjdmZDMiLCJ1c2VySWQiOiI3ODY2NzI3MDEifQ==</vt:lpwstr>
  </property>
</Properties>
</file>