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3BD" w:rsidRDefault="001873BD"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jc w:val="center"/>
        <w:rPr>
          <w:rFonts w:ascii="宋体" w:eastAsia="宋体" w:hAnsi="宋体" w:cs="Times New Roman"/>
          <w:b/>
          <w:color w:val="000000"/>
          <w:kern w:val="0"/>
          <w:sz w:val="28"/>
          <w:szCs w:val="28"/>
        </w:rPr>
      </w:pPr>
      <w:r w:rsidRPr="001873BD">
        <w:rPr>
          <w:rFonts w:ascii="宋体" w:eastAsia="宋体" w:hAnsi="宋体" w:cs="Times New Roman" w:hint="eastAsia"/>
          <w:b/>
          <w:color w:val="000000"/>
          <w:kern w:val="0"/>
          <w:sz w:val="28"/>
          <w:szCs w:val="28"/>
        </w:rPr>
        <w:t>国泰基金管理有限公司关于旗下基金获配非公开发行</w:t>
      </w:r>
      <w:r w:rsidRPr="001873BD">
        <w:rPr>
          <w:rFonts w:ascii="宋体" w:eastAsia="宋体" w:hAnsi="宋体" w:cs="Times New Roman"/>
          <w:b/>
          <w:color w:val="000000"/>
          <w:kern w:val="0"/>
          <w:sz w:val="28"/>
          <w:szCs w:val="28"/>
        </w:rPr>
        <w:t>A</w:t>
      </w:r>
      <w:r w:rsidRPr="001873BD">
        <w:rPr>
          <w:rFonts w:ascii="宋体" w:eastAsia="宋体" w:hAnsi="宋体" w:cs="Times New Roman" w:hint="eastAsia"/>
          <w:b/>
          <w:color w:val="000000"/>
          <w:kern w:val="0"/>
          <w:sz w:val="28"/>
          <w:szCs w:val="28"/>
        </w:rPr>
        <w:t>股的公告</w:t>
      </w:r>
    </w:p>
    <w:p w:rsidR="001873BD" w:rsidRPr="001873BD" w:rsidRDefault="001873BD"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国泰基金管理有限公司（以下简称本公司）所管理的证券投资基金参加了</w:t>
      </w:r>
      <w:r w:rsidR="00413504" w:rsidRPr="00413504">
        <w:rPr>
          <w:rFonts w:ascii="宋体" w:eastAsia="宋体" w:hAnsi="宋体" w:cs="Times New Roman" w:hint="eastAsia"/>
          <w:color w:val="000000"/>
          <w:kern w:val="0"/>
          <w:sz w:val="24"/>
          <w:szCs w:val="24"/>
        </w:rPr>
        <w:t>南京证券股份有限公司</w:t>
      </w:r>
      <w:r w:rsidRPr="001873BD">
        <w:rPr>
          <w:rFonts w:ascii="宋体" w:eastAsia="宋体" w:hAnsi="宋体" w:cs="Times New Roman"/>
          <w:color w:val="000000"/>
          <w:kern w:val="0"/>
          <w:sz w:val="24"/>
          <w:szCs w:val="24"/>
        </w:rPr>
        <w:t>非公开发行A股的认购。</w:t>
      </w:r>
      <w:r w:rsidR="00413504" w:rsidRPr="00413504">
        <w:rPr>
          <w:rFonts w:ascii="宋体" w:eastAsia="宋体" w:hAnsi="宋体" w:cs="Times New Roman" w:hint="eastAsia"/>
          <w:color w:val="000000"/>
          <w:kern w:val="0"/>
          <w:sz w:val="24"/>
          <w:szCs w:val="24"/>
        </w:rPr>
        <w:t>南京证券股份有限公司</w:t>
      </w:r>
      <w:r w:rsidRPr="001873BD">
        <w:rPr>
          <w:rFonts w:ascii="宋体" w:eastAsia="宋体" w:hAnsi="宋体" w:cs="Times New Roman"/>
          <w:color w:val="000000"/>
          <w:kern w:val="0"/>
          <w:sz w:val="24"/>
          <w:szCs w:val="24"/>
        </w:rPr>
        <w:t>已于202</w:t>
      </w:r>
      <w:r w:rsidR="00C85D27" w:rsidRPr="001873BD">
        <w:rPr>
          <w:rFonts w:ascii="宋体" w:eastAsia="宋体" w:hAnsi="宋体" w:cs="Times New Roman"/>
          <w:color w:val="000000"/>
          <w:kern w:val="0"/>
          <w:sz w:val="24"/>
          <w:szCs w:val="24"/>
        </w:rPr>
        <w:t>5</w:t>
      </w:r>
      <w:r w:rsidRPr="001873BD">
        <w:rPr>
          <w:rFonts w:ascii="宋体" w:eastAsia="宋体" w:hAnsi="宋体" w:cs="Times New Roman"/>
          <w:color w:val="000000"/>
          <w:kern w:val="0"/>
          <w:sz w:val="24"/>
          <w:szCs w:val="24"/>
        </w:rPr>
        <w:t>年</w:t>
      </w:r>
      <w:r w:rsidR="00413504">
        <w:rPr>
          <w:rFonts w:ascii="宋体" w:eastAsia="宋体" w:hAnsi="宋体" w:cs="Times New Roman"/>
          <w:color w:val="000000"/>
          <w:kern w:val="0"/>
          <w:sz w:val="24"/>
          <w:szCs w:val="24"/>
        </w:rPr>
        <w:t>12</w:t>
      </w:r>
      <w:r w:rsidRPr="001873BD">
        <w:rPr>
          <w:rFonts w:ascii="宋体" w:eastAsia="宋体" w:hAnsi="宋体" w:cs="Times New Roman"/>
          <w:color w:val="000000"/>
          <w:kern w:val="0"/>
          <w:sz w:val="24"/>
          <w:szCs w:val="24"/>
        </w:rPr>
        <w:t>月</w:t>
      </w:r>
      <w:r w:rsidR="00DC2F5B">
        <w:rPr>
          <w:rFonts w:ascii="宋体" w:eastAsia="宋体" w:hAnsi="宋体" w:cs="Times New Roman"/>
          <w:color w:val="000000"/>
          <w:kern w:val="0"/>
          <w:sz w:val="24"/>
          <w:szCs w:val="24"/>
        </w:rPr>
        <w:t>30</w:t>
      </w:r>
      <w:r w:rsidRPr="001873BD">
        <w:rPr>
          <w:rFonts w:ascii="宋体" w:eastAsia="宋体" w:hAnsi="宋体" w:cs="Times New Roman"/>
          <w:color w:val="000000"/>
          <w:kern w:val="0"/>
          <w:sz w:val="24"/>
          <w:szCs w:val="24"/>
        </w:rPr>
        <w:t>日发布《</w:t>
      </w:r>
      <w:r w:rsidR="00413504" w:rsidRPr="00413504">
        <w:rPr>
          <w:rFonts w:ascii="宋体" w:eastAsia="宋体" w:hAnsi="宋体" w:cs="Times New Roman" w:hint="eastAsia"/>
          <w:color w:val="000000"/>
          <w:kern w:val="0"/>
          <w:sz w:val="24"/>
          <w:szCs w:val="24"/>
        </w:rPr>
        <w:t>南京证券股份有限公司关于向特定对象发行股票结果暨股本变动公告</w:t>
      </w:r>
      <w:r w:rsidRPr="001873BD">
        <w:rPr>
          <w:rFonts w:ascii="宋体" w:eastAsia="宋体" w:hAnsi="宋体" w:cs="Times New Roman"/>
          <w:color w:val="000000"/>
          <w:kern w:val="0"/>
          <w:sz w:val="24"/>
          <w:szCs w:val="24"/>
        </w:rPr>
        <w:t>》，公布了本次非公开发行结果。</w:t>
      </w:r>
    </w:p>
    <w:p w:rsidR="001F64DB" w:rsidRPr="001873BD" w:rsidRDefault="00885706" w:rsidP="001873BD">
      <w:pPr>
        <w:autoSpaceDE w:val="0"/>
        <w:autoSpaceDN w:val="0"/>
        <w:adjustRightInd w:val="0"/>
        <w:spacing w:line="360" w:lineRule="auto"/>
        <w:ind w:firstLineChars="200" w:firstLine="480"/>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根据中国证监会《公开募集证券投资基金信息披露管理办法》、《关于基金投资非公开发行股票等流通受限证券有关问题的通知》等有关规定，本公司现将旗下证券投资基金获配</w:t>
      </w:r>
      <w:r w:rsidR="00DB6078" w:rsidRPr="00DB6078">
        <w:rPr>
          <w:rFonts w:ascii="宋体" w:eastAsia="宋体" w:hAnsi="宋体" w:cs="Times New Roman" w:hint="eastAsia"/>
          <w:color w:val="000000"/>
          <w:kern w:val="0"/>
          <w:sz w:val="24"/>
          <w:szCs w:val="24"/>
        </w:rPr>
        <w:t>南京证券股份有限公司</w:t>
      </w:r>
      <w:r w:rsidRPr="001873BD">
        <w:rPr>
          <w:rFonts w:ascii="宋体" w:eastAsia="宋体" w:hAnsi="宋体" w:cs="Times New Roman"/>
          <w:color w:val="000000"/>
          <w:kern w:val="0"/>
          <w:sz w:val="24"/>
          <w:szCs w:val="24"/>
        </w:rPr>
        <w:t>非公开发行A股情况披露如下：</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tbl>
      <w:tblPr>
        <w:tblStyle w:val="a6"/>
        <w:tblW w:w="9966" w:type="dxa"/>
        <w:jc w:val="center"/>
        <w:tblLayout w:type="fixed"/>
        <w:tblLook w:val="04A0"/>
      </w:tblPr>
      <w:tblGrid>
        <w:gridCol w:w="1964"/>
        <w:gridCol w:w="1276"/>
        <w:gridCol w:w="1701"/>
        <w:gridCol w:w="1134"/>
        <w:gridCol w:w="1701"/>
        <w:gridCol w:w="1276"/>
        <w:gridCol w:w="914"/>
      </w:tblGrid>
      <w:tr w:rsidR="004F5902" w:rsidRPr="004F5902" w:rsidTr="004F5902">
        <w:trPr>
          <w:trHeight w:val="468"/>
          <w:jc w:val="center"/>
        </w:trPr>
        <w:tc>
          <w:tcPr>
            <w:tcW w:w="1964" w:type="dxa"/>
            <w:vMerge w:val="restart"/>
            <w:vAlign w:val="center"/>
          </w:tcPr>
          <w:p w:rsidR="001F64DB" w:rsidRPr="004F5902" w:rsidRDefault="00885706" w:rsidP="001873BD">
            <w:pPr>
              <w:widowControl/>
              <w:spacing w:line="360" w:lineRule="auto"/>
              <w:jc w:val="center"/>
              <w:rPr>
                <w:rFonts w:ascii="宋体" w:eastAsia="宋体" w:hAnsi="宋体" w:cs="宋体"/>
                <w:color w:val="000000"/>
                <w:kern w:val="0"/>
                <w:szCs w:val="21"/>
              </w:rPr>
            </w:pPr>
            <w:r w:rsidRPr="004F5902">
              <w:rPr>
                <w:rFonts w:ascii="宋体" w:eastAsia="宋体" w:hAnsi="宋体" w:cs="宋体" w:hint="eastAsia"/>
                <w:color w:val="000000"/>
                <w:kern w:val="0"/>
                <w:szCs w:val="21"/>
              </w:rPr>
              <w:t>基金名称</w:t>
            </w:r>
          </w:p>
        </w:tc>
        <w:tc>
          <w:tcPr>
            <w:tcW w:w="1276" w:type="dxa"/>
            <w:vMerge w:val="restart"/>
            <w:vAlign w:val="center"/>
          </w:tcPr>
          <w:p w:rsidR="001F64DB" w:rsidRPr="004F5902" w:rsidRDefault="00885706" w:rsidP="001873BD">
            <w:pPr>
              <w:widowControl/>
              <w:spacing w:line="360" w:lineRule="auto"/>
              <w:jc w:val="center"/>
              <w:rPr>
                <w:rFonts w:ascii="宋体" w:eastAsia="宋体" w:hAnsi="宋体" w:cs="宋体"/>
                <w:color w:val="000000"/>
                <w:kern w:val="0"/>
                <w:szCs w:val="21"/>
              </w:rPr>
            </w:pPr>
            <w:r w:rsidRPr="004F5902">
              <w:rPr>
                <w:rFonts w:ascii="宋体" w:eastAsia="宋体" w:hAnsi="宋体" w:cs="宋体" w:hint="eastAsia"/>
                <w:color w:val="000000"/>
                <w:kern w:val="0"/>
                <w:szCs w:val="21"/>
              </w:rPr>
              <w:t>获配数量（股）</w:t>
            </w:r>
          </w:p>
        </w:tc>
        <w:tc>
          <w:tcPr>
            <w:tcW w:w="1701" w:type="dxa"/>
            <w:vMerge w:val="restart"/>
            <w:vAlign w:val="center"/>
          </w:tcPr>
          <w:p w:rsidR="001F64DB" w:rsidRPr="004F5902" w:rsidRDefault="00885706" w:rsidP="001873BD">
            <w:pPr>
              <w:widowControl/>
              <w:spacing w:line="360" w:lineRule="auto"/>
              <w:jc w:val="center"/>
              <w:rPr>
                <w:rFonts w:ascii="宋体" w:eastAsia="宋体" w:hAnsi="宋体" w:cs="宋体"/>
                <w:color w:val="000000"/>
                <w:kern w:val="0"/>
                <w:szCs w:val="21"/>
              </w:rPr>
            </w:pPr>
            <w:r w:rsidRPr="004F5902">
              <w:rPr>
                <w:rFonts w:ascii="宋体" w:eastAsia="宋体" w:hAnsi="宋体" w:cs="宋体" w:hint="eastAsia"/>
                <w:color w:val="000000"/>
                <w:kern w:val="0"/>
                <w:szCs w:val="21"/>
              </w:rPr>
              <w:t>总成本（元）</w:t>
            </w:r>
          </w:p>
        </w:tc>
        <w:tc>
          <w:tcPr>
            <w:tcW w:w="1134" w:type="dxa"/>
            <w:vMerge w:val="restart"/>
            <w:vAlign w:val="center"/>
          </w:tcPr>
          <w:p w:rsidR="001F64DB" w:rsidRPr="004F5902" w:rsidRDefault="00885706" w:rsidP="001873BD">
            <w:pPr>
              <w:widowControl/>
              <w:spacing w:line="360" w:lineRule="auto"/>
              <w:jc w:val="center"/>
              <w:rPr>
                <w:rFonts w:ascii="宋体" w:eastAsia="宋体" w:hAnsi="宋体" w:cs="宋体"/>
                <w:color w:val="000000"/>
                <w:kern w:val="0"/>
                <w:szCs w:val="21"/>
              </w:rPr>
            </w:pPr>
            <w:r w:rsidRPr="004F5902">
              <w:rPr>
                <w:rFonts w:ascii="宋体" w:eastAsia="宋体" w:hAnsi="宋体" w:cs="宋体" w:hint="eastAsia"/>
                <w:color w:val="000000"/>
                <w:kern w:val="0"/>
                <w:szCs w:val="21"/>
              </w:rPr>
              <w:t>总成本占基金资产净值比例</w:t>
            </w:r>
          </w:p>
        </w:tc>
        <w:tc>
          <w:tcPr>
            <w:tcW w:w="1701" w:type="dxa"/>
            <w:vMerge w:val="restart"/>
            <w:vAlign w:val="center"/>
          </w:tcPr>
          <w:p w:rsidR="001F64DB" w:rsidRPr="004F5902" w:rsidRDefault="00885706" w:rsidP="001873BD">
            <w:pPr>
              <w:widowControl/>
              <w:spacing w:line="360" w:lineRule="auto"/>
              <w:jc w:val="center"/>
              <w:rPr>
                <w:rFonts w:ascii="宋体" w:eastAsia="宋体" w:hAnsi="宋体" w:cs="宋体"/>
                <w:color w:val="000000"/>
                <w:kern w:val="0"/>
                <w:szCs w:val="21"/>
              </w:rPr>
            </w:pPr>
            <w:r w:rsidRPr="004F5902">
              <w:rPr>
                <w:rFonts w:ascii="宋体" w:eastAsia="宋体" w:hAnsi="宋体" w:cs="宋体" w:hint="eastAsia"/>
                <w:color w:val="000000"/>
                <w:kern w:val="0"/>
                <w:szCs w:val="21"/>
              </w:rPr>
              <w:t>账面价值（元）</w:t>
            </w:r>
          </w:p>
        </w:tc>
        <w:tc>
          <w:tcPr>
            <w:tcW w:w="1276" w:type="dxa"/>
            <w:vMerge w:val="restart"/>
            <w:vAlign w:val="center"/>
          </w:tcPr>
          <w:p w:rsidR="001F64DB" w:rsidRPr="004F5902" w:rsidRDefault="00885706" w:rsidP="001873BD">
            <w:pPr>
              <w:widowControl/>
              <w:spacing w:line="360" w:lineRule="auto"/>
              <w:jc w:val="center"/>
              <w:rPr>
                <w:rFonts w:ascii="宋体" w:eastAsia="宋体" w:hAnsi="宋体" w:cs="宋体"/>
                <w:color w:val="000000"/>
                <w:kern w:val="0"/>
                <w:szCs w:val="21"/>
              </w:rPr>
            </w:pPr>
            <w:r w:rsidRPr="004F5902">
              <w:rPr>
                <w:rFonts w:ascii="宋体" w:eastAsia="宋体" w:hAnsi="宋体" w:cs="宋体" w:hint="eastAsia"/>
                <w:color w:val="000000"/>
                <w:kern w:val="0"/>
                <w:szCs w:val="21"/>
              </w:rPr>
              <w:t>账面价值占基金资产净值比例</w:t>
            </w:r>
          </w:p>
        </w:tc>
        <w:tc>
          <w:tcPr>
            <w:tcW w:w="914" w:type="dxa"/>
            <w:vMerge w:val="restart"/>
            <w:vAlign w:val="center"/>
          </w:tcPr>
          <w:p w:rsidR="001F64DB" w:rsidRPr="004F5902" w:rsidRDefault="00885706" w:rsidP="001873BD">
            <w:pPr>
              <w:widowControl/>
              <w:spacing w:line="360" w:lineRule="auto"/>
              <w:jc w:val="center"/>
              <w:rPr>
                <w:rFonts w:ascii="宋体" w:eastAsia="宋体" w:hAnsi="宋体" w:cs="宋体"/>
                <w:color w:val="000000"/>
                <w:kern w:val="0"/>
                <w:szCs w:val="21"/>
              </w:rPr>
            </w:pPr>
            <w:r w:rsidRPr="004F5902">
              <w:rPr>
                <w:rFonts w:ascii="宋体" w:eastAsia="宋体" w:hAnsi="宋体" w:cs="宋体" w:hint="eastAsia"/>
                <w:color w:val="000000"/>
                <w:kern w:val="0"/>
                <w:szCs w:val="21"/>
              </w:rPr>
              <w:t>锁定期</w:t>
            </w:r>
          </w:p>
        </w:tc>
      </w:tr>
      <w:tr w:rsidR="004F5902" w:rsidRPr="004F5902" w:rsidTr="004F5902">
        <w:trPr>
          <w:trHeight w:val="468"/>
          <w:jc w:val="center"/>
        </w:trPr>
        <w:tc>
          <w:tcPr>
            <w:tcW w:w="1964" w:type="dxa"/>
            <w:vMerge/>
            <w:vAlign w:val="center"/>
          </w:tcPr>
          <w:p w:rsidR="001F64DB" w:rsidRPr="004F5902" w:rsidRDefault="001F64DB" w:rsidP="001873BD">
            <w:pPr>
              <w:widowControl/>
              <w:spacing w:line="360" w:lineRule="auto"/>
              <w:jc w:val="center"/>
              <w:rPr>
                <w:rFonts w:ascii="宋体" w:eastAsia="宋体" w:hAnsi="宋体" w:cs="宋体"/>
                <w:color w:val="000000"/>
                <w:kern w:val="0"/>
                <w:szCs w:val="21"/>
              </w:rPr>
            </w:pPr>
          </w:p>
        </w:tc>
        <w:tc>
          <w:tcPr>
            <w:tcW w:w="1276" w:type="dxa"/>
            <w:vMerge/>
            <w:vAlign w:val="center"/>
          </w:tcPr>
          <w:p w:rsidR="001F64DB" w:rsidRPr="004F5902" w:rsidRDefault="001F64DB" w:rsidP="001873BD">
            <w:pPr>
              <w:widowControl/>
              <w:spacing w:line="360" w:lineRule="auto"/>
              <w:jc w:val="left"/>
              <w:rPr>
                <w:rFonts w:ascii="宋体" w:eastAsia="宋体" w:hAnsi="宋体" w:cs="宋体"/>
                <w:color w:val="000000"/>
                <w:kern w:val="0"/>
                <w:szCs w:val="21"/>
              </w:rPr>
            </w:pPr>
          </w:p>
        </w:tc>
        <w:tc>
          <w:tcPr>
            <w:tcW w:w="1701" w:type="dxa"/>
            <w:vMerge/>
            <w:vAlign w:val="center"/>
          </w:tcPr>
          <w:p w:rsidR="001F64DB" w:rsidRPr="004F5902" w:rsidRDefault="001F64DB" w:rsidP="001873BD">
            <w:pPr>
              <w:widowControl/>
              <w:spacing w:line="360" w:lineRule="auto"/>
              <w:jc w:val="left"/>
              <w:rPr>
                <w:rFonts w:ascii="宋体" w:eastAsia="宋体" w:hAnsi="宋体" w:cs="宋体"/>
                <w:color w:val="000000"/>
                <w:kern w:val="0"/>
                <w:szCs w:val="21"/>
              </w:rPr>
            </w:pPr>
          </w:p>
        </w:tc>
        <w:tc>
          <w:tcPr>
            <w:tcW w:w="1134" w:type="dxa"/>
            <w:vMerge/>
            <w:vAlign w:val="center"/>
          </w:tcPr>
          <w:p w:rsidR="001F64DB" w:rsidRPr="004F5902" w:rsidRDefault="001F64DB" w:rsidP="001873BD">
            <w:pPr>
              <w:widowControl/>
              <w:spacing w:line="360" w:lineRule="auto"/>
              <w:jc w:val="left"/>
              <w:rPr>
                <w:rFonts w:ascii="宋体" w:eastAsia="宋体" w:hAnsi="宋体" w:cs="宋体"/>
                <w:color w:val="000000"/>
                <w:kern w:val="0"/>
                <w:szCs w:val="21"/>
              </w:rPr>
            </w:pPr>
          </w:p>
        </w:tc>
        <w:tc>
          <w:tcPr>
            <w:tcW w:w="1701" w:type="dxa"/>
            <w:vMerge/>
            <w:vAlign w:val="center"/>
          </w:tcPr>
          <w:p w:rsidR="001F64DB" w:rsidRPr="004F5902" w:rsidRDefault="001F64DB" w:rsidP="001873BD">
            <w:pPr>
              <w:widowControl/>
              <w:spacing w:line="360" w:lineRule="auto"/>
              <w:jc w:val="left"/>
              <w:rPr>
                <w:rFonts w:ascii="宋体" w:eastAsia="宋体" w:hAnsi="宋体" w:cs="宋体"/>
                <w:color w:val="000000"/>
                <w:kern w:val="0"/>
                <w:szCs w:val="21"/>
              </w:rPr>
            </w:pPr>
          </w:p>
        </w:tc>
        <w:tc>
          <w:tcPr>
            <w:tcW w:w="1276" w:type="dxa"/>
            <w:vMerge/>
            <w:vAlign w:val="center"/>
          </w:tcPr>
          <w:p w:rsidR="001F64DB" w:rsidRPr="004F5902" w:rsidRDefault="001F64DB" w:rsidP="001873BD">
            <w:pPr>
              <w:widowControl/>
              <w:spacing w:line="360" w:lineRule="auto"/>
              <w:jc w:val="left"/>
              <w:rPr>
                <w:rFonts w:ascii="宋体" w:eastAsia="宋体" w:hAnsi="宋体" w:cs="宋体"/>
                <w:color w:val="000000"/>
                <w:kern w:val="0"/>
                <w:szCs w:val="21"/>
              </w:rPr>
            </w:pPr>
          </w:p>
        </w:tc>
        <w:tc>
          <w:tcPr>
            <w:tcW w:w="914" w:type="dxa"/>
            <w:vMerge/>
            <w:vAlign w:val="center"/>
          </w:tcPr>
          <w:p w:rsidR="001F64DB" w:rsidRPr="004F5902" w:rsidRDefault="001F64DB" w:rsidP="001873BD">
            <w:pPr>
              <w:widowControl/>
              <w:spacing w:line="360" w:lineRule="auto"/>
              <w:jc w:val="left"/>
              <w:rPr>
                <w:rFonts w:ascii="宋体" w:eastAsia="宋体" w:hAnsi="宋体" w:cs="宋体"/>
                <w:color w:val="000000"/>
                <w:kern w:val="0"/>
                <w:szCs w:val="21"/>
              </w:rPr>
            </w:pPr>
          </w:p>
        </w:tc>
      </w:tr>
      <w:tr w:rsidR="004F5902" w:rsidRPr="004F5902" w:rsidTr="004F5902">
        <w:trPr>
          <w:trHeight w:val="1476"/>
          <w:jc w:val="center"/>
        </w:trPr>
        <w:tc>
          <w:tcPr>
            <w:tcW w:w="1964" w:type="dxa"/>
            <w:vAlign w:val="center"/>
          </w:tcPr>
          <w:p w:rsidR="004B6266" w:rsidRPr="004F5902" w:rsidRDefault="00B10821" w:rsidP="001873BD">
            <w:pPr>
              <w:spacing w:line="360" w:lineRule="auto"/>
              <w:jc w:val="center"/>
              <w:rPr>
                <w:rFonts w:ascii="宋体" w:eastAsia="宋体" w:hAnsi="宋体"/>
                <w:szCs w:val="21"/>
              </w:rPr>
            </w:pPr>
            <w:r w:rsidRPr="004F5902">
              <w:rPr>
                <w:rFonts w:ascii="宋体" w:eastAsia="宋体" w:hAnsi="宋体" w:hint="eastAsia"/>
                <w:szCs w:val="21"/>
              </w:rPr>
              <w:t>国泰中证申万证券行业指数证券投资基金</w:t>
            </w:r>
            <w:r w:rsidRPr="004F5902">
              <w:rPr>
                <w:rFonts w:ascii="宋体" w:eastAsia="宋体" w:hAnsi="宋体"/>
                <w:szCs w:val="21"/>
              </w:rPr>
              <w:t>(LOF)</w:t>
            </w:r>
          </w:p>
        </w:tc>
        <w:tc>
          <w:tcPr>
            <w:tcW w:w="1276" w:type="dxa"/>
            <w:noWrap/>
            <w:vAlign w:val="center"/>
          </w:tcPr>
          <w:p w:rsidR="004B6266" w:rsidRPr="004F5902" w:rsidRDefault="00611825" w:rsidP="001873BD">
            <w:pPr>
              <w:spacing w:line="360" w:lineRule="auto"/>
              <w:jc w:val="center"/>
              <w:rPr>
                <w:rFonts w:ascii="宋体" w:eastAsia="宋体" w:hAnsi="宋体"/>
                <w:szCs w:val="21"/>
              </w:rPr>
            </w:pPr>
            <w:r w:rsidRPr="004F5902">
              <w:rPr>
                <w:rFonts w:ascii="宋体" w:eastAsia="宋体" w:hAnsi="宋体"/>
                <w:szCs w:val="21"/>
              </w:rPr>
              <w:t>1,141,227</w:t>
            </w:r>
          </w:p>
        </w:tc>
        <w:tc>
          <w:tcPr>
            <w:tcW w:w="1701" w:type="dxa"/>
            <w:noWrap/>
            <w:vAlign w:val="center"/>
          </w:tcPr>
          <w:p w:rsidR="004B6266" w:rsidRPr="004F5902" w:rsidRDefault="00611825" w:rsidP="001873BD">
            <w:pPr>
              <w:spacing w:line="360" w:lineRule="auto"/>
              <w:jc w:val="center"/>
              <w:rPr>
                <w:rFonts w:ascii="宋体" w:eastAsia="宋体" w:hAnsi="宋体"/>
                <w:szCs w:val="21"/>
              </w:rPr>
            </w:pPr>
            <w:r w:rsidRPr="004F5902">
              <w:rPr>
                <w:rFonts w:ascii="宋体" w:eastAsia="宋体" w:hAnsi="宋体"/>
                <w:szCs w:val="21"/>
              </w:rPr>
              <w:t>8,000,001.27</w:t>
            </w:r>
          </w:p>
        </w:tc>
        <w:tc>
          <w:tcPr>
            <w:tcW w:w="1134" w:type="dxa"/>
            <w:noWrap/>
            <w:vAlign w:val="center"/>
          </w:tcPr>
          <w:p w:rsidR="004B6266" w:rsidRPr="004F5902" w:rsidRDefault="00611825" w:rsidP="00611825">
            <w:pPr>
              <w:widowControl/>
              <w:spacing w:line="360" w:lineRule="auto"/>
              <w:jc w:val="center"/>
              <w:rPr>
                <w:rFonts w:ascii="宋体" w:eastAsia="宋体" w:hAnsi="宋体"/>
                <w:color w:val="000000"/>
                <w:kern w:val="0"/>
                <w:szCs w:val="21"/>
              </w:rPr>
            </w:pPr>
            <w:r w:rsidRPr="004F5902">
              <w:rPr>
                <w:rFonts w:ascii="宋体" w:eastAsia="宋体" w:hAnsi="宋体"/>
                <w:color w:val="000000"/>
                <w:szCs w:val="21"/>
              </w:rPr>
              <w:t>0</w:t>
            </w:r>
            <w:r w:rsidR="00FF4B73" w:rsidRPr="004F5902">
              <w:rPr>
                <w:rFonts w:ascii="宋体" w:eastAsia="宋体" w:hAnsi="宋体" w:hint="eastAsia"/>
                <w:color w:val="000000"/>
                <w:szCs w:val="21"/>
              </w:rPr>
              <w:t>.</w:t>
            </w:r>
            <w:r w:rsidRPr="004F5902">
              <w:rPr>
                <w:rFonts w:ascii="宋体" w:eastAsia="宋体" w:hAnsi="宋体"/>
                <w:color w:val="000000"/>
                <w:szCs w:val="21"/>
              </w:rPr>
              <w:t>53</w:t>
            </w:r>
            <w:r w:rsidR="004B6266" w:rsidRPr="004F5902">
              <w:rPr>
                <w:rFonts w:ascii="宋体" w:eastAsia="宋体" w:hAnsi="宋体"/>
                <w:color w:val="000000"/>
                <w:szCs w:val="21"/>
              </w:rPr>
              <w:t>%</w:t>
            </w:r>
          </w:p>
        </w:tc>
        <w:tc>
          <w:tcPr>
            <w:tcW w:w="1701" w:type="dxa"/>
            <w:noWrap/>
            <w:vAlign w:val="center"/>
          </w:tcPr>
          <w:p w:rsidR="004B6266" w:rsidRPr="004F5902" w:rsidRDefault="00611825" w:rsidP="001873BD">
            <w:pPr>
              <w:spacing w:line="360" w:lineRule="auto"/>
              <w:jc w:val="center"/>
              <w:rPr>
                <w:rFonts w:ascii="宋体" w:eastAsia="宋体" w:hAnsi="宋体"/>
                <w:szCs w:val="21"/>
              </w:rPr>
            </w:pPr>
            <w:r w:rsidRPr="004F5902">
              <w:rPr>
                <w:rFonts w:ascii="宋体" w:eastAsia="宋体" w:hAnsi="宋体"/>
                <w:szCs w:val="21"/>
              </w:rPr>
              <w:t>8,890,158.33</w:t>
            </w:r>
          </w:p>
        </w:tc>
        <w:tc>
          <w:tcPr>
            <w:tcW w:w="1276" w:type="dxa"/>
            <w:noWrap/>
            <w:vAlign w:val="center"/>
          </w:tcPr>
          <w:p w:rsidR="004B6266" w:rsidRPr="004F5902" w:rsidRDefault="00611825" w:rsidP="001873BD">
            <w:pPr>
              <w:widowControl/>
              <w:spacing w:line="360" w:lineRule="auto"/>
              <w:jc w:val="center"/>
              <w:rPr>
                <w:rFonts w:ascii="宋体" w:eastAsia="宋体" w:hAnsi="宋体"/>
                <w:color w:val="000000"/>
                <w:kern w:val="0"/>
                <w:szCs w:val="21"/>
              </w:rPr>
            </w:pPr>
            <w:r w:rsidRPr="004F5902">
              <w:rPr>
                <w:rFonts w:ascii="宋体" w:eastAsia="宋体" w:hAnsi="宋体"/>
                <w:color w:val="000000"/>
                <w:szCs w:val="21"/>
              </w:rPr>
              <w:t>0.59</w:t>
            </w:r>
            <w:r w:rsidR="004B6266" w:rsidRPr="004F5902">
              <w:rPr>
                <w:rFonts w:ascii="宋体" w:eastAsia="宋体" w:hAnsi="宋体"/>
                <w:color w:val="000000"/>
                <w:szCs w:val="21"/>
              </w:rPr>
              <w:t>%</w:t>
            </w:r>
          </w:p>
        </w:tc>
        <w:tc>
          <w:tcPr>
            <w:tcW w:w="914" w:type="dxa"/>
            <w:noWrap/>
            <w:vAlign w:val="center"/>
          </w:tcPr>
          <w:p w:rsidR="004B6266" w:rsidRPr="004F5902" w:rsidRDefault="004B6266" w:rsidP="001873BD">
            <w:pPr>
              <w:spacing w:line="360" w:lineRule="auto"/>
              <w:jc w:val="center"/>
              <w:rPr>
                <w:rFonts w:ascii="宋体" w:eastAsia="宋体" w:hAnsi="宋体"/>
                <w:szCs w:val="21"/>
              </w:rPr>
            </w:pPr>
            <w:r w:rsidRPr="004F5902">
              <w:rPr>
                <w:rFonts w:ascii="宋体" w:eastAsia="宋体" w:hAnsi="宋体"/>
                <w:szCs w:val="21"/>
              </w:rPr>
              <w:t>6个月</w:t>
            </w:r>
          </w:p>
        </w:tc>
      </w:tr>
      <w:tr w:rsidR="004F5902" w:rsidRPr="004F5902" w:rsidTr="004F5902">
        <w:trPr>
          <w:trHeight w:val="1476"/>
          <w:jc w:val="center"/>
        </w:trPr>
        <w:tc>
          <w:tcPr>
            <w:tcW w:w="1964" w:type="dxa"/>
            <w:vAlign w:val="center"/>
          </w:tcPr>
          <w:p w:rsidR="007521EE" w:rsidRPr="004F5902" w:rsidRDefault="00B10821" w:rsidP="001873BD">
            <w:pPr>
              <w:spacing w:line="360" w:lineRule="auto"/>
              <w:jc w:val="center"/>
              <w:rPr>
                <w:rFonts w:ascii="宋体" w:eastAsia="宋体" w:hAnsi="宋体"/>
                <w:szCs w:val="21"/>
              </w:rPr>
            </w:pPr>
            <w:r w:rsidRPr="004F5902">
              <w:rPr>
                <w:rFonts w:ascii="宋体" w:eastAsia="宋体" w:hAnsi="宋体" w:hint="eastAsia"/>
                <w:szCs w:val="21"/>
              </w:rPr>
              <w:t>国泰中证全指证券公司交易型开放式指数证券投资基金</w:t>
            </w:r>
          </w:p>
        </w:tc>
        <w:tc>
          <w:tcPr>
            <w:tcW w:w="1276" w:type="dxa"/>
            <w:noWrap/>
            <w:vAlign w:val="center"/>
          </w:tcPr>
          <w:p w:rsidR="007521EE" w:rsidRPr="004F5902" w:rsidRDefault="00611825" w:rsidP="001873BD">
            <w:pPr>
              <w:spacing w:line="360" w:lineRule="auto"/>
              <w:jc w:val="center"/>
              <w:rPr>
                <w:rFonts w:ascii="宋体" w:eastAsia="宋体" w:hAnsi="宋体"/>
                <w:szCs w:val="21"/>
              </w:rPr>
            </w:pPr>
            <w:r w:rsidRPr="004F5902">
              <w:rPr>
                <w:rFonts w:ascii="宋体" w:eastAsia="宋体" w:hAnsi="宋体"/>
                <w:szCs w:val="21"/>
              </w:rPr>
              <w:t>35,663,337</w:t>
            </w:r>
          </w:p>
        </w:tc>
        <w:tc>
          <w:tcPr>
            <w:tcW w:w="1701" w:type="dxa"/>
            <w:noWrap/>
            <w:vAlign w:val="center"/>
          </w:tcPr>
          <w:p w:rsidR="007521EE" w:rsidRPr="004F5902" w:rsidRDefault="00611825" w:rsidP="001873BD">
            <w:pPr>
              <w:spacing w:line="360" w:lineRule="auto"/>
              <w:jc w:val="center"/>
              <w:rPr>
                <w:rFonts w:ascii="宋体" w:eastAsia="宋体" w:hAnsi="宋体"/>
                <w:szCs w:val="21"/>
              </w:rPr>
            </w:pPr>
            <w:r w:rsidRPr="004F5902">
              <w:rPr>
                <w:rFonts w:ascii="宋体" w:eastAsia="宋体" w:hAnsi="宋体"/>
                <w:szCs w:val="21"/>
              </w:rPr>
              <w:t>249,999,992.37</w:t>
            </w:r>
          </w:p>
        </w:tc>
        <w:tc>
          <w:tcPr>
            <w:tcW w:w="1134" w:type="dxa"/>
            <w:noWrap/>
            <w:vAlign w:val="center"/>
          </w:tcPr>
          <w:p w:rsidR="007521EE" w:rsidRPr="004F5902" w:rsidRDefault="009539CE" w:rsidP="004818B7">
            <w:pPr>
              <w:widowControl/>
              <w:spacing w:line="360" w:lineRule="auto"/>
              <w:jc w:val="center"/>
              <w:rPr>
                <w:rFonts w:ascii="宋体" w:eastAsia="宋体" w:hAnsi="宋体"/>
                <w:color w:val="000000"/>
                <w:szCs w:val="21"/>
              </w:rPr>
            </w:pPr>
            <w:r w:rsidRPr="004F5902">
              <w:rPr>
                <w:rFonts w:ascii="宋体" w:eastAsia="宋体" w:hAnsi="宋体"/>
                <w:color w:val="000000"/>
                <w:szCs w:val="21"/>
              </w:rPr>
              <w:t>0.</w:t>
            </w:r>
            <w:r w:rsidR="00611825" w:rsidRPr="004F5902">
              <w:rPr>
                <w:rFonts w:ascii="宋体" w:eastAsia="宋体" w:hAnsi="宋体"/>
                <w:color w:val="000000"/>
                <w:szCs w:val="21"/>
              </w:rPr>
              <w:t>4</w:t>
            </w:r>
            <w:r w:rsidR="004818B7">
              <w:rPr>
                <w:rFonts w:ascii="宋体" w:eastAsia="宋体" w:hAnsi="宋体"/>
                <w:color w:val="000000"/>
                <w:szCs w:val="21"/>
              </w:rPr>
              <w:t>3</w:t>
            </w:r>
            <w:bookmarkStart w:id="0" w:name="_GoBack"/>
            <w:bookmarkEnd w:id="0"/>
            <w:r w:rsidR="007521EE" w:rsidRPr="004F5902">
              <w:rPr>
                <w:rFonts w:ascii="宋体" w:eastAsia="宋体" w:hAnsi="宋体"/>
                <w:color w:val="000000"/>
                <w:szCs w:val="21"/>
              </w:rPr>
              <w:t>%</w:t>
            </w:r>
          </w:p>
        </w:tc>
        <w:tc>
          <w:tcPr>
            <w:tcW w:w="1701" w:type="dxa"/>
            <w:noWrap/>
            <w:vAlign w:val="center"/>
          </w:tcPr>
          <w:p w:rsidR="007521EE" w:rsidRPr="004F5902" w:rsidRDefault="00611825" w:rsidP="001873BD">
            <w:pPr>
              <w:spacing w:line="360" w:lineRule="auto"/>
              <w:jc w:val="center"/>
              <w:rPr>
                <w:rFonts w:ascii="宋体" w:eastAsia="宋体" w:hAnsi="宋体"/>
                <w:szCs w:val="21"/>
              </w:rPr>
            </w:pPr>
            <w:r w:rsidRPr="004F5902">
              <w:rPr>
                <w:rFonts w:ascii="宋体" w:eastAsia="宋体" w:hAnsi="宋体"/>
                <w:szCs w:val="21"/>
              </w:rPr>
              <w:t>277,817,395.23</w:t>
            </w:r>
          </w:p>
        </w:tc>
        <w:tc>
          <w:tcPr>
            <w:tcW w:w="1276" w:type="dxa"/>
            <w:noWrap/>
            <w:vAlign w:val="center"/>
          </w:tcPr>
          <w:p w:rsidR="007521EE" w:rsidRPr="004F5902" w:rsidRDefault="009539CE" w:rsidP="00611825">
            <w:pPr>
              <w:widowControl/>
              <w:spacing w:line="360" w:lineRule="auto"/>
              <w:jc w:val="center"/>
              <w:rPr>
                <w:rFonts w:ascii="宋体" w:eastAsia="宋体" w:hAnsi="宋体"/>
                <w:color w:val="000000"/>
                <w:szCs w:val="21"/>
              </w:rPr>
            </w:pPr>
            <w:r w:rsidRPr="004F5902">
              <w:rPr>
                <w:rFonts w:ascii="宋体" w:eastAsia="宋体" w:hAnsi="宋体"/>
                <w:color w:val="000000"/>
                <w:szCs w:val="21"/>
              </w:rPr>
              <w:t>0.</w:t>
            </w:r>
            <w:r w:rsidRPr="004F5902">
              <w:rPr>
                <w:rFonts w:ascii="宋体" w:eastAsia="宋体" w:hAnsi="宋体" w:hint="eastAsia"/>
                <w:color w:val="000000"/>
                <w:szCs w:val="21"/>
              </w:rPr>
              <w:t>4</w:t>
            </w:r>
            <w:r w:rsidR="00611825" w:rsidRPr="004F5902">
              <w:rPr>
                <w:rFonts w:ascii="宋体" w:eastAsia="宋体" w:hAnsi="宋体"/>
                <w:color w:val="000000"/>
                <w:szCs w:val="21"/>
              </w:rPr>
              <w:t>8</w:t>
            </w:r>
            <w:r w:rsidR="007521EE" w:rsidRPr="004F5902">
              <w:rPr>
                <w:rFonts w:ascii="宋体" w:eastAsia="宋体" w:hAnsi="宋体"/>
                <w:color w:val="000000"/>
                <w:szCs w:val="21"/>
              </w:rPr>
              <w:t>%</w:t>
            </w:r>
          </w:p>
        </w:tc>
        <w:tc>
          <w:tcPr>
            <w:tcW w:w="914" w:type="dxa"/>
            <w:noWrap/>
            <w:vAlign w:val="center"/>
          </w:tcPr>
          <w:p w:rsidR="007521EE" w:rsidRPr="004F5902" w:rsidRDefault="007521EE" w:rsidP="001873BD">
            <w:pPr>
              <w:spacing w:line="360" w:lineRule="auto"/>
              <w:jc w:val="center"/>
              <w:rPr>
                <w:rFonts w:ascii="宋体" w:eastAsia="宋体" w:hAnsi="宋体"/>
                <w:szCs w:val="21"/>
              </w:rPr>
            </w:pPr>
            <w:r w:rsidRPr="004F5902">
              <w:rPr>
                <w:rFonts w:ascii="宋体" w:eastAsia="宋体" w:hAnsi="宋体"/>
                <w:szCs w:val="21"/>
              </w:rPr>
              <w:t>6个月</w:t>
            </w:r>
          </w:p>
        </w:tc>
      </w:tr>
    </w:tbl>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注：基金资产净值、账面价值为202</w:t>
      </w:r>
      <w:r w:rsidR="00C85D27" w:rsidRPr="001873BD">
        <w:rPr>
          <w:rFonts w:ascii="宋体" w:eastAsia="宋体" w:hAnsi="宋体" w:cs="Times New Roman"/>
          <w:color w:val="000000"/>
          <w:kern w:val="0"/>
          <w:sz w:val="24"/>
          <w:szCs w:val="24"/>
        </w:rPr>
        <w:t>5</w:t>
      </w:r>
      <w:r w:rsidRPr="001873BD">
        <w:rPr>
          <w:rFonts w:ascii="宋体" w:eastAsia="宋体" w:hAnsi="宋体" w:cs="Times New Roman"/>
          <w:color w:val="000000"/>
          <w:kern w:val="0"/>
          <w:sz w:val="24"/>
          <w:szCs w:val="24"/>
        </w:rPr>
        <w:t>年</w:t>
      </w:r>
      <w:r w:rsidR="00611825">
        <w:rPr>
          <w:rFonts w:ascii="宋体" w:eastAsia="宋体" w:hAnsi="宋体" w:cs="Times New Roman"/>
          <w:color w:val="000000"/>
          <w:kern w:val="0"/>
          <w:sz w:val="24"/>
          <w:szCs w:val="24"/>
        </w:rPr>
        <w:t>12</w:t>
      </w:r>
      <w:r w:rsidRPr="001873BD">
        <w:rPr>
          <w:rFonts w:ascii="宋体" w:eastAsia="宋体" w:hAnsi="宋体" w:cs="Times New Roman"/>
          <w:color w:val="000000"/>
          <w:kern w:val="0"/>
          <w:sz w:val="24"/>
          <w:szCs w:val="24"/>
        </w:rPr>
        <w:t>月</w:t>
      </w:r>
      <w:r w:rsidR="00611825">
        <w:rPr>
          <w:rFonts w:ascii="宋体" w:eastAsia="宋体" w:hAnsi="宋体" w:cs="Times New Roman"/>
          <w:color w:val="000000"/>
          <w:kern w:val="0"/>
          <w:sz w:val="24"/>
          <w:szCs w:val="24"/>
        </w:rPr>
        <w:t>30</w:t>
      </w:r>
      <w:r w:rsidRPr="001873BD">
        <w:rPr>
          <w:rFonts w:ascii="宋体" w:eastAsia="宋体" w:hAnsi="宋体" w:cs="Times New Roman"/>
          <w:color w:val="000000"/>
          <w:kern w:val="0"/>
          <w:sz w:val="24"/>
          <w:szCs w:val="24"/>
        </w:rPr>
        <w:t>日数据。</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投资者可登录本公司网站www.gtfund.com，或拨打客户服务电话400-888-8688咨询相关信息。</w:t>
      </w:r>
    </w:p>
    <w:p w:rsidR="001F64DB" w:rsidRPr="001873BD" w:rsidRDefault="00885706"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特此公告。</w:t>
      </w:r>
    </w:p>
    <w:p w:rsidR="001F64DB" w:rsidRPr="001873BD" w:rsidRDefault="001F64DB" w:rsidP="001873BD">
      <w:pPr>
        <w:autoSpaceDE w:val="0"/>
        <w:autoSpaceDN w:val="0"/>
        <w:adjustRightInd w:val="0"/>
        <w:spacing w:line="360" w:lineRule="auto"/>
        <w:ind w:firstLineChars="200" w:firstLine="480"/>
        <w:jc w:val="left"/>
        <w:rPr>
          <w:rFonts w:ascii="宋体" w:eastAsia="宋体" w:hAnsi="宋体" w:cs="Times New Roman"/>
          <w:color w:val="000000"/>
          <w:kern w:val="0"/>
          <w:sz w:val="24"/>
          <w:szCs w:val="24"/>
        </w:rPr>
      </w:pPr>
    </w:p>
    <w:p w:rsidR="001F64DB" w:rsidRPr="001873BD" w:rsidRDefault="00885706" w:rsidP="001873BD">
      <w:pPr>
        <w:autoSpaceDE w:val="0"/>
        <w:autoSpaceDN w:val="0"/>
        <w:adjustRightInd w:val="0"/>
        <w:spacing w:line="360" w:lineRule="auto"/>
        <w:ind w:firstLineChars="200" w:firstLine="480"/>
        <w:jc w:val="right"/>
        <w:rPr>
          <w:rFonts w:ascii="宋体" w:eastAsia="宋体" w:hAnsi="宋体" w:cs="Times New Roman"/>
          <w:color w:val="000000"/>
          <w:kern w:val="0"/>
          <w:sz w:val="24"/>
          <w:szCs w:val="24"/>
        </w:rPr>
      </w:pPr>
      <w:r w:rsidRPr="001873BD">
        <w:rPr>
          <w:rFonts w:ascii="宋体" w:eastAsia="宋体" w:hAnsi="宋体" w:cs="Times New Roman"/>
          <w:color w:val="000000"/>
          <w:kern w:val="0"/>
          <w:sz w:val="24"/>
          <w:szCs w:val="24"/>
        </w:rPr>
        <w:t>国泰基金管理有限公司</w:t>
      </w:r>
    </w:p>
    <w:p w:rsidR="001F64DB" w:rsidRPr="001873BD" w:rsidRDefault="00885706" w:rsidP="001873BD">
      <w:pPr>
        <w:autoSpaceDE w:val="0"/>
        <w:autoSpaceDN w:val="0"/>
        <w:adjustRightInd w:val="0"/>
        <w:spacing w:line="360" w:lineRule="auto"/>
        <w:ind w:firstLineChars="200" w:firstLine="480"/>
        <w:jc w:val="right"/>
        <w:rPr>
          <w:rFonts w:ascii="宋体" w:eastAsia="宋体" w:hAnsi="宋体"/>
          <w:sz w:val="24"/>
          <w:szCs w:val="24"/>
        </w:rPr>
      </w:pPr>
      <w:r w:rsidRPr="001873BD">
        <w:rPr>
          <w:rFonts w:ascii="宋体" w:eastAsia="宋体" w:hAnsi="宋体" w:cs="Times New Roman"/>
          <w:color w:val="000000"/>
          <w:kern w:val="0"/>
          <w:sz w:val="24"/>
          <w:szCs w:val="24"/>
        </w:rPr>
        <w:t>202</w:t>
      </w:r>
      <w:r w:rsidR="001E5292">
        <w:rPr>
          <w:rFonts w:ascii="宋体" w:eastAsia="宋体" w:hAnsi="宋体" w:cs="Times New Roman"/>
          <w:color w:val="000000"/>
          <w:kern w:val="0"/>
          <w:sz w:val="24"/>
          <w:szCs w:val="24"/>
        </w:rPr>
        <w:t>6</w:t>
      </w:r>
      <w:r w:rsidRPr="001873BD">
        <w:rPr>
          <w:rFonts w:ascii="宋体" w:eastAsia="宋体" w:hAnsi="宋体" w:cs="Times New Roman"/>
          <w:color w:val="000000"/>
          <w:kern w:val="0"/>
          <w:sz w:val="24"/>
          <w:szCs w:val="24"/>
        </w:rPr>
        <w:t>年</w:t>
      </w:r>
      <w:r w:rsidR="001E5292">
        <w:rPr>
          <w:rFonts w:ascii="宋体" w:eastAsia="宋体" w:hAnsi="宋体" w:cs="Times New Roman"/>
          <w:color w:val="000000"/>
          <w:kern w:val="0"/>
          <w:sz w:val="24"/>
          <w:szCs w:val="24"/>
        </w:rPr>
        <w:t>1</w:t>
      </w:r>
      <w:r w:rsidRPr="001873BD">
        <w:rPr>
          <w:rFonts w:ascii="宋体" w:eastAsia="宋体" w:hAnsi="宋体" w:cs="Times New Roman"/>
          <w:color w:val="000000"/>
          <w:kern w:val="0"/>
          <w:sz w:val="24"/>
          <w:szCs w:val="24"/>
        </w:rPr>
        <w:t>月</w:t>
      </w:r>
      <w:r w:rsidR="001E5292">
        <w:rPr>
          <w:rFonts w:ascii="宋体" w:eastAsia="宋体" w:hAnsi="宋体" w:cs="Times New Roman" w:hint="eastAsia"/>
          <w:color w:val="000000"/>
          <w:kern w:val="0"/>
          <w:sz w:val="24"/>
          <w:szCs w:val="24"/>
        </w:rPr>
        <w:t>5</w:t>
      </w:r>
      <w:r w:rsidRPr="001873BD">
        <w:rPr>
          <w:rFonts w:ascii="宋体" w:eastAsia="宋体" w:hAnsi="宋体" w:cs="Times New Roman"/>
          <w:color w:val="000000"/>
          <w:kern w:val="0"/>
          <w:sz w:val="24"/>
          <w:szCs w:val="24"/>
        </w:rPr>
        <w:t>日</w:t>
      </w:r>
    </w:p>
    <w:sectPr w:rsidR="001F64DB" w:rsidRPr="001873BD" w:rsidSect="00F53D25">
      <w:pgSz w:w="11906" w:h="16838"/>
      <w:pgMar w:top="1418"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849" w:rsidRDefault="001E7849" w:rsidP="002E5037">
      <w:r>
        <w:separator/>
      </w:r>
    </w:p>
  </w:endnote>
  <w:endnote w:type="continuationSeparator" w:id="0">
    <w:p w:rsidR="001E7849" w:rsidRDefault="001E7849" w:rsidP="002E503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849" w:rsidRDefault="001E7849" w:rsidP="002E5037">
      <w:r>
        <w:separator/>
      </w:r>
    </w:p>
  </w:footnote>
  <w:footnote w:type="continuationSeparator" w:id="0">
    <w:p w:rsidR="001E7849" w:rsidRDefault="001E7849" w:rsidP="002E5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2MzE0NjZjYjYyOTVmYTY0ZGU4NDFhMzk1OWM5ZTkifQ=="/>
  </w:docVars>
  <w:rsids>
    <w:rsidRoot w:val="003967A7"/>
    <w:rsid w:val="00001E53"/>
    <w:rsid w:val="00003148"/>
    <w:rsid w:val="00007054"/>
    <w:rsid w:val="000145A2"/>
    <w:rsid w:val="0001785B"/>
    <w:rsid w:val="00020E99"/>
    <w:rsid w:val="00021328"/>
    <w:rsid w:val="0002214F"/>
    <w:rsid w:val="00022C67"/>
    <w:rsid w:val="0003631A"/>
    <w:rsid w:val="0004765A"/>
    <w:rsid w:val="00050390"/>
    <w:rsid w:val="00055288"/>
    <w:rsid w:val="00071527"/>
    <w:rsid w:val="00083A9F"/>
    <w:rsid w:val="00092189"/>
    <w:rsid w:val="00092F13"/>
    <w:rsid w:val="0009527C"/>
    <w:rsid w:val="000B21D6"/>
    <w:rsid w:val="000B52F1"/>
    <w:rsid w:val="000C1DF6"/>
    <w:rsid w:val="000C1F5D"/>
    <w:rsid w:val="000D060B"/>
    <w:rsid w:val="000D2AC7"/>
    <w:rsid w:val="000D5645"/>
    <w:rsid w:val="000D5DD8"/>
    <w:rsid w:val="000E1D1C"/>
    <w:rsid w:val="000E1EEA"/>
    <w:rsid w:val="000E2A3D"/>
    <w:rsid w:val="000F109F"/>
    <w:rsid w:val="000F120E"/>
    <w:rsid w:val="000F6BF4"/>
    <w:rsid w:val="000F752C"/>
    <w:rsid w:val="0010194A"/>
    <w:rsid w:val="00104472"/>
    <w:rsid w:val="0010523F"/>
    <w:rsid w:val="0011778B"/>
    <w:rsid w:val="0012003A"/>
    <w:rsid w:val="00120D63"/>
    <w:rsid w:val="00124255"/>
    <w:rsid w:val="00131FCF"/>
    <w:rsid w:val="001363F2"/>
    <w:rsid w:val="001455FC"/>
    <w:rsid w:val="00151C99"/>
    <w:rsid w:val="00172A65"/>
    <w:rsid w:val="00182D2B"/>
    <w:rsid w:val="001873B1"/>
    <w:rsid w:val="001873BD"/>
    <w:rsid w:val="001A0601"/>
    <w:rsid w:val="001A4DD6"/>
    <w:rsid w:val="001B02CD"/>
    <w:rsid w:val="001B1897"/>
    <w:rsid w:val="001C2F26"/>
    <w:rsid w:val="001C3CC0"/>
    <w:rsid w:val="001C58F7"/>
    <w:rsid w:val="001E10A5"/>
    <w:rsid w:val="001E37AD"/>
    <w:rsid w:val="001E5292"/>
    <w:rsid w:val="001E6487"/>
    <w:rsid w:val="001E7849"/>
    <w:rsid w:val="001F1DAF"/>
    <w:rsid w:val="001F64DB"/>
    <w:rsid w:val="002058D6"/>
    <w:rsid w:val="00205C70"/>
    <w:rsid w:val="00213DA7"/>
    <w:rsid w:val="00226FFC"/>
    <w:rsid w:val="00230BBC"/>
    <w:rsid w:val="00232AC5"/>
    <w:rsid w:val="002334A9"/>
    <w:rsid w:val="00251956"/>
    <w:rsid w:val="00253F90"/>
    <w:rsid w:val="00255E7C"/>
    <w:rsid w:val="00260A19"/>
    <w:rsid w:val="002641E2"/>
    <w:rsid w:val="00267F19"/>
    <w:rsid w:val="00272DBA"/>
    <w:rsid w:val="00277B95"/>
    <w:rsid w:val="00277C72"/>
    <w:rsid w:val="00277D29"/>
    <w:rsid w:val="00280B3E"/>
    <w:rsid w:val="00283D30"/>
    <w:rsid w:val="00284707"/>
    <w:rsid w:val="00285508"/>
    <w:rsid w:val="0028785A"/>
    <w:rsid w:val="002911CA"/>
    <w:rsid w:val="002914B0"/>
    <w:rsid w:val="00293210"/>
    <w:rsid w:val="002937B7"/>
    <w:rsid w:val="002A1C94"/>
    <w:rsid w:val="002A2EEC"/>
    <w:rsid w:val="002A672F"/>
    <w:rsid w:val="002E5037"/>
    <w:rsid w:val="002F05EF"/>
    <w:rsid w:val="003130F0"/>
    <w:rsid w:val="00314D9F"/>
    <w:rsid w:val="0032055B"/>
    <w:rsid w:val="003317EA"/>
    <w:rsid w:val="0033450C"/>
    <w:rsid w:val="00334CC0"/>
    <w:rsid w:val="00340F70"/>
    <w:rsid w:val="003456F3"/>
    <w:rsid w:val="00345D98"/>
    <w:rsid w:val="00346B31"/>
    <w:rsid w:val="00352626"/>
    <w:rsid w:val="00353F5E"/>
    <w:rsid w:val="00357577"/>
    <w:rsid w:val="00360471"/>
    <w:rsid w:val="00376915"/>
    <w:rsid w:val="0037732B"/>
    <w:rsid w:val="00380A16"/>
    <w:rsid w:val="003815B4"/>
    <w:rsid w:val="0039338A"/>
    <w:rsid w:val="00393E8A"/>
    <w:rsid w:val="00395C86"/>
    <w:rsid w:val="003967A7"/>
    <w:rsid w:val="003969ED"/>
    <w:rsid w:val="003A37B1"/>
    <w:rsid w:val="003A4505"/>
    <w:rsid w:val="003A5E95"/>
    <w:rsid w:val="003B3047"/>
    <w:rsid w:val="003B3185"/>
    <w:rsid w:val="003B4A4E"/>
    <w:rsid w:val="003B7FBB"/>
    <w:rsid w:val="003C3354"/>
    <w:rsid w:val="003C639D"/>
    <w:rsid w:val="003C6E6E"/>
    <w:rsid w:val="003D17C3"/>
    <w:rsid w:val="003D2675"/>
    <w:rsid w:val="003E25FA"/>
    <w:rsid w:val="003E3820"/>
    <w:rsid w:val="003E6446"/>
    <w:rsid w:val="003F140F"/>
    <w:rsid w:val="003F3D15"/>
    <w:rsid w:val="003F4D8A"/>
    <w:rsid w:val="003F4FF4"/>
    <w:rsid w:val="003F6332"/>
    <w:rsid w:val="004016A5"/>
    <w:rsid w:val="00402E50"/>
    <w:rsid w:val="00407C2E"/>
    <w:rsid w:val="00407FA0"/>
    <w:rsid w:val="0041054C"/>
    <w:rsid w:val="00410D10"/>
    <w:rsid w:val="00413504"/>
    <w:rsid w:val="00413844"/>
    <w:rsid w:val="00415E0E"/>
    <w:rsid w:val="0042133C"/>
    <w:rsid w:val="00426A0C"/>
    <w:rsid w:val="00442967"/>
    <w:rsid w:val="00445E53"/>
    <w:rsid w:val="00447861"/>
    <w:rsid w:val="004513CE"/>
    <w:rsid w:val="00451929"/>
    <w:rsid w:val="00454BB1"/>
    <w:rsid w:val="00454EBE"/>
    <w:rsid w:val="0046011A"/>
    <w:rsid w:val="00461307"/>
    <w:rsid w:val="00461685"/>
    <w:rsid w:val="00464A56"/>
    <w:rsid w:val="00464A7E"/>
    <w:rsid w:val="00465971"/>
    <w:rsid w:val="00473C9A"/>
    <w:rsid w:val="0047710D"/>
    <w:rsid w:val="00480D9D"/>
    <w:rsid w:val="00481503"/>
    <w:rsid w:val="004818B7"/>
    <w:rsid w:val="00491655"/>
    <w:rsid w:val="00493302"/>
    <w:rsid w:val="00497D55"/>
    <w:rsid w:val="004A1822"/>
    <w:rsid w:val="004A6514"/>
    <w:rsid w:val="004B4AE1"/>
    <w:rsid w:val="004B5292"/>
    <w:rsid w:val="004B6266"/>
    <w:rsid w:val="004C228D"/>
    <w:rsid w:val="004C2AF7"/>
    <w:rsid w:val="004C5E96"/>
    <w:rsid w:val="004C7944"/>
    <w:rsid w:val="004D4E26"/>
    <w:rsid w:val="004E3F85"/>
    <w:rsid w:val="004F1174"/>
    <w:rsid w:val="004F1A54"/>
    <w:rsid w:val="004F2273"/>
    <w:rsid w:val="004F5902"/>
    <w:rsid w:val="004F7600"/>
    <w:rsid w:val="004F7936"/>
    <w:rsid w:val="0050445B"/>
    <w:rsid w:val="0050516F"/>
    <w:rsid w:val="0050661C"/>
    <w:rsid w:val="00507459"/>
    <w:rsid w:val="00507A97"/>
    <w:rsid w:val="00512D95"/>
    <w:rsid w:val="00514F18"/>
    <w:rsid w:val="00516B02"/>
    <w:rsid w:val="00516F7E"/>
    <w:rsid w:val="00524A84"/>
    <w:rsid w:val="00530EAE"/>
    <w:rsid w:val="00532534"/>
    <w:rsid w:val="00532549"/>
    <w:rsid w:val="0053643C"/>
    <w:rsid w:val="0054116F"/>
    <w:rsid w:val="00542A10"/>
    <w:rsid w:val="00542D9E"/>
    <w:rsid w:val="00543549"/>
    <w:rsid w:val="005451BF"/>
    <w:rsid w:val="00545857"/>
    <w:rsid w:val="00547705"/>
    <w:rsid w:val="00547EEE"/>
    <w:rsid w:val="005707A0"/>
    <w:rsid w:val="00577B39"/>
    <w:rsid w:val="00583FAF"/>
    <w:rsid w:val="005A2648"/>
    <w:rsid w:val="005A4C61"/>
    <w:rsid w:val="005A4F53"/>
    <w:rsid w:val="005C1D55"/>
    <w:rsid w:val="005C402C"/>
    <w:rsid w:val="005C67F9"/>
    <w:rsid w:val="005D03AD"/>
    <w:rsid w:val="005E4363"/>
    <w:rsid w:val="005E441A"/>
    <w:rsid w:val="005E56F3"/>
    <w:rsid w:val="005F0CC6"/>
    <w:rsid w:val="005F6E17"/>
    <w:rsid w:val="00604330"/>
    <w:rsid w:val="00604C88"/>
    <w:rsid w:val="006107BA"/>
    <w:rsid w:val="00611825"/>
    <w:rsid w:val="006168BA"/>
    <w:rsid w:val="006227BE"/>
    <w:rsid w:val="0062698F"/>
    <w:rsid w:val="00630B7F"/>
    <w:rsid w:val="0063512A"/>
    <w:rsid w:val="00636E63"/>
    <w:rsid w:val="00637B31"/>
    <w:rsid w:val="00641934"/>
    <w:rsid w:val="00645663"/>
    <w:rsid w:val="00654346"/>
    <w:rsid w:val="00664E93"/>
    <w:rsid w:val="00666791"/>
    <w:rsid w:val="00673474"/>
    <w:rsid w:val="00675ACE"/>
    <w:rsid w:val="006767F8"/>
    <w:rsid w:val="00684719"/>
    <w:rsid w:val="00693DC5"/>
    <w:rsid w:val="006A73D4"/>
    <w:rsid w:val="006B04EE"/>
    <w:rsid w:val="006B33B1"/>
    <w:rsid w:val="006B49B5"/>
    <w:rsid w:val="006B557F"/>
    <w:rsid w:val="006B75B2"/>
    <w:rsid w:val="006C5933"/>
    <w:rsid w:val="006D03F0"/>
    <w:rsid w:val="006D0819"/>
    <w:rsid w:val="006D259C"/>
    <w:rsid w:val="006D2CA7"/>
    <w:rsid w:val="006E0FB7"/>
    <w:rsid w:val="006E1A65"/>
    <w:rsid w:val="006F0190"/>
    <w:rsid w:val="006F6A97"/>
    <w:rsid w:val="006F6C4D"/>
    <w:rsid w:val="007023A2"/>
    <w:rsid w:val="00705D2F"/>
    <w:rsid w:val="00706F51"/>
    <w:rsid w:val="00710A88"/>
    <w:rsid w:val="00724FE6"/>
    <w:rsid w:val="00726AF7"/>
    <w:rsid w:val="00733D06"/>
    <w:rsid w:val="007521EE"/>
    <w:rsid w:val="00752640"/>
    <w:rsid w:val="007618EE"/>
    <w:rsid w:val="00765777"/>
    <w:rsid w:val="00767CC6"/>
    <w:rsid w:val="00770ABB"/>
    <w:rsid w:val="00772F55"/>
    <w:rsid w:val="007732A4"/>
    <w:rsid w:val="00776821"/>
    <w:rsid w:val="0078205F"/>
    <w:rsid w:val="0079639C"/>
    <w:rsid w:val="007B00B9"/>
    <w:rsid w:val="007B0E4B"/>
    <w:rsid w:val="007B1392"/>
    <w:rsid w:val="007B2EE7"/>
    <w:rsid w:val="007B4191"/>
    <w:rsid w:val="007B599C"/>
    <w:rsid w:val="007B64CC"/>
    <w:rsid w:val="007B6704"/>
    <w:rsid w:val="007D0547"/>
    <w:rsid w:val="007D234B"/>
    <w:rsid w:val="007D70DD"/>
    <w:rsid w:val="007F0AA3"/>
    <w:rsid w:val="007F0C37"/>
    <w:rsid w:val="00813A1D"/>
    <w:rsid w:val="008178ED"/>
    <w:rsid w:val="00820124"/>
    <w:rsid w:val="0083616F"/>
    <w:rsid w:val="00846852"/>
    <w:rsid w:val="00851E81"/>
    <w:rsid w:val="00851F26"/>
    <w:rsid w:val="00856E8E"/>
    <w:rsid w:val="00865366"/>
    <w:rsid w:val="0087019C"/>
    <w:rsid w:val="00871D7A"/>
    <w:rsid w:val="00872B5D"/>
    <w:rsid w:val="00882D54"/>
    <w:rsid w:val="008856B4"/>
    <w:rsid w:val="00885706"/>
    <w:rsid w:val="00885E01"/>
    <w:rsid w:val="00892A09"/>
    <w:rsid w:val="00895D52"/>
    <w:rsid w:val="0089729E"/>
    <w:rsid w:val="008977D6"/>
    <w:rsid w:val="008A1674"/>
    <w:rsid w:val="008A3151"/>
    <w:rsid w:val="008A483B"/>
    <w:rsid w:val="008C12A8"/>
    <w:rsid w:val="008C1C95"/>
    <w:rsid w:val="008D389B"/>
    <w:rsid w:val="008D4A4F"/>
    <w:rsid w:val="008D61D8"/>
    <w:rsid w:val="008E2B01"/>
    <w:rsid w:val="008E3D0B"/>
    <w:rsid w:val="008F08F5"/>
    <w:rsid w:val="008F589E"/>
    <w:rsid w:val="009008DF"/>
    <w:rsid w:val="009051A0"/>
    <w:rsid w:val="009112D9"/>
    <w:rsid w:val="00912FF7"/>
    <w:rsid w:val="00915F6B"/>
    <w:rsid w:val="00921059"/>
    <w:rsid w:val="00926E3B"/>
    <w:rsid w:val="00931180"/>
    <w:rsid w:val="009321ED"/>
    <w:rsid w:val="00932317"/>
    <w:rsid w:val="00935304"/>
    <w:rsid w:val="009425DA"/>
    <w:rsid w:val="0095216B"/>
    <w:rsid w:val="009539CE"/>
    <w:rsid w:val="0096676A"/>
    <w:rsid w:val="00966790"/>
    <w:rsid w:val="009726A5"/>
    <w:rsid w:val="00973C9C"/>
    <w:rsid w:val="00980D7A"/>
    <w:rsid w:val="00982AF3"/>
    <w:rsid w:val="00983945"/>
    <w:rsid w:val="00990006"/>
    <w:rsid w:val="00990E05"/>
    <w:rsid w:val="0099202B"/>
    <w:rsid w:val="00993B4D"/>
    <w:rsid w:val="00995665"/>
    <w:rsid w:val="009A153C"/>
    <w:rsid w:val="009A30F9"/>
    <w:rsid w:val="009A347B"/>
    <w:rsid w:val="009A7DCE"/>
    <w:rsid w:val="009B277B"/>
    <w:rsid w:val="009D2E6A"/>
    <w:rsid w:val="009D6763"/>
    <w:rsid w:val="009F584D"/>
    <w:rsid w:val="009F5A90"/>
    <w:rsid w:val="00A0100F"/>
    <w:rsid w:val="00A02296"/>
    <w:rsid w:val="00A025BE"/>
    <w:rsid w:val="00A02C2F"/>
    <w:rsid w:val="00A054F9"/>
    <w:rsid w:val="00A1380B"/>
    <w:rsid w:val="00A30AF3"/>
    <w:rsid w:val="00A3796C"/>
    <w:rsid w:val="00A4009A"/>
    <w:rsid w:val="00A444FB"/>
    <w:rsid w:val="00A44D46"/>
    <w:rsid w:val="00A46238"/>
    <w:rsid w:val="00A5678B"/>
    <w:rsid w:val="00A62A39"/>
    <w:rsid w:val="00A67E9D"/>
    <w:rsid w:val="00A71C18"/>
    <w:rsid w:val="00A80F7B"/>
    <w:rsid w:val="00A8784A"/>
    <w:rsid w:val="00A87C1D"/>
    <w:rsid w:val="00A904F6"/>
    <w:rsid w:val="00A93FAA"/>
    <w:rsid w:val="00AA48DA"/>
    <w:rsid w:val="00AB09AA"/>
    <w:rsid w:val="00AB18E1"/>
    <w:rsid w:val="00AB60F0"/>
    <w:rsid w:val="00AC012A"/>
    <w:rsid w:val="00AC7847"/>
    <w:rsid w:val="00AD523A"/>
    <w:rsid w:val="00AD5B77"/>
    <w:rsid w:val="00AD6142"/>
    <w:rsid w:val="00AE2F16"/>
    <w:rsid w:val="00AF16C1"/>
    <w:rsid w:val="00AF7E82"/>
    <w:rsid w:val="00B00EF2"/>
    <w:rsid w:val="00B04D93"/>
    <w:rsid w:val="00B10311"/>
    <w:rsid w:val="00B10821"/>
    <w:rsid w:val="00B14A08"/>
    <w:rsid w:val="00B20359"/>
    <w:rsid w:val="00B20605"/>
    <w:rsid w:val="00B242DA"/>
    <w:rsid w:val="00B30840"/>
    <w:rsid w:val="00B3406C"/>
    <w:rsid w:val="00B41102"/>
    <w:rsid w:val="00B52041"/>
    <w:rsid w:val="00B53A01"/>
    <w:rsid w:val="00B545E7"/>
    <w:rsid w:val="00B55D34"/>
    <w:rsid w:val="00B56199"/>
    <w:rsid w:val="00B5673E"/>
    <w:rsid w:val="00B57DAE"/>
    <w:rsid w:val="00B64433"/>
    <w:rsid w:val="00B64DBB"/>
    <w:rsid w:val="00B66D09"/>
    <w:rsid w:val="00B73168"/>
    <w:rsid w:val="00B90717"/>
    <w:rsid w:val="00B926B8"/>
    <w:rsid w:val="00B9671F"/>
    <w:rsid w:val="00BA158B"/>
    <w:rsid w:val="00BB6D1A"/>
    <w:rsid w:val="00BB7C87"/>
    <w:rsid w:val="00BC1568"/>
    <w:rsid w:val="00BC3C94"/>
    <w:rsid w:val="00BC3CEE"/>
    <w:rsid w:val="00BD03A4"/>
    <w:rsid w:val="00BD2F00"/>
    <w:rsid w:val="00BD4452"/>
    <w:rsid w:val="00BE2BD6"/>
    <w:rsid w:val="00BE4ED6"/>
    <w:rsid w:val="00BE6E93"/>
    <w:rsid w:val="00BF2845"/>
    <w:rsid w:val="00C046A5"/>
    <w:rsid w:val="00C10284"/>
    <w:rsid w:val="00C12D3C"/>
    <w:rsid w:val="00C14C7E"/>
    <w:rsid w:val="00C15E81"/>
    <w:rsid w:val="00C20E30"/>
    <w:rsid w:val="00C230E1"/>
    <w:rsid w:val="00C23A0F"/>
    <w:rsid w:val="00C26ECD"/>
    <w:rsid w:val="00C27F12"/>
    <w:rsid w:val="00C27F7E"/>
    <w:rsid w:val="00C303B0"/>
    <w:rsid w:val="00C4117A"/>
    <w:rsid w:val="00C4685E"/>
    <w:rsid w:val="00C666A1"/>
    <w:rsid w:val="00C77888"/>
    <w:rsid w:val="00C804DC"/>
    <w:rsid w:val="00C83039"/>
    <w:rsid w:val="00C83F94"/>
    <w:rsid w:val="00C85D27"/>
    <w:rsid w:val="00C86524"/>
    <w:rsid w:val="00C87122"/>
    <w:rsid w:val="00C96290"/>
    <w:rsid w:val="00CA0183"/>
    <w:rsid w:val="00CA77B0"/>
    <w:rsid w:val="00CB624E"/>
    <w:rsid w:val="00CC6FE8"/>
    <w:rsid w:val="00CD4598"/>
    <w:rsid w:val="00CD5745"/>
    <w:rsid w:val="00CD748F"/>
    <w:rsid w:val="00CD7DB4"/>
    <w:rsid w:val="00CE2181"/>
    <w:rsid w:val="00CE2911"/>
    <w:rsid w:val="00CE65DD"/>
    <w:rsid w:val="00CF6EC3"/>
    <w:rsid w:val="00D00B56"/>
    <w:rsid w:val="00D012A2"/>
    <w:rsid w:val="00D13B01"/>
    <w:rsid w:val="00D1619B"/>
    <w:rsid w:val="00D204CC"/>
    <w:rsid w:val="00D264D5"/>
    <w:rsid w:val="00D30CB4"/>
    <w:rsid w:val="00D30E3F"/>
    <w:rsid w:val="00D3210B"/>
    <w:rsid w:val="00D322D2"/>
    <w:rsid w:val="00D42164"/>
    <w:rsid w:val="00D44DC3"/>
    <w:rsid w:val="00D510F5"/>
    <w:rsid w:val="00D53F33"/>
    <w:rsid w:val="00D53FA6"/>
    <w:rsid w:val="00D626C0"/>
    <w:rsid w:val="00D6353F"/>
    <w:rsid w:val="00D66E11"/>
    <w:rsid w:val="00D677CD"/>
    <w:rsid w:val="00D70426"/>
    <w:rsid w:val="00D71AF1"/>
    <w:rsid w:val="00D750E6"/>
    <w:rsid w:val="00D7630C"/>
    <w:rsid w:val="00D76B8B"/>
    <w:rsid w:val="00D77F76"/>
    <w:rsid w:val="00D800C8"/>
    <w:rsid w:val="00D81F03"/>
    <w:rsid w:val="00D8294F"/>
    <w:rsid w:val="00D83039"/>
    <w:rsid w:val="00D83090"/>
    <w:rsid w:val="00D870FE"/>
    <w:rsid w:val="00D876D3"/>
    <w:rsid w:val="00D9175E"/>
    <w:rsid w:val="00DA572F"/>
    <w:rsid w:val="00DA6AD0"/>
    <w:rsid w:val="00DB18FF"/>
    <w:rsid w:val="00DB21EE"/>
    <w:rsid w:val="00DB429F"/>
    <w:rsid w:val="00DB6078"/>
    <w:rsid w:val="00DC2F5B"/>
    <w:rsid w:val="00DC60E7"/>
    <w:rsid w:val="00DE0112"/>
    <w:rsid w:val="00DE64EF"/>
    <w:rsid w:val="00DE73DC"/>
    <w:rsid w:val="00DF2B0D"/>
    <w:rsid w:val="00DF3381"/>
    <w:rsid w:val="00DF6438"/>
    <w:rsid w:val="00DF6BD1"/>
    <w:rsid w:val="00E008E1"/>
    <w:rsid w:val="00E02027"/>
    <w:rsid w:val="00E02487"/>
    <w:rsid w:val="00E04DDF"/>
    <w:rsid w:val="00E05E4D"/>
    <w:rsid w:val="00E06D60"/>
    <w:rsid w:val="00E1451E"/>
    <w:rsid w:val="00E16861"/>
    <w:rsid w:val="00E2120D"/>
    <w:rsid w:val="00E21A0E"/>
    <w:rsid w:val="00E22C45"/>
    <w:rsid w:val="00E2746E"/>
    <w:rsid w:val="00E30FC3"/>
    <w:rsid w:val="00E311A2"/>
    <w:rsid w:val="00E31308"/>
    <w:rsid w:val="00E31BCC"/>
    <w:rsid w:val="00E4507E"/>
    <w:rsid w:val="00E520E5"/>
    <w:rsid w:val="00E568D0"/>
    <w:rsid w:val="00E576E0"/>
    <w:rsid w:val="00E63814"/>
    <w:rsid w:val="00E66870"/>
    <w:rsid w:val="00E70BF2"/>
    <w:rsid w:val="00E73352"/>
    <w:rsid w:val="00E86172"/>
    <w:rsid w:val="00EA35EA"/>
    <w:rsid w:val="00EA3668"/>
    <w:rsid w:val="00EA6423"/>
    <w:rsid w:val="00EB1B2B"/>
    <w:rsid w:val="00EC048B"/>
    <w:rsid w:val="00EC3DD0"/>
    <w:rsid w:val="00EC5E44"/>
    <w:rsid w:val="00EE3AC8"/>
    <w:rsid w:val="00EE4EF1"/>
    <w:rsid w:val="00EE6C6A"/>
    <w:rsid w:val="00F03BC3"/>
    <w:rsid w:val="00F05301"/>
    <w:rsid w:val="00F06C87"/>
    <w:rsid w:val="00F16C74"/>
    <w:rsid w:val="00F20454"/>
    <w:rsid w:val="00F21103"/>
    <w:rsid w:val="00F22B37"/>
    <w:rsid w:val="00F26A81"/>
    <w:rsid w:val="00F27340"/>
    <w:rsid w:val="00F366E1"/>
    <w:rsid w:val="00F47183"/>
    <w:rsid w:val="00F52A05"/>
    <w:rsid w:val="00F534E1"/>
    <w:rsid w:val="00F53D25"/>
    <w:rsid w:val="00F57F45"/>
    <w:rsid w:val="00F617AA"/>
    <w:rsid w:val="00F63F99"/>
    <w:rsid w:val="00F70E6F"/>
    <w:rsid w:val="00F72A8B"/>
    <w:rsid w:val="00F75C78"/>
    <w:rsid w:val="00F833A6"/>
    <w:rsid w:val="00F85E2B"/>
    <w:rsid w:val="00F87123"/>
    <w:rsid w:val="00FA059E"/>
    <w:rsid w:val="00FA73B7"/>
    <w:rsid w:val="00FB1801"/>
    <w:rsid w:val="00FB46EB"/>
    <w:rsid w:val="00FB4AAE"/>
    <w:rsid w:val="00FC0B34"/>
    <w:rsid w:val="00FD1EF2"/>
    <w:rsid w:val="00FD562B"/>
    <w:rsid w:val="00FD6142"/>
    <w:rsid w:val="00FE1FE9"/>
    <w:rsid w:val="00FE3F58"/>
    <w:rsid w:val="00FE604D"/>
    <w:rsid w:val="00FF4B73"/>
    <w:rsid w:val="2D5C3E36"/>
    <w:rsid w:val="35E7390E"/>
    <w:rsid w:val="57D305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D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53D25"/>
    <w:rPr>
      <w:sz w:val="18"/>
      <w:szCs w:val="18"/>
    </w:rPr>
  </w:style>
  <w:style w:type="paragraph" w:styleId="a4">
    <w:name w:val="footer"/>
    <w:basedOn w:val="a"/>
    <w:link w:val="Char0"/>
    <w:uiPriority w:val="99"/>
    <w:unhideWhenUsed/>
    <w:qFormat/>
    <w:rsid w:val="00F53D2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53D2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sid w:val="00F53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F53D25"/>
    <w:rPr>
      <w:sz w:val="18"/>
      <w:szCs w:val="18"/>
    </w:rPr>
  </w:style>
  <w:style w:type="character" w:customStyle="1" w:styleId="Char0">
    <w:name w:val="页脚 Char"/>
    <w:basedOn w:val="a0"/>
    <w:link w:val="a4"/>
    <w:uiPriority w:val="99"/>
    <w:rsid w:val="00F53D25"/>
    <w:rPr>
      <w:sz w:val="18"/>
      <w:szCs w:val="18"/>
    </w:rPr>
  </w:style>
  <w:style w:type="character" w:customStyle="1" w:styleId="Char">
    <w:name w:val="批注框文本 Char"/>
    <w:basedOn w:val="a0"/>
    <w:link w:val="a3"/>
    <w:uiPriority w:val="99"/>
    <w:semiHidden/>
    <w:rsid w:val="00F53D25"/>
    <w:rPr>
      <w:sz w:val="18"/>
      <w:szCs w:val="18"/>
    </w:rPr>
  </w:style>
  <w:style w:type="paragraph" w:customStyle="1" w:styleId="1">
    <w:name w:val="修订1"/>
    <w:hidden/>
    <w:uiPriority w:val="99"/>
    <w:semiHidden/>
    <w:rsid w:val="00F53D25"/>
    <w:rPr>
      <w:kern w:val="2"/>
      <w:sz w:val="21"/>
      <w:szCs w:val="22"/>
    </w:rPr>
  </w:style>
</w:styles>
</file>

<file path=word/webSettings.xml><?xml version="1.0" encoding="utf-8"?>
<w:webSettings xmlns:r="http://schemas.openxmlformats.org/officeDocument/2006/relationships" xmlns:w="http://schemas.openxmlformats.org/wordprocessingml/2006/main">
  <w:divs>
    <w:div w:id="623464739">
      <w:bodyDiv w:val="1"/>
      <w:marLeft w:val="0"/>
      <w:marRight w:val="0"/>
      <w:marTop w:val="0"/>
      <w:marBottom w:val="0"/>
      <w:divBdr>
        <w:top w:val="none" w:sz="0" w:space="0" w:color="auto"/>
        <w:left w:val="none" w:sz="0" w:space="0" w:color="auto"/>
        <w:bottom w:val="none" w:sz="0" w:space="0" w:color="auto"/>
        <w:right w:val="none" w:sz="0" w:space="0" w:color="auto"/>
      </w:divBdr>
    </w:div>
    <w:div w:id="211238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4995-F1FC-42FA-93B3-EBCA3612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4</DocSecurity>
  <Lines>4</Lines>
  <Paragraphs>1</Paragraphs>
  <ScaleCrop>false</ScaleCrop>
  <Company>Microsoft</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王丹</dc:creator>
  <cp:lastModifiedBy>ZHONGM</cp:lastModifiedBy>
  <cp:revision>2</cp:revision>
  <cp:lastPrinted>2020-08-14T05:28:00Z</cp:lastPrinted>
  <dcterms:created xsi:type="dcterms:W3CDTF">2026-01-02T16:00:00Z</dcterms:created>
  <dcterms:modified xsi:type="dcterms:W3CDTF">2026-01-02T16:00:00Z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D83D3629847A441FA2EB32A351ED6688_12</vt:lpwstr>
  </property>
</Properties>
</file>