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34D" w:rsidRDefault="0017319E" w:rsidP="00CB2D5F">
      <w:pPr>
        <w:jc w:val="center"/>
        <w:rPr>
          <w:b/>
          <w:bCs/>
          <w:sz w:val="32"/>
          <w:szCs w:val="32"/>
        </w:rPr>
      </w:pPr>
      <w:r w:rsidRPr="0017319E">
        <w:rPr>
          <w:rFonts w:hint="eastAsia"/>
          <w:b/>
          <w:bCs/>
          <w:sz w:val="32"/>
          <w:szCs w:val="32"/>
        </w:rPr>
        <w:t>信澳量化多因子混合型证券投资基金</w:t>
      </w:r>
      <w:r w:rsidRPr="0017319E">
        <w:rPr>
          <w:rFonts w:hint="eastAsia"/>
          <w:b/>
          <w:bCs/>
          <w:sz w:val="32"/>
          <w:szCs w:val="32"/>
        </w:rPr>
        <w:t>(LOF)</w:t>
      </w:r>
      <w:r w:rsidR="00B9434D">
        <w:rPr>
          <w:rFonts w:hint="eastAsia"/>
          <w:b/>
          <w:bCs/>
          <w:sz w:val="32"/>
          <w:szCs w:val="32"/>
        </w:rPr>
        <w:t>A</w:t>
      </w:r>
      <w:r w:rsidR="00B9434D">
        <w:rPr>
          <w:rFonts w:hint="eastAsia"/>
          <w:b/>
          <w:bCs/>
          <w:sz w:val="32"/>
          <w:szCs w:val="32"/>
        </w:rPr>
        <w:t>类份额</w:t>
      </w:r>
    </w:p>
    <w:p w:rsidR="00CB2D5F" w:rsidRDefault="00B9434D" w:rsidP="00CB2D5F">
      <w:pPr>
        <w:jc w:val="center"/>
        <w:rPr>
          <w:b/>
          <w:bCs/>
          <w:sz w:val="32"/>
          <w:szCs w:val="32"/>
        </w:rPr>
      </w:pPr>
      <w:r>
        <w:rPr>
          <w:rFonts w:hint="eastAsia"/>
          <w:b/>
          <w:bCs/>
          <w:sz w:val="32"/>
          <w:szCs w:val="32"/>
        </w:rPr>
        <w:t>二级市场交易价格</w:t>
      </w:r>
      <w:r w:rsidR="00CB2D5F" w:rsidRPr="00CB2D5F">
        <w:rPr>
          <w:rFonts w:hint="eastAsia"/>
          <w:b/>
          <w:bCs/>
          <w:sz w:val="32"/>
          <w:szCs w:val="32"/>
        </w:rPr>
        <w:t>溢价风险提示</w:t>
      </w:r>
      <w:r w:rsidR="00D3299F">
        <w:rPr>
          <w:rFonts w:hint="eastAsia"/>
          <w:b/>
          <w:bCs/>
          <w:sz w:val="32"/>
          <w:szCs w:val="32"/>
        </w:rPr>
        <w:t>及停牌公告</w:t>
      </w:r>
    </w:p>
    <w:p w:rsidR="00CB2D5F" w:rsidRPr="00B9434D" w:rsidRDefault="00CB2D5F" w:rsidP="00CB2D5F">
      <w:pPr>
        <w:jc w:val="center"/>
        <w:rPr>
          <w:b/>
          <w:bCs/>
          <w:sz w:val="32"/>
          <w:szCs w:val="32"/>
        </w:rPr>
      </w:pPr>
    </w:p>
    <w:p w:rsidR="00CB2D5F" w:rsidRDefault="00CB2D5F" w:rsidP="00CB2D5F">
      <w:pPr>
        <w:spacing w:line="360" w:lineRule="auto"/>
        <w:ind w:firstLineChars="200" w:firstLine="480"/>
        <w:rPr>
          <w:b/>
          <w:sz w:val="24"/>
          <w:szCs w:val="24"/>
        </w:rPr>
      </w:pPr>
      <w:r w:rsidRPr="00CB2D5F">
        <w:rPr>
          <w:rFonts w:hint="eastAsia"/>
          <w:sz w:val="24"/>
          <w:szCs w:val="24"/>
        </w:rPr>
        <w:t>近期，信达</w:t>
      </w:r>
      <w:r w:rsidRPr="00CB2D5F">
        <w:rPr>
          <w:sz w:val="24"/>
          <w:szCs w:val="24"/>
        </w:rPr>
        <w:t>澳</w:t>
      </w:r>
      <w:r w:rsidR="00A93615">
        <w:rPr>
          <w:rFonts w:hint="eastAsia"/>
          <w:sz w:val="24"/>
          <w:szCs w:val="24"/>
        </w:rPr>
        <w:t>亚</w:t>
      </w:r>
      <w:r w:rsidRPr="00CB2D5F">
        <w:rPr>
          <w:rFonts w:hint="eastAsia"/>
          <w:sz w:val="24"/>
          <w:szCs w:val="24"/>
        </w:rPr>
        <w:t>基金管理有限公司（以下简称“本基金管理人”）旗下</w:t>
      </w:r>
      <w:r w:rsidR="0017319E" w:rsidRPr="0017319E">
        <w:rPr>
          <w:rFonts w:hint="eastAsia"/>
          <w:sz w:val="24"/>
          <w:szCs w:val="24"/>
        </w:rPr>
        <w:t>信澳量化多因子混合型证券投资基金</w:t>
      </w:r>
      <w:r w:rsidR="0017319E" w:rsidRPr="0017319E">
        <w:rPr>
          <w:rFonts w:hint="eastAsia"/>
          <w:sz w:val="24"/>
          <w:szCs w:val="24"/>
        </w:rPr>
        <w:t>(LOF)</w:t>
      </w:r>
      <w:r w:rsidR="00A93615">
        <w:rPr>
          <w:rFonts w:hint="eastAsia"/>
          <w:sz w:val="24"/>
          <w:szCs w:val="24"/>
        </w:rPr>
        <w:t>A</w:t>
      </w:r>
      <w:r w:rsidR="00A93615">
        <w:rPr>
          <w:rFonts w:hint="eastAsia"/>
          <w:sz w:val="24"/>
          <w:szCs w:val="24"/>
        </w:rPr>
        <w:t>类份额</w:t>
      </w:r>
      <w:r w:rsidRPr="00CB2D5F">
        <w:rPr>
          <w:rFonts w:hint="eastAsia"/>
          <w:sz w:val="24"/>
          <w:szCs w:val="24"/>
        </w:rPr>
        <w:t>（场内简称：</w:t>
      </w:r>
      <w:r w:rsidR="0017319E">
        <w:rPr>
          <w:rFonts w:hint="eastAsia"/>
          <w:sz w:val="24"/>
          <w:szCs w:val="24"/>
        </w:rPr>
        <w:t>多因子</w:t>
      </w:r>
      <w:r w:rsidR="00A93615">
        <w:rPr>
          <w:rFonts w:hint="eastAsia"/>
          <w:sz w:val="24"/>
          <w:szCs w:val="24"/>
        </w:rPr>
        <w:t>L</w:t>
      </w:r>
      <w:r w:rsidR="00A93615">
        <w:rPr>
          <w:sz w:val="24"/>
          <w:szCs w:val="24"/>
        </w:rPr>
        <w:t>OF</w:t>
      </w:r>
      <w:r w:rsidRPr="00CB2D5F">
        <w:rPr>
          <w:rFonts w:hint="eastAsia"/>
          <w:sz w:val="24"/>
          <w:szCs w:val="24"/>
        </w:rPr>
        <w:t>；交易代码：</w:t>
      </w:r>
      <w:r w:rsidRPr="00CB2D5F">
        <w:rPr>
          <w:rFonts w:hint="eastAsia"/>
          <w:sz w:val="24"/>
          <w:szCs w:val="24"/>
        </w:rPr>
        <w:t>16</w:t>
      </w:r>
      <w:r w:rsidRPr="00CB2D5F">
        <w:rPr>
          <w:sz w:val="24"/>
          <w:szCs w:val="24"/>
        </w:rPr>
        <w:t>610</w:t>
      </w:r>
      <w:r w:rsidR="0017319E">
        <w:rPr>
          <w:sz w:val="24"/>
          <w:szCs w:val="24"/>
        </w:rPr>
        <w:t>7</w:t>
      </w:r>
      <w:r w:rsidR="005B6E27">
        <w:rPr>
          <w:rFonts w:hint="eastAsia"/>
          <w:sz w:val="24"/>
          <w:szCs w:val="24"/>
        </w:rPr>
        <w:t>；</w:t>
      </w:r>
      <w:r w:rsidR="005B6E27" w:rsidRPr="005B6E27">
        <w:rPr>
          <w:rFonts w:hint="eastAsia"/>
          <w:sz w:val="24"/>
          <w:szCs w:val="24"/>
        </w:rPr>
        <w:t>以下简称“本基金”</w:t>
      </w:r>
      <w:r w:rsidRPr="00CB2D5F">
        <w:rPr>
          <w:rFonts w:hint="eastAsia"/>
          <w:sz w:val="24"/>
          <w:szCs w:val="24"/>
        </w:rPr>
        <w:t>）</w:t>
      </w:r>
      <w:r w:rsidRPr="00B9434D">
        <w:rPr>
          <w:rFonts w:hint="eastAsia"/>
          <w:sz w:val="24"/>
          <w:szCs w:val="24"/>
        </w:rPr>
        <w:t>在二级市场的交易价格出现较大幅度溢价，交易价格偏离前一估值日的基金份额净值。</w:t>
      </w:r>
      <w:r w:rsidR="00D3299F" w:rsidRPr="00CB2D5F">
        <w:rPr>
          <w:rFonts w:hint="eastAsia"/>
          <w:sz w:val="24"/>
          <w:szCs w:val="24"/>
        </w:rPr>
        <w:t>202</w:t>
      </w:r>
      <w:r w:rsidR="00D3299F">
        <w:rPr>
          <w:sz w:val="24"/>
          <w:szCs w:val="24"/>
        </w:rPr>
        <w:t>5</w:t>
      </w:r>
      <w:r w:rsidR="00D3299F" w:rsidRPr="00CB2D5F">
        <w:rPr>
          <w:rFonts w:hint="eastAsia"/>
          <w:sz w:val="24"/>
          <w:szCs w:val="24"/>
        </w:rPr>
        <w:t>年</w:t>
      </w:r>
      <w:r w:rsidR="00D3299F">
        <w:rPr>
          <w:sz w:val="24"/>
          <w:szCs w:val="24"/>
        </w:rPr>
        <w:t>12</w:t>
      </w:r>
      <w:r w:rsidR="00D3299F" w:rsidRPr="00CB2D5F">
        <w:rPr>
          <w:rFonts w:hint="eastAsia"/>
          <w:sz w:val="24"/>
          <w:szCs w:val="24"/>
        </w:rPr>
        <w:t>月</w:t>
      </w:r>
      <w:r w:rsidR="00D3299F">
        <w:rPr>
          <w:sz w:val="24"/>
          <w:szCs w:val="24"/>
        </w:rPr>
        <w:t>30</w:t>
      </w:r>
      <w:r w:rsidRPr="00CB2D5F">
        <w:rPr>
          <w:rFonts w:hint="eastAsia"/>
          <w:sz w:val="24"/>
          <w:szCs w:val="24"/>
        </w:rPr>
        <w:t>日，</w:t>
      </w:r>
      <w:r w:rsidR="00A93615">
        <w:rPr>
          <w:rFonts w:hint="eastAsia"/>
          <w:sz w:val="24"/>
          <w:szCs w:val="24"/>
        </w:rPr>
        <w:t>本基金</w:t>
      </w:r>
      <w:r w:rsidRPr="00CB2D5F">
        <w:rPr>
          <w:rFonts w:hint="eastAsia"/>
          <w:sz w:val="24"/>
          <w:szCs w:val="24"/>
        </w:rPr>
        <w:t>基金份额净值</w:t>
      </w:r>
      <w:r w:rsidR="00A93615">
        <w:rPr>
          <w:rFonts w:hint="eastAsia"/>
          <w:sz w:val="24"/>
          <w:szCs w:val="24"/>
        </w:rPr>
        <w:t>为</w:t>
      </w:r>
      <w:r w:rsidR="00D3299F" w:rsidRPr="00D3299F">
        <w:rPr>
          <w:sz w:val="24"/>
          <w:szCs w:val="24"/>
        </w:rPr>
        <w:t>1.4418</w:t>
      </w:r>
      <w:r w:rsidR="00B9434D">
        <w:rPr>
          <w:sz w:val="24"/>
          <w:szCs w:val="24"/>
        </w:rPr>
        <w:t>元</w:t>
      </w:r>
      <w:r w:rsidRPr="00CB2D5F">
        <w:rPr>
          <w:rFonts w:hint="eastAsia"/>
          <w:sz w:val="24"/>
          <w:szCs w:val="24"/>
        </w:rPr>
        <w:t>，截至</w:t>
      </w:r>
      <w:r w:rsidR="00487665" w:rsidRPr="00CB2D5F">
        <w:rPr>
          <w:rFonts w:hint="eastAsia"/>
          <w:sz w:val="24"/>
          <w:szCs w:val="24"/>
        </w:rPr>
        <w:t>202</w:t>
      </w:r>
      <w:r w:rsidR="00487665">
        <w:rPr>
          <w:sz w:val="24"/>
          <w:szCs w:val="24"/>
        </w:rPr>
        <w:t>5</w:t>
      </w:r>
      <w:r w:rsidR="00B9434D" w:rsidRPr="00CB2D5F">
        <w:rPr>
          <w:rFonts w:hint="eastAsia"/>
          <w:sz w:val="24"/>
          <w:szCs w:val="24"/>
        </w:rPr>
        <w:t>年</w:t>
      </w:r>
      <w:r w:rsidR="00B9434D">
        <w:rPr>
          <w:sz w:val="24"/>
          <w:szCs w:val="24"/>
        </w:rPr>
        <w:t>1</w:t>
      </w:r>
      <w:r w:rsidR="00487665">
        <w:rPr>
          <w:sz w:val="24"/>
          <w:szCs w:val="24"/>
        </w:rPr>
        <w:t>2</w:t>
      </w:r>
      <w:r w:rsidR="007818DD">
        <w:rPr>
          <w:sz w:val="24"/>
          <w:szCs w:val="24"/>
        </w:rPr>
        <w:t>月</w:t>
      </w:r>
      <w:r w:rsidR="00D3299F">
        <w:rPr>
          <w:rFonts w:hint="eastAsia"/>
          <w:sz w:val="24"/>
          <w:szCs w:val="24"/>
        </w:rPr>
        <w:t>3</w:t>
      </w:r>
      <w:r w:rsidR="00D3299F">
        <w:rPr>
          <w:sz w:val="24"/>
          <w:szCs w:val="24"/>
        </w:rPr>
        <w:t>1</w:t>
      </w:r>
      <w:r w:rsidR="00D3299F" w:rsidRPr="00CB2D5F">
        <w:rPr>
          <w:rFonts w:hint="eastAsia"/>
          <w:sz w:val="24"/>
          <w:szCs w:val="24"/>
        </w:rPr>
        <w:t>日</w:t>
      </w:r>
      <w:r w:rsidRPr="00CB2D5F">
        <w:rPr>
          <w:rFonts w:hint="eastAsia"/>
          <w:sz w:val="24"/>
          <w:szCs w:val="24"/>
        </w:rPr>
        <w:t>，</w:t>
      </w:r>
      <w:r w:rsidR="00B9434D">
        <w:rPr>
          <w:rFonts w:hint="eastAsia"/>
          <w:sz w:val="24"/>
          <w:szCs w:val="24"/>
        </w:rPr>
        <w:t>本基金</w:t>
      </w:r>
      <w:r w:rsidRPr="00CB2D5F">
        <w:rPr>
          <w:rFonts w:hint="eastAsia"/>
          <w:sz w:val="24"/>
          <w:szCs w:val="24"/>
        </w:rPr>
        <w:t>二级市场收盘价为</w:t>
      </w:r>
      <w:r w:rsidR="00B9434D" w:rsidRPr="003B02FF">
        <w:rPr>
          <w:sz w:val="24"/>
          <w:szCs w:val="24"/>
        </w:rPr>
        <w:t>1.</w:t>
      </w:r>
      <w:r w:rsidR="00164816">
        <w:rPr>
          <w:sz w:val="24"/>
          <w:szCs w:val="24"/>
        </w:rPr>
        <w:t>7</w:t>
      </w:r>
      <w:r w:rsidR="0017319E">
        <w:rPr>
          <w:sz w:val="24"/>
          <w:szCs w:val="24"/>
        </w:rPr>
        <w:t>6</w:t>
      </w:r>
      <w:r w:rsidR="007818DD">
        <w:rPr>
          <w:sz w:val="24"/>
          <w:szCs w:val="24"/>
        </w:rPr>
        <w:t>0</w:t>
      </w:r>
      <w:r w:rsidRPr="00CB2D5F">
        <w:rPr>
          <w:rFonts w:hint="eastAsia"/>
          <w:sz w:val="24"/>
          <w:szCs w:val="24"/>
        </w:rPr>
        <w:t>元，</w:t>
      </w:r>
      <w:r w:rsidR="00B9434D">
        <w:rPr>
          <w:rFonts w:hint="eastAsia"/>
          <w:sz w:val="24"/>
          <w:szCs w:val="24"/>
        </w:rPr>
        <w:t>明显</w:t>
      </w:r>
      <w:r w:rsidRPr="00CB2D5F">
        <w:rPr>
          <w:rFonts w:hint="eastAsia"/>
          <w:sz w:val="24"/>
          <w:szCs w:val="24"/>
        </w:rPr>
        <w:t>高于基金份额净值。</w:t>
      </w:r>
      <w:r w:rsidRPr="00B9434D">
        <w:rPr>
          <w:rFonts w:hint="eastAsia"/>
          <w:b/>
          <w:sz w:val="24"/>
          <w:szCs w:val="24"/>
        </w:rPr>
        <w:t>投资者如果盲目投资于高溢价率的基金份额，可能遭受较大损失。</w:t>
      </w:r>
    </w:p>
    <w:p w:rsidR="00D3299F" w:rsidRPr="00B9434D" w:rsidRDefault="00D3299F" w:rsidP="00D3299F">
      <w:pPr>
        <w:spacing w:line="360" w:lineRule="auto"/>
        <w:ind w:firstLineChars="200" w:firstLine="482"/>
        <w:rPr>
          <w:b/>
          <w:sz w:val="24"/>
          <w:szCs w:val="24"/>
        </w:rPr>
      </w:pPr>
      <w:r w:rsidRPr="00D3299F">
        <w:rPr>
          <w:rFonts w:hint="eastAsia"/>
          <w:b/>
          <w:sz w:val="24"/>
          <w:szCs w:val="24"/>
        </w:rPr>
        <w:t>为保护基金份额持有人的利益，</w:t>
      </w:r>
      <w:r>
        <w:rPr>
          <w:rFonts w:hint="eastAsia"/>
          <w:b/>
          <w:sz w:val="24"/>
          <w:szCs w:val="24"/>
        </w:rPr>
        <w:t>本基金</w:t>
      </w:r>
      <w:r w:rsidRPr="00D3299F">
        <w:rPr>
          <w:rFonts w:hint="eastAsia"/>
          <w:b/>
          <w:sz w:val="24"/>
          <w:szCs w:val="24"/>
        </w:rPr>
        <w:t>将于</w:t>
      </w:r>
      <w:r w:rsidRPr="00D3299F">
        <w:rPr>
          <w:rFonts w:hint="eastAsia"/>
          <w:b/>
          <w:sz w:val="24"/>
          <w:szCs w:val="24"/>
        </w:rPr>
        <w:t>202</w:t>
      </w:r>
      <w:r>
        <w:rPr>
          <w:b/>
          <w:sz w:val="24"/>
          <w:szCs w:val="24"/>
        </w:rPr>
        <w:t>6</w:t>
      </w:r>
      <w:r w:rsidRPr="00D3299F">
        <w:rPr>
          <w:rFonts w:hint="eastAsia"/>
          <w:b/>
          <w:sz w:val="24"/>
          <w:szCs w:val="24"/>
        </w:rPr>
        <w:t>年</w:t>
      </w:r>
      <w:r>
        <w:rPr>
          <w:b/>
          <w:sz w:val="24"/>
          <w:szCs w:val="24"/>
        </w:rPr>
        <w:t>1</w:t>
      </w:r>
      <w:r w:rsidRPr="00D3299F">
        <w:rPr>
          <w:rFonts w:hint="eastAsia"/>
          <w:b/>
          <w:sz w:val="24"/>
          <w:szCs w:val="24"/>
        </w:rPr>
        <w:t>月</w:t>
      </w:r>
      <w:r>
        <w:rPr>
          <w:b/>
          <w:sz w:val="24"/>
          <w:szCs w:val="24"/>
        </w:rPr>
        <w:t>5</w:t>
      </w:r>
      <w:r w:rsidRPr="00D3299F">
        <w:rPr>
          <w:rFonts w:hint="eastAsia"/>
          <w:b/>
          <w:sz w:val="24"/>
          <w:szCs w:val="24"/>
        </w:rPr>
        <w:t>日开市起至当日</w:t>
      </w:r>
      <w:r w:rsidRPr="00D3299F">
        <w:rPr>
          <w:rFonts w:hint="eastAsia"/>
          <w:b/>
          <w:sz w:val="24"/>
          <w:szCs w:val="24"/>
        </w:rPr>
        <w:t>10</w:t>
      </w:r>
      <w:r w:rsidRPr="00D3299F">
        <w:rPr>
          <w:rFonts w:hint="eastAsia"/>
          <w:b/>
          <w:sz w:val="24"/>
          <w:szCs w:val="24"/>
        </w:rPr>
        <w:t>：</w:t>
      </w:r>
      <w:r w:rsidRPr="00D3299F">
        <w:rPr>
          <w:rFonts w:hint="eastAsia"/>
          <w:b/>
          <w:sz w:val="24"/>
          <w:szCs w:val="24"/>
        </w:rPr>
        <w:t>30</w:t>
      </w:r>
      <w:r w:rsidRPr="00D3299F">
        <w:rPr>
          <w:rFonts w:hint="eastAsia"/>
          <w:b/>
          <w:sz w:val="24"/>
          <w:szCs w:val="24"/>
        </w:rPr>
        <w:t>停牌。若本基金</w:t>
      </w:r>
      <w:r w:rsidRPr="00D3299F">
        <w:rPr>
          <w:rFonts w:hint="eastAsia"/>
          <w:b/>
          <w:sz w:val="24"/>
          <w:szCs w:val="24"/>
        </w:rPr>
        <w:t>202</w:t>
      </w:r>
      <w:r>
        <w:rPr>
          <w:b/>
          <w:sz w:val="24"/>
          <w:szCs w:val="24"/>
        </w:rPr>
        <w:t>6</w:t>
      </w:r>
      <w:r w:rsidRPr="00D3299F">
        <w:rPr>
          <w:rFonts w:hint="eastAsia"/>
          <w:b/>
          <w:sz w:val="24"/>
          <w:szCs w:val="24"/>
        </w:rPr>
        <w:t>年</w:t>
      </w:r>
      <w:r>
        <w:rPr>
          <w:b/>
          <w:sz w:val="24"/>
          <w:szCs w:val="24"/>
        </w:rPr>
        <w:t>1</w:t>
      </w:r>
      <w:r w:rsidRPr="00D3299F">
        <w:rPr>
          <w:rFonts w:hint="eastAsia"/>
          <w:b/>
          <w:sz w:val="24"/>
          <w:szCs w:val="24"/>
        </w:rPr>
        <w:t>月</w:t>
      </w:r>
      <w:r>
        <w:rPr>
          <w:b/>
          <w:sz w:val="24"/>
          <w:szCs w:val="24"/>
        </w:rPr>
        <w:t>5</w:t>
      </w:r>
      <w:r w:rsidRPr="00D3299F">
        <w:rPr>
          <w:rFonts w:hint="eastAsia"/>
          <w:b/>
          <w:sz w:val="24"/>
          <w:szCs w:val="24"/>
        </w:rPr>
        <w:t>日二级市场交易价格溢价幅度未有效回落，本基金有权采取向深圳证券交易所申请盘中临时停牌、延长停牌时间等措施以向市场警示风险，具体以届时公告为准。</w:t>
      </w:r>
    </w:p>
    <w:p w:rsidR="00CB2D5F" w:rsidRPr="00CB2D5F" w:rsidRDefault="00893648" w:rsidP="00CB2D5F">
      <w:pPr>
        <w:spacing w:line="360" w:lineRule="auto"/>
        <w:ind w:firstLineChars="200" w:firstLine="480"/>
        <w:rPr>
          <w:sz w:val="24"/>
          <w:szCs w:val="24"/>
        </w:rPr>
      </w:pPr>
      <w:r w:rsidRPr="00893648">
        <w:rPr>
          <w:rFonts w:hint="eastAsia"/>
          <w:sz w:val="24"/>
          <w:szCs w:val="24"/>
        </w:rPr>
        <w:t>特此提醒投资者密切关注基金份额净值及二级市场交易价格，注意投资风险。</w:t>
      </w:r>
      <w:r w:rsidRPr="00893648">
        <w:rPr>
          <w:rFonts w:hint="eastAsia"/>
          <w:sz w:val="24"/>
          <w:szCs w:val="24"/>
        </w:rPr>
        <w:t xml:space="preserve"> </w:t>
      </w:r>
      <w:r w:rsidRPr="00893648">
        <w:rPr>
          <w:rFonts w:hint="eastAsia"/>
          <w:sz w:val="24"/>
          <w:szCs w:val="24"/>
        </w:rPr>
        <w:t>为此，本基金管理人提示如下：</w:t>
      </w:r>
    </w:p>
    <w:p w:rsidR="00CB2D5F" w:rsidRPr="00893648" w:rsidRDefault="00CB2D5F" w:rsidP="00CB2D5F">
      <w:pPr>
        <w:spacing w:line="360" w:lineRule="auto"/>
        <w:ind w:firstLineChars="200" w:firstLine="480"/>
        <w:rPr>
          <w:sz w:val="24"/>
          <w:szCs w:val="24"/>
        </w:rPr>
      </w:pPr>
      <w:r w:rsidRPr="00893648">
        <w:rPr>
          <w:rFonts w:hint="eastAsia"/>
          <w:sz w:val="24"/>
          <w:szCs w:val="24"/>
        </w:rPr>
        <w:t>1</w:t>
      </w:r>
      <w:r w:rsidRPr="00893648">
        <w:rPr>
          <w:rFonts w:hint="eastAsia"/>
          <w:sz w:val="24"/>
          <w:szCs w:val="24"/>
        </w:rPr>
        <w:t>、</w:t>
      </w:r>
      <w:r w:rsidR="00893648" w:rsidRPr="00893648">
        <w:rPr>
          <w:rFonts w:hint="eastAsia"/>
          <w:sz w:val="24"/>
          <w:szCs w:val="24"/>
        </w:rPr>
        <w:t>本基金为上市开放式基金，除可在二级市场交易外，投资者还可以申购、赎回本基金，申购、赎回价格以申请当日收市后计算的基金份额净值进行计算，投资者可通过本基金管理人网站或交易行情系统查询本基金的最新份额净值</w:t>
      </w:r>
      <w:r w:rsidRPr="00893648">
        <w:rPr>
          <w:rFonts w:hint="eastAsia"/>
          <w:sz w:val="24"/>
          <w:szCs w:val="24"/>
        </w:rPr>
        <w:t>。</w:t>
      </w:r>
      <w:bookmarkStart w:id="0" w:name="_GoBack"/>
      <w:bookmarkEnd w:id="0"/>
    </w:p>
    <w:p w:rsidR="00893648" w:rsidRPr="00893648" w:rsidRDefault="00893648" w:rsidP="00893648">
      <w:pPr>
        <w:spacing w:line="360" w:lineRule="auto"/>
        <w:ind w:firstLineChars="200" w:firstLine="480"/>
        <w:rPr>
          <w:sz w:val="24"/>
          <w:szCs w:val="24"/>
        </w:rPr>
      </w:pPr>
      <w:r w:rsidRPr="00893648">
        <w:rPr>
          <w:rFonts w:hint="eastAsia"/>
          <w:sz w:val="24"/>
          <w:szCs w:val="24"/>
        </w:rPr>
        <w:t>2</w:t>
      </w:r>
      <w:r w:rsidRPr="00893648">
        <w:rPr>
          <w:rFonts w:hint="eastAsia"/>
          <w:sz w:val="24"/>
          <w:szCs w:val="24"/>
        </w:rPr>
        <w:t>、本基金的交易价格，除了有份额净值变化的风险外，还会受到市场的系统性风险、流动性风险等其他风险影响，在当前溢价水平下买入，可能使投资人面临较大损失。</w:t>
      </w:r>
    </w:p>
    <w:p w:rsidR="00893648" w:rsidRPr="00893648" w:rsidRDefault="00893648" w:rsidP="00893648">
      <w:pPr>
        <w:spacing w:line="360" w:lineRule="auto"/>
        <w:ind w:firstLineChars="200" w:firstLine="480"/>
        <w:rPr>
          <w:sz w:val="24"/>
          <w:szCs w:val="24"/>
        </w:rPr>
      </w:pPr>
      <w:r w:rsidRPr="00893648">
        <w:rPr>
          <w:rFonts w:hint="eastAsia"/>
          <w:sz w:val="24"/>
          <w:szCs w:val="24"/>
        </w:rPr>
        <w:t>3</w:t>
      </w:r>
      <w:r w:rsidRPr="00893648">
        <w:rPr>
          <w:rFonts w:hint="eastAsia"/>
          <w:sz w:val="24"/>
          <w:szCs w:val="24"/>
        </w:rPr>
        <w:t>、截至本公告披露日，本基金运作正常。本基金管理人仍将严格按照法律法规及基金合同进行投资运作。</w:t>
      </w:r>
    </w:p>
    <w:p w:rsidR="00CB2D5F" w:rsidRPr="00893648" w:rsidRDefault="00893648" w:rsidP="00893648">
      <w:pPr>
        <w:spacing w:line="360" w:lineRule="auto"/>
        <w:ind w:firstLineChars="200" w:firstLine="480"/>
        <w:rPr>
          <w:sz w:val="24"/>
          <w:szCs w:val="24"/>
        </w:rPr>
      </w:pPr>
      <w:r w:rsidRPr="00893648">
        <w:rPr>
          <w:rFonts w:hint="eastAsia"/>
          <w:sz w:val="24"/>
          <w:szCs w:val="24"/>
        </w:rPr>
        <w:t>4</w:t>
      </w:r>
      <w:r w:rsidRPr="00893648">
        <w:rPr>
          <w:rFonts w:hint="eastAsia"/>
          <w:sz w:val="24"/>
          <w:szCs w:val="24"/>
        </w:rPr>
        <w:t>、截至本公告披露日，本基金无其他应披露而未披露的重大信息。本基金管理人仍将严格按照有关规定和要求，及时做好信息披露工作。</w:t>
      </w:r>
    </w:p>
    <w:p w:rsidR="00CB2D5F" w:rsidRPr="00CB2D5F" w:rsidRDefault="00CB2D5F" w:rsidP="00CB2D5F">
      <w:pPr>
        <w:spacing w:line="360" w:lineRule="auto"/>
        <w:ind w:firstLineChars="200" w:firstLine="480"/>
        <w:rPr>
          <w:sz w:val="24"/>
          <w:szCs w:val="24"/>
        </w:rPr>
      </w:pPr>
      <w:r w:rsidRPr="00CB2D5F">
        <w:rPr>
          <w:rFonts w:hint="eastAsia"/>
          <w:sz w:val="24"/>
          <w:szCs w:val="24"/>
        </w:rPr>
        <w:t>风险提示：基金管理人承诺以诚实信用、勤勉尽责的原则管理和运用基金资产，但不保证基金一定盈利，也不保证最低收益。销售机构根据法规要求对投资</w:t>
      </w:r>
      <w:r w:rsidRPr="00CB2D5F">
        <w:rPr>
          <w:rFonts w:hint="eastAsia"/>
          <w:sz w:val="24"/>
          <w:szCs w:val="24"/>
        </w:rPr>
        <w:lastRenderedPageBreak/>
        <w:t>者类别、风险承受能力和基金的风险等级进行划分，并提出适当性匹配意见。请投资者全面认识基金的风险特征及运作方式，投资者在投资基金前应认真阅读基金合同和招募说明书（更新）等基金法律文件，全面认识基金产品的风险收益特征，在了解产品情况及听取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请投资者严格遵守反洗钱相关法律法规的规定，切实履行反洗钱义务。</w:t>
      </w:r>
    </w:p>
    <w:p w:rsidR="00CB2D5F" w:rsidRDefault="00CB2D5F" w:rsidP="00CB2D5F">
      <w:pPr>
        <w:spacing w:line="360" w:lineRule="auto"/>
        <w:ind w:firstLineChars="200" w:firstLine="480"/>
        <w:rPr>
          <w:sz w:val="24"/>
          <w:szCs w:val="24"/>
        </w:rPr>
      </w:pPr>
    </w:p>
    <w:p w:rsidR="00CB2D5F" w:rsidRDefault="00CB2D5F" w:rsidP="00CB2D5F">
      <w:pPr>
        <w:spacing w:line="360" w:lineRule="auto"/>
        <w:ind w:firstLineChars="200" w:firstLine="480"/>
        <w:rPr>
          <w:sz w:val="24"/>
          <w:szCs w:val="24"/>
        </w:rPr>
      </w:pPr>
      <w:r w:rsidRPr="00CB2D5F">
        <w:rPr>
          <w:rFonts w:hint="eastAsia"/>
          <w:sz w:val="24"/>
          <w:szCs w:val="24"/>
        </w:rPr>
        <w:t>特此公告。</w:t>
      </w:r>
    </w:p>
    <w:p w:rsidR="00CB2D5F" w:rsidRDefault="00CB2D5F" w:rsidP="00CB2D5F">
      <w:pPr>
        <w:spacing w:line="360" w:lineRule="auto"/>
        <w:ind w:firstLineChars="200" w:firstLine="480"/>
        <w:rPr>
          <w:sz w:val="24"/>
          <w:szCs w:val="24"/>
        </w:rPr>
      </w:pPr>
    </w:p>
    <w:p w:rsidR="00CB2D5F" w:rsidRDefault="00CB2D5F" w:rsidP="00CB2D5F">
      <w:pPr>
        <w:spacing w:line="360" w:lineRule="auto"/>
        <w:ind w:firstLineChars="200" w:firstLine="480"/>
        <w:rPr>
          <w:sz w:val="24"/>
          <w:szCs w:val="24"/>
        </w:rPr>
      </w:pPr>
    </w:p>
    <w:p w:rsidR="00CB2D5F" w:rsidRPr="00CB2D5F" w:rsidRDefault="00CB2D5F" w:rsidP="00CB2D5F">
      <w:pPr>
        <w:spacing w:line="360" w:lineRule="auto"/>
        <w:ind w:firstLineChars="200" w:firstLine="480"/>
        <w:rPr>
          <w:sz w:val="24"/>
          <w:szCs w:val="24"/>
        </w:rPr>
      </w:pPr>
    </w:p>
    <w:p w:rsidR="00CB2D5F" w:rsidRPr="00CB2D5F" w:rsidRDefault="00CB2D5F" w:rsidP="00CB2D5F">
      <w:pPr>
        <w:spacing w:line="360" w:lineRule="auto"/>
        <w:jc w:val="right"/>
        <w:rPr>
          <w:sz w:val="24"/>
          <w:szCs w:val="24"/>
        </w:rPr>
      </w:pPr>
      <w:r w:rsidRPr="00CB2D5F">
        <w:rPr>
          <w:rFonts w:hint="eastAsia"/>
          <w:sz w:val="24"/>
          <w:szCs w:val="24"/>
        </w:rPr>
        <w:t>信达</w:t>
      </w:r>
      <w:r w:rsidRPr="00CB2D5F">
        <w:rPr>
          <w:sz w:val="24"/>
          <w:szCs w:val="24"/>
        </w:rPr>
        <w:t>澳</w:t>
      </w:r>
      <w:r w:rsidR="00B9434D">
        <w:rPr>
          <w:rFonts w:hint="eastAsia"/>
          <w:sz w:val="24"/>
          <w:szCs w:val="24"/>
        </w:rPr>
        <w:t>亚</w:t>
      </w:r>
      <w:r w:rsidRPr="00CB2D5F">
        <w:rPr>
          <w:sz w:val="24"/>
          <w:szCs w:val="24"/>
        </w:rPr>
        <w:t>基金管理有限</w:t>
      </w:r>
      <w:r w:rsidRPr="00CB2D5F">
        <w:rPr>
          <w:rFonts w:hint="eastAsia"/>
          <w:sz w:val="24"/>
          <w:szCs w:val="24"/>
        </w:rPr>
        <w:t>公司</w:t>
      </w:r>
    </w:p>
    <w:p w:rsidR="00CB2D5F" w:rsidRPr="00CB2D5F" w:rsidRDefault="00D3299F" w:rsidP="00CB2D5F">
      <w:pPr>
        <w:spacing w:line="360" w:lineRule="auto"/>
        <w:jc w:val="right"/>
        <w:rPr>
          <w:sz w:val="24"/>
          <w:szCs w:val="24"/>
        </w:rPr>
      </w:pPr>
      <w:r w:rsidRPr="00CB2D5F">
        <w:rPr>
          <w:sz w:val="24"/>
          <w:szCs w:val="24"/>
        </w:rPr>
        <w:t>202</w:t>
      </w:r>
      <w:r>
        <w:rPr>
          <w:sz w:val="24"/>
          <w:szCs w:val="24"/>
        </w:rPr>
        <w:t>6</w:t>
      </w:r>
      <w:r w:rsidR="00CB2D5F" w:rsidRPr="00CB2D5F">
        <w:rPr>
          <w:rFonts w:hint="eastAsia"/>
          <w:sz w:val="24"/>
          <w:szCs w:val="24"/>
        </w:rPr>
        <w:t>年</w:t>
      </w:r>
      <w:r>
        <w:rPr>
          <w:sz w:val="24"/>
          <w:szCs w:val="24"/>
        </w:rPr>
        <w:t>1</w:t>
      </w:r>
      <w:r w:rsidR="00CB2D5F" w:rsidRPr="00CB2D5F">
        <w:rPr>
          <w:rFonts w:hint="eastAsia"/>
          <w:sz w:val="24"/>
          <w:szCs w:val="24"/>
        </w:rPr>
        <w:t>月</w:t>
      </w:r>
      <w:r w:rsidR="00723B5B">
        <w:rPr>
          <w:sz w:val="24"/>
          <w:szCs w:val="24"/>
        </w:rPr>
        <w:t>5</w:t>
      </w:r>
      <w:r w:rsidR="00CB2D5F" w:rsidRPr="00CB2D5F">
        <w:rPr>
          <w:rFonts w:hint="eastAsia"/>
          <w:sz w:val="24"/>
          <w:szCs w:val="24"/>
        </w:rPr>
        <w:t>日</w:t>
      </w:r>
    </w:p>
    <w:p w:rsidR="00281388" w:rsidRPr="00CB2D5F" w:rsidRDefault="00281388" w:rsidP="00CB2D5F">
      <w:pPr>
        <w:spacing w:line="360" w:lineRule="auto"/>
        <w:jc w:val="right"/>
        <w:rPr>
          <w:sz w:val="24"/>
          <w:szCs w:val="24"/>
        </w:rPr>
      </w:pPr>
    </w:p>
    <w:sectPr w:rsidR="00281388" w:rsidRPr="00CB2D5F" w:rsidSect="009906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6D5" w:rsidRDefault="002436D5" w:rsidP="00A93615">
      <w:r>
        <w:separator/>
      </w:r>
    </w:p>
  </w:endnote>
  <w:endnote w:type="continuationSeparator" w:id="0">
    <w:p w:rsidR="002436D5" w:rsidRDefault="002436D5" w:rsidP="00A93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6D5" w:rsidRDefault="002436D5" w:rsidP="00A93615">
      <w:r>
        <w:separator/>
      </w:r>
    </w:p>
  </w:footnote>
  <w:footnote w:type="continuationSeparator" w:id="0">
    <w:p w:rsidR="002436D5" w:rsidRDefault="002436D5" w:rsidP="00A936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2D5F"/>
    <w:rsid w:val="00001368"/>
    <w:rsid w:val="00003072"/>
    <w:rsid w:val="00004B89"/>
    <w:rsid w:val="0000549C"/>
    <w:rsid w:val="0000577E"/>
    <w:rsid w:val="00006269"/>
    <w:rsid w:val="00006BDE"/>
    <w:rsid w:val="00010C6D"/>
    <w:rsid w:val="00014417"/>
    <w:rsid w:val="00017938"/>
    <w:rsid w:val="00023A33"/>
    <w:rsid w:val="0002594A"/>
    <w:rsid w:val="000317AF"/>
    <w:rsid w:val="0003243D"/>
    <w:rsid w:val="000340FB"/>
    <w:rsid w:val="00035D31"/>
    <w:rsid w:val="00040165"/>
    <w:rsid w:val="00040EE3"/>
    <w:rsid w:val="00041D83"/>
    <w:rsid w:val="00047330"/>
    <w:rsid w:val="00052F93"/>
    <w:rsid w:val="00053D51"/>
    <w:rsid w:val="00056674"/>
    <w:rsid w:val="00060FE1"/>
    <w:rsid w:val="00071191"/>
    <w:rsid w:val="00071C26"/>
    <w:rsid w:val="0007295F"/>
    <w:rsid w:val="000730D8"/>
    <w:rsid w:val="000747AA"/>
    <w:rsid w:val="000754BB"/>
    <w:rsid w:val="0007657C"/>
    <w:rsid w:val="000834DB"/>
    <w:rsid w:val="000838FE"/>
    <w:rsid w:val="000842D4"/>
    <w:rsid w:val="00094ABB"/>
    <w:rsid w:val="00096FB9"/>
    <w:rsid w:val="000A0B8A"/>
    <w:rsid w:val="000A1938"/>
    <w:rsid w:val="000B5BFA"/>
    <w:rsid w:val="000C1AB3"/>
    <w:rsid w:val="000C4ED1"/>
    <w:rsid w:val="000D0258"/>
    <w:rsid w:val="000D0288"/>
    <w:rsid w:val="000D2524"/>
    <w:rsid w:val="000D6F88"/>
    <w:rsid w:val="000E1638"/>
    <w:rsid w:val="00102BED"/>
    <w:rsid w:val="00103005"/>
    <w:rsid w:val="00112E5B"/>
    <w:rsid w:val="0011754B"/>
    <w:rsid w:val="00121995"/>
    <w:rsid w:val="001534E9"/>
    <w:rsid w:val="00157A36"/>
    <w:rsid w:val="00164816"/>
    <w:rsid w:val="00165D90"/>
    <w:rsid w:val="0017029C"/>
    <w:rsid w:val="00170729"/>
    <w:rsid w:val="00171F9D"/>
    <w:rsid w:val="0017319E"/>
    <w:rsid w:val="00175B3D"/>
    <w:rsid w:val="00176C0C"/>
    <w:rsid w:val="00177811"/>
    <w:rsid w:val="001801FC"/>
    <w:rsid w:val="00180AE9"/>
    <w:rsid w:val="0018345D"/>
    <w:rsid w:val="00186BB3"/>
    <w:rsid w:val="00195A99"/>
    <w:rsid w:val="001A4FEF"/>
    <w:rsid w:val="001A7BFD"/>
    <w:rsid w:val="001B1DE0"/>
    <w:rsid w:val="001B273D"/>
    <w:rsid w:val="001C4F07"/>
    <w:rsid w:val="001C5670"/>
    <w:rsid w:val="001C65AE"/>
    <w:rsid w:val="001C6B5C"/>
    <w:rsid w:val="001D572A"/>
    <w:rsid w:val="001D6CB9"/>
    <w:rsid w:val="001D6DF6"/>
    <w:rsid w:val="001E1375"/>
    <w:rsid w:val="001E2CB0"/>
    <w:rsid w:val="001E53CB"/>
    <w:rsid w:val="001E5EED"/>
    <w:rsid w:val="001F09C6"/>
    <w:rsid w:val="001F399C"/>
    <w:rsid w:val="00203B5E"/>
    <w:rsid w:val="00204409"/>
    <w:rsid w:val="002056C6"/>
    <w:rsid w:val="002157BA"/>
    <w:rsid w:val="00215984"/>
    <w:rsid w:val="00215B95"/>
    <w:rsid w:val="00215BDB"/>
    <w:rsid w:val="002162BB"/>
    <w:rsid w:val="00227BAC"/>
    <w:rsid w:val="002365E4"/>
    <w:rsid w:val="00237530"/>
    <w:rsid w:val="0023786B"/>
    <w:rsid w:val="002436D5"/>
    <w:rsid w:val="00244DB6"/>
    <w:rsid w:val="002473C0"/>
    <w:rsid w:val="00250668"/>
    <w:rsid w:val="00251869"/>
    <w:rsid w:val="002630CA"/>
    <w:rsid w:val="00263515"/>
    <w:rsid w:val="0026555E"/>
    <w:rsid w:val="0027212E"/>
    <w:rsid w:val="0027433E"/>
    <w:rsid w:val="0027436B"/>
    <w:rsid w:val="0027457F"/>
    <w:rsid w:val="00281388"/>
    <w:rsid w:val="00287E71"/>
    <w:rsid w:val="00290D8B"/>
    <w:rsid w:val="0029383E"/>
    <w:rsid w:val="002958DA"/>
    <w:rsid w:val="00296D72"/>
    <w:rsid w:val="002A1DFB"/>
    <w:rsid w:val="002A68C4"/>
    <w:rsid w:val="002A73B3"/>
    <w:rsid w:val="002B0D23"/>
    <w:rsid w:val="002B3533"/>
    <w:rsid w:val="002B41ED"/>
    <w:rsid w:val="002B4631"/>
    <w:rsid w:val="002C4436"/>
    <w:rsid w:val="002C44D7"/>
    <w:rsid w:val="002D64B1"/>
    <w:rsid w:val="002D6EDE"/>
    <w:rsid w:val="002E554A"/>
    <w:rsid w:val="002F3532"/>
    <w:rsid w:val="002F4DB6"/>
    <w:rsid w:val="002F5919"/>
    <w:rsid w:val="003002E2"/>
    <w:rsid w:val="003014F7"/>
    <w:rsid w:val="00310CFF"/>
    <w:rsid w:val="00311FAE"/>
    <w:rsid w:val="00312B9A"/>
    <w:rsid w:val="0031468E"/>
    <w:rsid w:val="0031530B"/>
    <w:rsid w:val="00321309"/>
    <w:rsid w:val="00321590"/>
    <w:rsid w:val="00324648"/>
    <w:rsid w:val="00327855"/>
    <w:rsid w:val="003342DC"/>
    <w:rsid w:val="003359B2"/>
    <w:rsid w:val="00340ADE"/>
    <w:rsid w:val="00340E4F"/>
    <w:rsid w:val="00343510"/>
    <w:rsid w:val="0034384A"/>
    <w:rsid w:val="00347AD8"/>
    <w:rsid w:val="003523AC"/>
    <w:rsid w:val="003542C2"/>
    <w:rsid w:val="003545E1"/>
    <w:rsid w:val="00355F78"/>
    <w:rsid w:val="00356D9B"/>
    <w:rsid w:val="003610E9"/>
    <w:rsid w:val="00365199"/>
    <w:rsid w:val="003657F1"/>
    <w:rsid w:val="00367EB4"/>
    <w:rsid w:val="0037360F"/>
    <w:rsid w:val="003761F4"/>
    <w:rsid w:val="00382515"/>
    <w:rsid w:val="00391605"/>
    <w:rsid w:val="00391E16"/>
    <w:rsid w:val="00392DF7"/>
    <w:rsid w:val="003954DB"/>
    <w:rsid w:val="003A16B2"/>
    <w:rsid w:val="003A48DD"/>
    <w:rsid w:val="003A56C9"/>
    <w:rsid w:val="003A6885"/>
    <w:rsid w:val="003A7FDB"/>
    <w:rsid w:val="003B02FF"/>
    <w:rsid w:val="003B2F01"/>
    <w:rsid w:val="003C1CD8"/>
    <w:rsid w:val="003C1FEC"/>
    <w:rsid w:val="003C3167"/>
    <w:rsid w:val="003C5D7E"/>
    <w:rsid w:val="003D0B21"/>
    <w:rsid w:val="003D1448"/>
    <w:rsid w:val="003D37CD"/>
    <w:rsid w:val="003D5C7E"/>
    <w:rsid w:val="003E23BF"/>
    <w:rsid w:val="003F21AE"/>
    <w:rsid w:val="003F3477"/>
    <w:rsid w:val="003F3B74"/>
    <w:rsid w:val="003F70F8"/>
    <w:rsid w:val="004026CA"/>
    <w:rsid w:val="004115B5"/>
    <w:rsid w:val="00411BAE"/>
    <w:rsid w:val="00421022"/>
    <w:rsid w:val="004254F0"/>
    <w:rsid w:val="00425860"/>
    <w:rsid w:val="004347AA"/>
    <w:rsid w:val="00435324"/>
    <w:rsid w:val="00440731"/>
    <w:rsid w:val="00440B2F"/>
    <w:rsid w:val="00442A1B"/>
    <w:rsid w:val="00445ABC"/>
    <w:rsid w:val="00447285"/>
    <w:rsid w:val="00447C93"/>
    <w:rsid w:val="00450AD5"/>
    <w:rsid w:val="00453B22"/>
    <w:rsid w:val="004617EF"/>
    <w:rsid w:val="0046191A"/>
    <w:rsid w:val="00463A00"/>
    <w:rsid w:val="004679CA"/>
    <w:rsid w:val="00471E19"/>
    <w:rsid w:val="00475D36"/>
    <w:rsid w:val="0048261A"/>
    <w:rsid w:val="00486C7E"/>
    <w:rsid w:val="00487665"/>
    <w:rsid w:val="004904C6"/>
    <w:rsid w:val="004933CE"/>
    <w:rsid w:val="004970C8"/>
    <w:rsid w:val="004A1377"/>
    <w:rsid w:val="004A4ABB"/>
    <w:rsid w:val="004A5D43"/>
    <w:rsid w:val="004B06CA"/>
    <w:rsid w:val="004B0D76"/>
    <w:rsid w:val="004B5098"/>
    <w:rsid w:val="004B7803"/>
    <w:rsid w:val="004C1D19"/>
    <w:rsid w:val="004C7A5A"/>
    <w:rsid w:val="004D3189"/>
    <w:rsid w:val="004D5A51"/>
    <w:rsid w:val="004E1A0D"/>
    <w:rsid w:val="004E4FAE"/>
    <w:rsid w:val="004E6303"/>
    <w:rsid w:val="004F5E74"/>
    <w:rsid w:val="00505C04"/>
    <w:rsid w:val="00506771"/>
    <w:rsid w:val="005222C4"/>
    <w:rsid w:val="00522F20"/>
    <w:rsid w:val="00525FCF"/>
    <w:rsid w:val="005315F2"/>
    <w:rsid w:val="00537362"/>
    <w:rsid w:val="00540DB3"/>
    <w:rsid w:val="00543B91"/>
    <w:rsid w:val="00545EAC"/>
    <w:rsid w:val="00550B9E"/>
    <w:rsid w:val="005534BA"/>
    <w:rsid w:val="00557397"/>
    <w:rsid w:val="00564F6A"/>
    <w:rsid w:val="00565F0D"/>
    <w:rsid w:val="0057178E"/>
    <w:rsid w:val="00572B39"/>
    <w:rsid w:val="00577FED"/>
    <w:rsid w:val="00585C26"/>
    <w:rsid w:val="0059774A"/>
    <w:rsid w:val="005A26C7"/>
    <w:rsid w:val="005A2EC7"/>
    <w:rsid w:val="005A3283"/>
    <w:rsid w:val="005A3378"/>
    <w:rsid w:val="005A433E"/>
    <w:rsid w:val="005A7030"/>
    <w:rsid w:val="005B051C"/>
    <w:rsid w:val="005B1AC5"/>
    <w:rsid w:val="005B6E27"/>
    <w:rsid w:val="005C02E8"/>
    <w:rsid w:val="005C1FBF"/>
    <w:rsid w:val="005C4E5D"/>
    <w:rsid w:val="005C5CE7"/>
    <w:rsid w:val="005C5DFE"/>
    <w:rsid w:val="005C6BBF"/>
    <w:rsid w:val="005D0441"/>
    <w:rsid w:val="005D19D8"/>
    <w:rsid w:val="005D1F78"/>
    <w:rsid w:val="005D22B4"/>
    <w:rsid w:val="005D28B0"/>
    <w:rsid w:val="005E38BC"/>
    <w:rsid w:val="005E631E"/>
    <w:rsid w:val="005E7931"/>
    <w:rsid w:val="005F0E69"/>
    <w:rsid w:val="005F1CE3"/>
    <w:rsid w:val="005F45FF"/>
    <w:rsid w:val="006014AC"/>
    <w:rsid w:val="006017EF"/>
    <w:rsid w:val="006030AE"/>
    <w:rsid w:val="00605E31"/>
    <w:rsid w:val="00606704"/>
    <w:rsid w:val="00610A9E"/>
    <w:rsid w:val="00611839"/>
    <w:rsid w:val="00617D20"/>
    <w:rsid w:val="00625D50"/>
    <w:rsid w:val="00630F70"/>
    <w:rsid w:val="00633CA7"/>
    <w:rsid w:val="0063620C"/>
    <w:rsid w:val="00636856"/>
    <w:rsid w:val="006370CC"/>
    <w:rsid w:val="006404E5"/>
    <w:rsid w:val="00641790"/>
    <w:rsid w:val="00644C18"/>
    <w:rsid w:val="006518B7"/>
    <w:rsid w:val="006579D1"/>
    <w:rsid w:val="0066534E"/>
    <w:rsid w:val="006725BB"/>
    <w:rsid w:val="00682A22"/>
    <w:rsid w:val="00682B0D"/>
    <w:rsid w:val="00691BC4"/>
    <w:rsid w:val="00691C54"/>
    <w:rsid w:val="00693F1A"/>
    <w:rsid w:val="006A0583"/>
    <w:rsid w:val="006A230A"/>
    <w:rsid w:val="006A4B5C"/>
    <w:rsid w:val="006A767A"/>
    <w:rsid w:val="006C00EF"/>
    <w:rsid w:val="006C2A8A"/>
    <w:rsid w:val="006C4082"/>
    <w:rsid w:val="006C776F"/>
    <w:rsid w:val="006C7EFE"/>
    <w:rsid w:val="006D0CFC"/>
    <w:rsid w:val="006D456F"/>
    <w:rsid w:val="006D4CFC"/>
    <w:rsid w:val="006D4D2A"/>
    <w:rsid w:val="006D61F3"/>
    <w:rsid w:val="006D7135"/>
    <w:rsid w:val="006D79AA"/>
    <w:rsid w:val="006E5481"/>
    <w:rsid w:val="006F0FB6"/>
    <w:rsid w:val="006F7C72"/>
    <w:rsid w:val="00703052"/>
    <w:rsid w:val="00704904"/>
    <w:rsid w:val="0071118D"/>
    <w:rsid w:val="007120F0"/>
    <w:rsid w:val="00714A75"/>
    <w:rsid w:val="007153DD"/>
    <w:rsid w:val="00716B8A"/>
    <w:rsid w:val="00720289"/>
    <w:rsid w:val="007230D0"/>
    <w:rsid w:val="00723B5B"/>
    <w:rsid w:val="00724191"/>
    <w:rsid w:val="007309B7"/>
    <w:rsid w:val="00731D48"/>
    <w:rsid w:val="007332D0"/>
    <w:rsid w:val="0073352C"/>
    <w:rsid w:val="00740DF4"/>
    <w:rsid w:val="007411FE"/>
    <w:rsid w:val="00742576"/>
    <w:rsid w:val="00745FF4"/>
    <w:rsid w:val="0075170C"/>
    <w:rsid w:val="0075411D"/>
    <w:rsid w:val="00754906"/>
    <w:rsid w:val="007550C9"/>
    <w:rsid w:val="0076022C"/>
    <w:rsid w:val="00763CA5"/>
    <w:rsid w:val="0076772B"/>
    <w:rsid w:val="007711FC"/>
    <w:rsid w:val="007755F4"/>
    <w:rsid w:val="007800A2"/>
    <w:rsid w:val="007818DD"/>
    <w:rsid w:val="0078202C"/>
    <w:rsid w:val="007836D6"/>
    <w:rsid w:val="0079517D"/>
    <w:rsid w:val="00797283"/>
    <w:rsid w:val="007A374F"/>
    <w:rsid w:val="007A4116"/>
    <w:rsid w:val="007A74EC"/>
    <w:rsid w:val="007B0D20"/>
    <w:rsid w:val="007B45BE"/>
    <w:rsid w:val="007B5FA1"/>
    <w:rsid w:val="007C4B53"/>
    <w:rsid w:val="007D2A06"/>
    <w:rsid w:val="007D4D75"/>
    <w:rsid w:val="007D4E23"/>
    <w:rsid w:val="007D5EF8"/>
    <w:rsid w:val="007D68F0"/>
    <w:rsid w:val="007E3D5E"/>
    <w:rsid w:val="007E570D"/>
    <w:rsid w:val="007E6737"/>
    <w:rsid w:val="007F3678"/>
    <w:rsid w:val="007F48A3"/>
    <w:rsid w:val="007F514C"/>
    <w:rsid w:val="007F6EB0"/>
    <w:rsid w:val="00800A4F"/>
    <w:rsid w:val="00805A22"/>
    <w:rsid w:val="00810753"/>
    <w:rsid w:val="0081192B"/>
    <w:rsid w:val="00814867"/>
    <w:rsid w:val="00816141"/>
    <w:rsid w:val="00820866"/>
    <w:rsid w:val="00820BC0"/>
    <w:rsid w:val="00830F6D"/>
    <w:rsid w:val="00831537"/>
    <w:rsid w:val="00831F79"/>
    <w:rsid w:val="00836660"/>
    <w:rsid w:val="00840E05"/>
    <w:rsid w:val="00843FCE"/>
    <w:rsid w:val="00846B34"/>
    <w:rsid w:val="00847C7D"/>
    <w:rsid w:val="008513F7"/>
    <w:rsid w:val="00851710"/>
    <w:rsid w:val="0085248B"/>
    <w:rsid w:val="008527A7"/>
    <w:rsid w:val="00853365"/>
    <w:rsid w:val="00856051"/>
    <w:rsid w:val="008579A8"/>
    <w:rsid w:val="0086014B"/>
    <w:rsid w:val="0086118D"/>
    <w:rsid w:val="0086336E"/>
    <w:rsid w:val="008655B1"/>
    <w:rsid w:val="00874E50"/>
    <w:rsid w:val="00882D1C"/>
    <w:rsid w:val="00883A38"/>
    <w:rsid w:val="008924F8"/>
    <w:rsid w:val="008925EF"/>
    <w:rsid w:val="00892A04"/>
    <w:rsid w:val="00892A34"/>
    <w:rsid w:val="00892F59"/>
    <w:rsid w:val="00893648"/>
    <w:rsid w:val="0089418C"/>
    <w:rsid w:val="00896789"/>
    <w:rsid w:val="008971D6"/>
    <w:rsid w:val="008B4216"/>
    <w:rsid w:val="008C38B8"/>
    <w:rsid w:val="008C6628"/>
    <w:rsid w:val="008E477A"/>
    <w:rsid w:val="008E481D"/>
    <w:rsid w:val="008E4B59"/>
    <w:rsid w:val="008F780C"/>
    <w:rsid w:val="008F78F2"/>
    <w:rsid w:val="008F7E7A"/>
    <w:rsid w:val="00903189"/>
    <w:rsid w:val="00906407"/>
    <w:rsid w:val="009074A0"/>
    <w:rsid w:val="0091742E"/>
    <w:rsid w:val="00941CCB"/>
    <w:rsid w:val="00947E61"/>
    <w:rsid w:val="0095376B"/>
    <w:rsid w:val="00955BF2"/>
    <w:rsid w:val="00957062"/>
    <w:rsid w:val="00962980"/>
    <w:rsid w:val="009633A3"/>
    <w:rsid w:val="009655C3"/>
    <w:rsid w:val="00972A70"/>
    <w:rsid w:val="00972BEC"/>
    <w:rsid w:val="00973FFA"/>
    <w:rsid w:val="0098258F"/>
    <w:rsid w:val="00984048"/>
    <w:rsid w:val="00985202"/>
    <w:rsid w:val="0098782F"/>
    <w:rsid w:val="00990680"/>
    <w:rsid w:val="00990712"/>
    <w:rsid w:val="009942DD"/>
    <w:rsid w:val="00994331"/>
    <w:rsid w:val="00994806"/>
    <w:rsid w:val="00995669"/>
    <w:rsid w:val="009A433F"/>
    <w:rsid w:val="009B3E29"/>
    <w:rsid w:val="009B56BA"/>
    <w:rsid w:val="009C36C3"/>
    <w:rsid w:val="009C795B"/>
    <w:rsid w:val="009C7FC3"/>
    <w:rsid w:val="009D0283"/>
    <w:rsid w:val="009D0790"/>
    <w:rsid w:val="009D137A"/>
    <w:rsid w:val="009D6D9E"/>
    <w:rsid w:val="009E031C"/>
    <w:rsid w:val="009E1B5B"/>
    <w:rsid w:val="009F06BA"/>
    <w:rsid w:val="009F1090"/>
    <w:rsid w:val="009F39C9"/>
    <w:rsid w:val="009F52D3"/>
    <w:rsid w:val="00A00955"/>
    <w:rsid w:val="00A00C9E"/>
    <w:rsid w:val="00A0485A"/>
    <w:rsid w:val="00A04A50"/>
    <w:rsid w:val="00A07891"/>
    <w:rsid w:val="00A14940"/>
    <w:rsid w:val="00A201CB"/>
    <w:rsid w:val="00A20CE2"/>
    <w:rsid w:val="00A258D3"/>
    <w:rsid w:val="00A27218"/>
    <w:rsid w:val="00A276F7"/>
    <w:rsid w:val="00A3357D"/>
    <w:rsid w:val="00A3675E"/>
    <w:rsid w:val="00A4043F"/>
    <w:rsid w:val="00A40E59"/>
    <w:rsid w:val="00A40F14"/>
    <w:rsid w:val="00A429C0"/>
    <w:rsid w:val="00A441F3"/>
    <w:rsid w:val="00A458C0"/>
    <w:rsid w:val="00A469E3"/>
    <w:rsid w:val="00A50DD8"/>
    <w:rsid w:val="00A514F5"/>
    <w:rsid w:val="00A565F8"/>
    <w:rsid w:val="00A65E4C"/>
    <w:rsid w:val="00A668B0"/>
    <w:rsid w:val="00A73154"/>
    <w:rsid w:val="00A77073"/>
    <w:rsid w:val="00A813E7"/>
    <w:rsid w:val="00A84895"/>
    <w:rsid w:val="00A85451"/>
    <w:rsid w:val="00A86D84"/>
    <w:rsid w:val="00A910B0"/>
    <w:rsid w:val="00A93615"/>
    <w:rsid w:val="00A945F0"/>
    <w:rsid w:val="00A95847"/>
    <w:rsid w:val="00A97C16"/>
    <w:rsid w:val="00AA0347"/>
    <w:rsid w:val="00AA46E5"/>
    <w:rsid w:val="00AB472D"/>
    <w:rsid w:val="00AB6A06"/>
    <w:rsid w:val="00AB6B69"/>
    <w:rsid w:val="00AC0290"/>
    <w:rsid w:val="00AC0354"/>
    <w:rsid w:val="00AC1E09"/>
    <w:rsid w:val="00AD2DD7"/>
    <w:rsid w:val="00AE2DA3"/>
    <w:rsid w:val="00AE31B6"/>
    <w:rsid w:val="00AF209A"/>
    <w:rsid w:val="00AF33B3"/>
    <w:rsid w:val="00AF3AD0"/>
    <w:rsid w:val="00AF7C49"/>
    <w:rsid w:val="00B0464C"/>
    <w:rsid w:val="00B062DC"/>
    <w:rsid w:val="00B06EF6"/>
    <w:rsid w:val="00B07395"/>
    <w:rsid w:val="00B11D08"/>
    <w:rsid w:val="00B12BC3"/>
    <w:rsid w:val="00B14999"/>
    <w:rsid w:val="00B17C68"/>
    <w:rsid w:val="00B20DF9"/>
    <w:rsid w:val="00B21507"/>
    <w:rsid w:val="00B21B2C"/>
    <w:rsid w:val="00B2330D"/>
    <w:rsid w:val="00B23FFA"/>
    <w:rsid w:val="00B275B8"/>
    <w:rsid w:val="00B324CB"/>
    <w:rsid w:val="00B32E99"/>
    <w:rsid w:val="00B334C2"/>
    <w:rsid w:val="00B344B5"/>
    <w:rsid w:val="00B35A38"/>
    <w:rsid w:val="00B36CD7"/>
    <w:rsid w:val="00B40F96"/>
    <w:rsid w:val="00B4401F"/>
    <w:rsid w:val="00B4778E"/>
    <w:rsid w:val="00B510A3"/>
    <w:rsid w:val="00B5396C"/>
    <w:rsid w:val="00B5418D"/>
    <w:rsid w:val="00B6390F"/>
    <w:rsid w:val="00B666C0"/>
    <w:rsid w:val="00B73481"/>
    <w:rsid w:val="00B74F20"/>
    <w:rsid w:val="00B815CA"/>
    <w:rsid w:val="00B81EF0"/>
    <w:rsid w:val="00B83756"/>
    <w:rsid w:val="00B848C8"/>
    <w:rsid w:val="00B8604E"/>
    <w:rsid w:val="00B9434D"/>
    <w:rsid w:val="00B944A7"/>
    <w:rsid w:val="00BA4444"/>
    <w:rsid w:val="00BA45C9"/>
    <w:rsid w:val="00BA6254"/>
    <w:rsid w:val="00BA66B3"/>
    <w:rsid w:val="00BB1057"/>
    <w:rsid w:val="00BB4AEA"/>
    <w:rsid w:val="00BB7682"/>
    <w:rsid w:val="00BC414F"/>
    <w:rsid w:val="00BC46C6"/>
    <w:rsid w:val="00BC4E0B"/>
    <w:rsid w:val="00BD379A"/>
    <w:rsid w:val="00BE171C"/>
    <w:rsid w:val="00BE1C67"/>
    <w:rsid w:val="00BE1C9E"/>
    <w:rsid w:val="00BE4780"/>
    <w:rsid w:val="00BE69F3"/>
    <w:rsid w:val="00BF38BE"/>
    <w:rsid w:val="00BF649D"/>
    <w:rsid w:val="00C001C0"/>
    <w:rsid w:val="00C02D1E"/>
    <w:rsid w:val="00C05215"/>
    <w:rsid w:val="00C110D1"/>
    <w:rsid w:val="00C112DD"/>
    <w:rsid w:val="00C20738"/>
    <w:rsid w:val="00C24367"/>
    <w:rsid w:val="00C246E4"/>
    <w:rsid w:val="00C2751D"/>
    <w:rsid w:val="00C27EB7"/>
    <w:rsid w:val="00C33091"/>
    <w:rsid w:val="00C34A2D"/>
    <w:rsid w:val="00C37FFD"/>
    <w:rsid w:val="00C40C18"/>
    <w:rsid w:val="00C40F5E"/>
    <w:rsid w:val="00C43F29"/>
    <w:rsid w:val="00C4482E"/>
    <w:rsid w:val="00C471FE"/>
    <w:rsid w:val="00C478B8"/>
    <w:rsid w:val="00C47DF9"/>
    <w:rsid w:val="00C50601"/>
    <w:rsid w:val="00C5119E"/>
    <w:rsid w:val="00C519AD"/>
    <w:rsid w:val="00C53602"/>
    <w:rsid w:val="00C6407F"/>
    <w:rsid w:val="00C67C4E"/>
    <w:rsid w:val="00C71CF3"/>
    <w:rsid w:val="00C71D32"/>
    <w:rsid w:val="00C74E2E"/>
    <w:rsid w:val="00C7733F"/>
    <w:rsid w:val="00C8688C"/>
    <w:rsid w:val="00C87561"/>
    <w:rsid w:val="00C91803"/>
    <w:rsid w:val="00CA3BC4"/>
    <w:rsid w:val="00CA54C3"/>
    <w:rsid w:val="00CB0B87"/>
    <w:rsid w:val="00CB164C"/>
    <w:rsid w:val="00CB294D"/>
    <w:rsid w:val="00CB2D5F"/>
    <w:rsid w:val="00CB7841"/>
    <w:rsid w:val="00CC593F"/>
    <w:rsid w:val="00CC68BE"/>
    <w:rsid w:val="00CC6ECE"/>
    <w:rsid w:val="00CD632B"/>
    <w:rsid w:val="00CD7D5F"/>
    <w:rsid w:val="00CE008A"/>
    <w:rsid w:val="00CE6CBF"/>
    <w:rsid w:val="00CF2836"/>
    <w:rsid w:val="00CF6B5C"/>
    <w:rsid w:val="00CF7909"/>
    <w:rsid w:val="00D01C3E"/>
    <w:rsid w:val="00D059AD"/>
    <w:rsid w:val="00D172E8"/>
    <w:rsid w:val="00D173C8"/>
    <w:rsid w:val="00D214AF"/>
    <w:rsid w:val="00D22904"/>
    <w:rsid w:val="00D25785"/>
    <w:rsid w:val="00D25A48"/>
    <w:rsid w:val="00D26F36"/>
    <w:rsid w:val="00D326C3"/>
    <w:rsid w:val="00D3299F"/>
    <w:rsid w:val="00D32CC7"/>
    <w:rsid w:val="00D3406E"/>
    <w:rsid w:val="00D4335F"/>
    <w:rsid w:val="00D4518D"/>
    <w:rsid w:val="00D45E6C"/>
    <w:rsid w:val="00D51318"/>
    <w:rsid w:val="00D65ED9"/>
    <w:rsid w:val="00D70333"/>
    <w:rsid w:val="00D70CF0"/>
    <w:rsid w:val="00D71338"/>
    <w:rsid w:val="00D72BA0"/>
    <w:rsid w:val="00D75397"/>
    <w:rsid w:val="00D76FF3"/>
    <w:rsid w:val="00D842EE"/>
    <w:rsid w:val="00D84BE3"/>
    <w:rsid w:val="00D86047"/>
    <w:rsid w:val="00D86862"/>
    <w:rsid w:val="00D90EE1"/>
    <w:rsid w:val="00D93AF6"/>
    <w:rsid w:val="00D94C03"/>
    <w:rsid w:val="00D96351"/>
    <w:rsid w:val="00DB22F0"/>
    <w:rsid w:val="00DB2712"/>
    <w:rsid w:val="00DC0FEE"/>
    <w:rsid w:val="00DD114B"/>
    <w:rsid w:val="00DD6DCF"/>
    <w:rsid w:val="00DD745C"/>
    <w:rsid w:val="00DE4E40"/>
    <w:rsid w:val="00DE62E8"/>
    <w:rsid w:val="00DF0F45"/>
    <w:rsid w:val="00DF4840"/>
    <w:rsid w:val="00DF5257"/>
    <w:rsid w:val="00E00967"/>
    <w:rsid w:val="00E07F0B"/>
    <w:rsid w:val="00E100BC"/>
    <w:rsid w:val="00E10430"/>
    <w:rsid w:val="00E10E8B"/>
    <w:rsid w:val="00E118CA"/>
    <w:rsid w:val="00E11DBD"/>
    <w:rsid w:val="00E12096"/>
    <w:rsid w:val="00E126E4"/>
    <w:rsid w:val="00E13599"/>
    <w:rsid w:val="00E143F8"/>
    <w:rsid w:val="00E15442"/>
    <w:rsid w:val="00E16ACB"/>
    <w:rsid w:val="00E30CA5"/>
    <w:rsid w:val="00E351A6"/>
    <w:rsid w:val="00E354AF"/>
    <w:rsid w:val="00E417A7"/>
    <w:rsid w:val="00E45D7C"/>
    <w:rsid w:val="00E4614F"/>
    <w:rsid w:val="00E50530"/>
    <w:rsid w:val="00E53E06"/>
    <w:rsid w:val="00E54994"/>
    <w:rsid w:val="00E61A02"/>
    <w:rsid w:val="00E620C8"/>
    <w:rsid w:val="00E62146"/>
    <w:rsid w:val="00E623A4"/>
    <w:rsid w:val="00E63F9E"/>
    <w:rsid w:val="00E6565A"/>
    <w:rsid w:val="00E71982"/>
    <w:rsid w:val="00E71987"/>
    <w:rsid w:val="00E73AA9"/>
    <w:rsid w:val="00E73BDB"/>
    <w:rsid w:val="00E764D7"/>
    <w:rsid w:val="00E76A40"/>
    <w:rsid w:val="00E76C97"/>
    <w:rsid w:val="00E77FC5"/>
    <w:rsid w:val="00E80D3F"/>
    <w:rsid w:val="00E84D67"/>
    <w:rsid w:val="00E8588B"/>
    <w:rsid w:val="00E85A52"/>
    <w:rsid w:val="00E86CBB"/>
    <w:rsid w:val="00E91D3E"/>
    <w:rsid w:val="00E93D08"/>
    <w:rsid w:val="00E93E95"/>
    <w:rsid w:val="00E94C2F"/>
    <w:rsid w:val="00E956B3"/>
    <w:rsid w:val="00EA21FA"/>
    <w:rsid w:val="00EB07BB"/>
    <w:rsid w:val="00EB0B13"/>
    <w:rsid w:val="00EB304E"/>
    <w:rsid w:val="00EB5179"/>
    <w:rsid w:val="00EB7BEC"/>
    <w:rsid w:val="00EC10E2"/>
    <w:rsid w:val="00EC33EC"/>
    <w:rsid w:val="00EC5656"/>
    <w:rsid w:val="00ED2861"/>
    <w:rsid w:val="00ED3271"/>
    <w:rsid w:val="00ED5D4B"/>
    <w:rsid w:val="00EE6B3D"/>
    <w:rsid w:val="00EF04BE"/>
    <w:rsid w:val="00EF1419"/>
    <w:rsid w:val="00EF1F14"/>
    <w:rsid w:val="00EF6734"/>
    <w:rsid w:val="00F040F7"/>
    <w:rsid w:val="00F05B64"/>
    <w:rsid w:val="00F06E0F"/>
    <w:rsid w:val="00F101BA"/>
    <w:rsid w:val="00F11A19"/>
    <w:rsid w:val="00F17467"/>
    <w:rsid w:val="00F30F49"/>
    <w:rsid w:val="00F326E7"/>
    <w:rsid w:val="00F352A7"/>
    <w:rsid w:val="00F360DA"/>
    <w:rsid w:val="00F36325"/>
    <w:rsid w:val="00F36469"/>
    <w:rsid w:val="00F461D5"/>
    <w:rsid w:val="00F570AF"/>
    <w:rsid w:val="00F60068"/>
    <w:rsid w:val="00F63E85"/>
    <w:rsid w:val="00F669A3"/>
    <w:rsid w:val="00F67B3A"/>
    <w:rsid w:val="00F71884"/>
    <w:rsid w:val="00F72B28"/>
    <w:rsid w:val="00F75536"/>
    <w:rsid w:val="00F77E2E"/>
    <w:rsid w:val="00F81A20"/>
    <w:rsid w:val="00F8585F"/>
    <w:rsid w:val="00F876C6"/>
    <w:rsid w:val="00F90CC1"/>
    <w:rsid w:val="00F956BC"/>
    <w:rsid w:val="00F9631F"/>
    <w:rsid w:val="00F96EA4"/>
    <w:rsid w:val="00FA26BC"/>
    <w:rsid w:val="00FA2DC0"/>
    <w:rsid w:val="00FA52D6"/>
    <w:rsid w:val="00FA5702"/>
    <w:rsid w:val="00FA611F"/>
    <w:rsid w:val="00FA6A13"/>
    <w:rsid w:val="00FA7D3F"/>
    <w:rsid w:val="00FB48D3"/>
    <w:rsid w:val="00FB5181"/>
    <w:rsid w:val="00FB6420"/>
    <w:rsid w:val="00FB6659"/>
    <w:rsid w:val="00FC2A31"/>
    <w:rsid w:val="00FC5BA6"/>
    <w:rsid w:val="00FC7BEE"/>
    <w:rsid w:val="00FD29C2"/>
    <w:rsid w:val="00FD6B66"/>
    <w:rsid w:val="00FF039D"/>
    <w:rsid w:val="00FF21F9"/>
    <w:rsid w:val="00FF6A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6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615"/>
    <w:rPr>
      <w:sz w:val="18"/>
      <w:szCs w:val="18"/>
    </w:rPr>
  </w:style>
  <w:style w:type="paragraph" w:styleId="a4">
    <w:name w:val="footer"/>
    <w:basedOn w:val="a"/>
    <w:link w:val="Char0"/>
    <w:uiPriority w:val="99"/>
    <w:unhideWhenUsed/>
    <w:rsid w:val="00A93615"/>
    <w:pPr>
      <w:tabs>
        <w:tab w:val="center" w:pos="4153"/>
        <w:tab w:val="right" w:pos="8306"/>
      </w:tabs>
      <w:snapToGrid w:val="0"/>
      <w:jc w:val="left"/>
    </w:pPr>
    <w:rPr>
      <w:sz w:val="18"/>
      <w:szCs w:val="18"/>
    </w:rPr>
  </w:style>
  <w:style w:type="character" w:customStyle="1" w:styleId="Char0">
    <w:name w:val="页脚 Char"/>
    <w:basedOn w:val="a0"/>
    <w:link w:val="a4"/>
    <w:uiPriority w:val="99"/>
    <w:rsid w:val="00A93615"/>
    <w:rPr>
      <w:sz w:val="18"/>
      <w:szCs w:val="18"/>
    </w:rPr>
  </w:style>
  <w:style w:type="paragraph" w:styleId="a5">
    <w:name w:val="Balloon Text"/>
    <w:basedOn w:val="a"/>
    <w:link w:val="Char1"/>
    <w:uiPriority w:val="99"/>
    <w:semiHidden/>
    <w:unhideWhenUsed/>
    <w:rsid w:val="00A93615"/>
    <w:rPr>
      <w:sz w:val="18"/>
      <w:szCs w:val="18"/>
    </w:rPr>
  </w:style>
  <w:style w:type="character" w:customStyle="1" w:styleId="Char1">
    <w:name w:val="批注框文本 Char"/>
    <w:basedOn w:val="a0"/>
    <w:link w:val="a5"/>
    <w:uiPriority w:val="99"/>
    <w:semiHidden/>
    <w:rsid w:val="00A93615"/>
    <w:rPr>
      <w:sz w:val="18"/>
      <w:szCs w:val="18"/>
    </w:rPr>
  </w:style>
  <w:style w:type="character" w:styleId="a6">
    <w:name w:val="annotation reference"/>
    <w:basedOn w:val="a0"/>
    <w:uiPriority w:val="99"/>
    <w:semiHidden/>
    <w:unhideWhenUsed/>
    <w:rsid w:val="00D3299F"/>
    <w:rPr>
      <w:sz w:val="21"/>
      <w:szCs w:val="21"/>
    </w:rPr>
  </w:style>
  <w:style w:type="paragraph" w:styleId="a7">
    <w:name w:val="annotation text"/>
    <w:basedOn w:val="a"/>
    <w:link w:val="Char2"/>
    <w:uiPriority w:val="99"/>
    <w:semiHidden/>
    <w:unhideWhenUsed/>
    <w:rsid w:val="00D3299F"/>
    <w:pPr>
      <w:jc w:val="left"/>
    </w:pPr>
  </w:style>
  <w:style w:type="character" w:customStyle="1" w:styleId="Char2">
    <w:name w:val="批注文字 Char"/>
    <w:basedOn w:val="a0"/>
    <w:link w:val="a7"/>
    <w:uiPriority w:val="99"/>
    <w:semiHidden/>
    <w:rsid w:val="00D3299F"/>
  </w:style>
  <w:style w:type="paragraph" w:styleId="a8">
    <w:name w:val="annotation subject"/>
    <w:basedOn w:val="a7"/>
    <w:next w:val="a7"/>
    <w:link w:val="Char3"/>
    <w:uiPriority w:val="99"/>
    <w:semiHidden/>
    <w:unhideWhenUsed/>
    <w:rsid w:val="00D3299F"/>
    <w:rPr>
      <w:b/>
      <w:bCs/>
    </w:rPr>
  </w:style>
  <w:style w:type="character" w:customStyle="1" w:styleId="Char3">
    <w:name w:val="批注主题 Char"/>
    <w:basedOn w:val="Char2"/>
    <w:link w:val="a8"/>
    <w:uiPriority w:val="99"/>
    <w:semiHidden/>
    <w:rsid w:val="00D3299F"/>
    <w:rPr>
      <w:b/>
      <w:bCs/>
    </w:rPr>
  </w:style>
</w:styles>
</file>

<file path=word/webSettings.xml><?xml version="1.0" encoding="utf-8"?>
<w:webSettings xmlns:r="http://schemas.openxmlformats.org/officeDocument/2006/relationships" xmlns:w="http://schemas.openxmlformats.org/wordprocessingml/2006/main">
  <w:divs>
    <w:div w:id="64435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953</Characters>
  <Application>Microsoft Office Word</Application>
  <DocSecurity>4</DocSecurity>
  <Lines>7</Lines>
  <Paragraphs>2</Paragraphs>
  <ScaleCrop>false</ScaleCrop>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闫静</dc:creator>
  <cp:keywords/>
  <dc:description/>
  <cp:lastModifiedBy>ZHONGM</cp:lastModifiedBy>
  <cp:revision>2</cp:revision>
  <cp:lastPrinted>2025-12-31T06:58:00Z</cp:lastPrinted>
  <dcterms:created xsi:type="dcterms:W3CDTF">2025-12-31T16:01:00Z</dcterms:created>
  <dcterms:modified xsi:type="dcterms:W3CDTF">2025-12-31T16:01:00Z</dcterms:modified>
</cp:coreProperties>
</file>