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769" w:rsidRPr="00697FFD" w:rsidRDefault="002A2769" w:rsidP="002A2769">
      <w:pPr>
        <w:spacing w:line="360" w:lineRule="auto"/>
        <w:jc w:val="center"/>
        <w:rPr>
          <w:rFonts w:ascii="宋体" w:hAnsi="宋体" w:cs="宋体"/>
          <w:kern w:val="0"/>
          <w:sz w:val="24"/>
        </w:rPr>
      </w:pPr>
      <w:r w:rsidRPr="00697FFD">
        <w:rPr>
          <w:rFonts w:ascii="宋体" w:hAnsi="宋体" w:cs="宋体" w:hint="eastAsia"/>
          <w:kern w:val="0"/>
          <w:sz w:val="24"/>
        </w:rPr>
        <w:t>景顺长城基金管理有限公司</w:t>
      </w:r>
    </w:p>
    <w:p w:rsidR="002A2769" w:rsidRPr="00697FFD" w:rsidRDefault="002A2769" w:rsidP="002A2769">
      <w:pPr>
        <w:spacing w:line="360" w:lineRule="auto"/>
        <w:jc w:val="center"/>
        <w:rPr>
          <w:rFonts w:ascii="宋体" w:hAnsi="宋体" w:cs="宋体"/>
          <w:kern w:val="0"/>
          <w:sz w:val="24"/>
        </w:rPr>
      </w:pPr>
      <w:bookmarkStart w:id="0" w:name="_GoBack"/>
      <w:r w:rsidRPr="00697FFD">
        <w:rPr>
          <w:rFonts w:ascii="宋体" w:hAnsi="宋体" w:cs="宋体" w:hint="eastAsia"/>
          <w:kern w:val="0"/>
          <w:sz w:val="24"/>
        </w:rPr>
        <w:t>关于旗下基金投资</w:t>
      </w:r>
      <w:r w:rsidR="003F4388" w:rsidRPr="003F4388">
        <w:rPr>
          <w:rFonts w:ascii="宋体" w:hAnsi="宋体" w:cs="宋体" w:hint="eastAsia"/>
          <w:kern w:val="0"/>
          <w:sz w:val="24"/>
        </w:rPr>
        <w:t>百利天恒（代码：688506</w:t>
      </w:r>
      <w:r w:rsidR="003F4388">
        <w:rPr>
          <w:rFonts w:ascii="宋体" w:hAnsi="宋体" w:cs="宋体" w:hint="eastAsia"/>
          <w:kern w:val="0"/>
          <w:sz w:val="24"/>
        </w:rPr>
        <w:t>.</w:t>
      </w:r>
      <w:r w:rsidR="009D313F">
        <w:rPr>
          <w:rFonts w:ascii="宋体" w:hAnsi="宋体" w:cs="宋体"/>
          <w:kern w:val="0"/>
          <w:sz w:val="24"/>
        </w:rPr>
        <w:t>S</w:t>
      </w:r>
      <w:r w:rsidR="00864FE6">
        <w:rPr>
          <w:rFonts w:ascii="宋体" w:hAnsi="宋体" w:cs="宋体"/>
          <w:kern w:val="0"/>
          <w:sz w:val="24"/>
        </w:rPr>
        <w:t>H</w:t>
      </w:r>
      <w:r w:rsidR="009D313F" w:rsidRPr="009D313F">
        <w:rPr>
          <w:rFonts w:ascii="宋体" w:hAnsi="宋体" w:cs="宋体" w:hint="eastAsia"/>
          <w:kern w:val="0"/>
          <w:sz w:val="24"/>
        </w:rPr>
        <w:t>）</w:t>
      </w:r>
      <w:r w:rsidRPr="00697FFD">
        <w:rPr>
          <w:rFonts w:ascii="宋体" w:hAnsi="宋体" w:cs="宋体" w:hint="eastAsia"/>
          <w:kern w:val="0"/>
          <w:sz w:val="24"/>
        </w:rPr>
        <w:t>非公开发行股票的公告</w:t>
      </w:r>
    </w:p>
    <w:bookmarkEnd w:id="0"/>
    <w:p w:rsidR="002A2769" w:rsidRPr="00697FFD" w:rsidRDefault="002A2769" w:rsidP="002A2769">
      <w:pPr>
        <w:widowControl/>
        <w:spacing w:line="360" w:lineRule="auto"/>
        <w:rPr>
          <w:rFonts w:ascii="宋体" w:hAnsi="宋体" w:cs="宋体"/>
          <w:kern w:val="0"/>
          <w:sz w:val="24"/>
        </w:rPr>
      </w:pPr>
    </w:p>
    <w:p w:rsidR="002A2769" w:rsidRPr="00697FFD" w:rsidRDefault="002A2769" w:rsidP="002A2769">
      <w:pPr>
        <w:widowControl/>
        <w:spacing w:line="360" w:lineRule="auto"/>
        <w:ind w:firstLineChars="200" w:firstLine="480"/>
        <w:rPr>
          <w:rFonts w:ascii="宋体" w:hAnsi="宋体" w:cs="宋体"/>
          <w:kern w:val="0"/>
          <w:sz w:val="24"/>
        </w:rPr>
      </w:pPr>
      <w:r w:rsidRPr="00697FFD">
        <w:rPr>
          <w:rFonts w:ascii="宋体" w:hAnsi="宋体" w:cs="宋体" w:hint="eastAsia"/>
          <w:kern w:val="0"/>
          <w:sz w:val="24"/>
        </w:rPr>
        <w:t>根据中国证监会《关于基金投资非公开发行股票等流通受限证券有关问题的通知》的要求，景顺长城基金管理有限公司（以下简称“本公司”）旗下基金投资“</w:t>
      </w:r>
      <w:r w:rsidR="003F4388" w:rsidRPr="003F4388">
        <w:rPr>
          <w:rFonts w:ascii="宋体" w:hAnsi="宋体" w:cs="宋体" w:hint="eastAsia"/>
          <w:kern w:val="0"/>
          <w:sz w:val="24"/>
        </w:rPr>
        <w:t>百利天恒</w:t>
      </w:r>
      <w:r w:rsidRPr="00697FFD">
        <w:rPr>
          <w:rFonts w:ascii="宋体" w:hAnsi="宋体" w:cs="宋体" w:hint="eastAsia"/>
          <w:kern w:val="0"/>
          <w:sz w:val="24"/>
        </w:rPr>
        <w:t>”非公开发行股票的有关情况公告如下：</w:t>
      </w:r>
    </w:p>
    <w:p w:rsidR="00915A40" w:rsidRPr="00697FFD" w:rsidRDefault="002A2769" w:rsidP="00697FFD">
      <w:pPr>
        <w:widowControl/>
        <w:spacing w:line="360" w:lineRule="auto"/>
        <w:ind w:firstLineChars="200" w:firstLine="480"/>
        <w:rPr>
          <w:rFonts w:ascii="宋体" w:hAnsi="宋体" w:cs="宋体"/>
          <w:kern w:val="0"/>
          <w:sz w:val="24"/>
        </w:rPr>
      </w:pPr>
      <w:r w:rsidRPr="00697FFD">
        <w:rPr>
          <w:rFonts w:ascii="宋体" w:hAnsi="宋体" w:cs="宋体" w:hint="eastAsia"/>
          <w:kern w:val="0"/>
          <w:sz w:val="24"/>
        </w:rPr>
        <w:t>本公司旗下的</w:t>
      </w:r>
      <w:r w:rsidR="006B7C10" w:rsidRPr="006B7C10">
        <w:rPr>
          <w:rFonts w:ascii="宋体" w:hAnsi="宋体" w:cs="宋体" w:hint="eastAsia"/>
          <w:kern w:val="0"/>
          <w:sz w:val="24"/>
        </w:rPr>
        <w:t>景顺长城策略精选灵活配置混合型证券投资基金</w:t>
      </w:r>
      <w:r w:rsidR="006B7C10" w:rsidRPr="004F660F">
        <w:rPr>
          <w:rFonts w:ascii="宋体" w:hAnsi="宋体" w:cs="宋体" w:hint="eastAsia"/>
          <w:kern w:val="0"/>
          <w:sz w:val="24"/>
        </w:rPr>
        <w:t>（基金代码：</w:t>
      </w:r>
      <w:r w:rsidR="006B7C10" w:rsidRPr="008340BC">
        <w:rPr>
          <w:rFonts w:ascii="宋体" w:hAnsi="宋体" w:cs="宋体"/>
          <w:kern w:val="0"/>
          <w:sz w:val="24"/>
        </w:rPr>
        <w:t>0</w:t>
      </w:r>
      <w:r w:rsidR="006B7C10">
        <w:rPr>
          <w:rFonts w:ascii="宋体" w:hAnsi="宋体" w:cs="宋体"/>
          <w:kern w:val="0"/>
          <w:sz w:val="24"/>
        </w:rPr>
        <w:t>00242</w:t>
      </w:r>
      <w:r w:rsidR="006B7C10" w:rsidRPr="004F660F">
        <w:rPr>
          <w:rFonts w:ascii="宋体" w:hAnsi="宋体" w:cs="宋体" w:hint="eastAsia"/>
          <w:kern w:val="0"/>
          <w:sz w:val="24"/>
        </w:rPr>
        <w:t>，以下简称“</w:t>
      </w:r>
      <w:r w:rsidR="006B7C10" w:rsidRPr="006B7C10">
        <w:rPr>
          <w:rFonts w:ascii="宋体" w:hAnsi="宋体" w:cs="宋体" w:hint="eastAsia"/>
          <w:kern w:val="0"/>
          <w:sz w:val="24"/>
        </w:rPr>
        <w:t>景顺长城策略精选</w:t>
      </w:r>
      <w:r w:rsidR="006B7C10">
        <w:rPr>
          <w:rFonts w:ascii="宋体" w:hAnsi="宋体" w:cs="宋体" w:hint="eastAsia"/>
          <w:kern w:val="0"/>
          <w:sz w:val="24"/>
        </w:rPr>
        <w:t>”）、</w:t>
      </w:r>
      <w:r w:rsidR="006B7C10" w:rsidRPr="006B7C10">
        <w:rPr>
          <w:rFonts w:ascii="宋体" w:hAnsi="宋体" w:cs="宋体" w:hint="eastAsia"/>
          <w:kern w:val="0"/>
          <w:sz w:val="24"/>
        </w:rPr>
        <w:t>景顺长城景气进取混合型证券投资基金</w:t>
      </w:r>
      <w:r w:rsidR="006B7C10" w:rsidRPr="004F660F">
        <w:rPr>
          <w:rFonts w:ascii="宋体" w:hAnsi="宋体" w:cs="宋体" w:hint="eastAsia"/>
          <w:kern w:val="0"/>
          <w:sz w:val="24"/>
        </w:rPr>
        <w:t>（基金代码：</w:t>
      </w:r>
      <w:r w:rsidR="006B7C10">
        <w:rPr>
          <w:rFonts w:ascii="宋体" w:hAnsi="宋体" w:cs="宋体"/>
          <w:kern w:val="0"/>
          <w:sz w:val="24"/>
        </w:rPr>
        <w:t>013812</w:t>
      </w:r>
      <w:r w:rsidR="006B7C10" w:rsidRPr="004F660F">
        <w:rPr>
          <w:rFonts w:ascii="宋体" w:hAnsi="宋体" w:cs="宋体" w:hint="eastAsia"/>
          <w:kern w:val="0"/>
          <w:sz w:val="24"/>
        </w:rPr>
        <w:t>，以下简称“</w:t>
      </w:r>
      <w:r w:rsidR="006B7C10" w:rsidRPr="006B7C10">
        <w:rPr>
          <w:rFonts w:ascii="宋体" w:hAnsi="宋体" w:cs="宋体" w:hint="eastAsia"/>
          <w:kern w:val="0"/>
          <w:sz w:val="24"/>
        </w:rPr>
        <w:t>景顺长城景气进取</w:t>
      </w:r>
      <w:r w:rsidR="006B7C10">
        <w:rPr>
          <w:rFonts w:ascii="宋体" w:hAnsi="宋体" w:cs="宋体" w:hint="eastAsia"/>
          <w:kern w:val="0"/>
          <w:sz w:val="24"/>
        </w:rPr>
        <w:t>”）</w:t>
      </w:r>
      <w:r w:rsidR="003F4388">
        <w:rPr>
          <w:rFonts w:ascii="宋体" w:hAnsi="宋体" w:cs="宋体" w:hint="eastAsia"/>
          <w:kern w:val="0"/>
          <w:sz w:val="24"/>
        </w:rPr>
        <w:t>、</w:t>
      </w:r>
      <w:r w:rsidR="003F4388" w:rsidRPr="003F4388">
        <w:rPr>
          <w:rFonts w:ascii="宋体" w:hAnsi="宋体" w:cs="宋体" w:hint="eastAsia"/>
          <w:kern w:val="0"/>
          <w:sz w:val="24"/>
        </w:rPr>
        <w:t>景顺长城成长之星股票型证券投资基金</w:t>
      </w:r>
      <w:r w:rsidR="003F4388" w:rsidRPr="004F660F">
        <w:rPr>
          <w:rFonts w:ascii="宋体" w:hAnsi="宋体" w:cs="宋体" w:hint="eastAsia"/>
          <w:kern w:val="0"/>
          <w:sz w:val="24"/>
        </w:rPr>
        <w:t>（基金代码：</w:t>
      </w:r>
      <w:r w:rsidR="003F4388">
        <w:rPr>
          <w:rFonts w:ascii="宋体" w:hAnsi="宋体" w:cs="宋体"/>
          <w:kern w:val="0"/>
          <w:sz w:val="24"/>
        </w:rPr>
        <w:t>000418</w:t>
      </w:r>
      <w:r w:rsidR="003F4388" w:rsidRPr="004F660F">
        <w:rPr>
          <w:rFonts w:ascii="宋体" w:hAnsi="宋体" w:cs="宋体" w:hint="eastAsia"/>
          <w:kern w:val="0"/>
          <w:sz w:val="24"/>
        </w:rPr>
        <w:t>，以下简称“</w:t>
      </w:r>
      <w:r w:rsidR="003F4388" w:rsidRPr="003F4388">
        <w:rPr>
          <w:rFonts w:ascii="宋体" w:hAnsi="宋体" w:cs="宋体" w:hint="eastAsia"/>
          <w:kern w:val="0"/>
          <w:sz w:val="24"/>
        </w:rPr>
        <w:t>景顺长城成长之星</w:t>
      </w:r>
      <w:r w:rsidR="003F4388">
        <w:rPr>
          <w:rFonts w:ascii="宋体" w:hAnsi="宋体" w:cs="宋体" w:hint="eastAsia"/>
          <w:kern w:val="0"/>
          <w:sz w:val="24"/>
        </w:rPr>
        <w:t>”）</w:t>
      </w:r>
      <w:r w:rsidRPr="00697FFD">
        <w:rPr>
          <w:rFonts w:ascii="宋体" w:hAnsi="宋体" w:cs="宋体" w:hint="eastAsia"/>
          <w:kern w:val="0"/>
          <w:sz w:val="24"/>
        </w:rPr>
        <w:t>参加了</w:t>
      </w:r>
      <w:r w:rsidR="003F4388" w:rsidRPr="003F4388">
        <w:rPr>
          <w:rFonts w:ascii="宋体" w:hAnsi="宋体" w:cs="宋体" w:hint="eastAsia"/>
          <w:kern w:val="0"/>
          <w:sz w:val="24"/>
        </w:rPr>
        <w:t>百利天恒（代码：688506</w:t>
      </w:r>
      <w:r w:rsidR="003F4388">
        <w:rPr>
          <w:rFonts w:ascii="宋体" w:hAnsi="宋体" w:cs="宋体" w:hint="eastAsia"/>
          <w:kern w:val="0"/>
          <w:sz w:val="24"/>
        </w:rPr>
        <w:t>.</w:t>
      </w:r>
      <w:r w:rsidR="003F4388">
        <w:rPr>
          <w:rFonts w:ascii="宋体" w:hAnsi="宋体" w:cs="宋体"/>
          <w:kern w:val="0"/>
          <w:sz w:val="24"/>
        </w:rPr>
        <w:t>SH</w:t>
      </w:r>
      <w:r w:rsidR="003F4388" w:rsidRPr="009D313F">
        <w:rPr>
          <w:rFonts w:ascii="宋体" w:hAnsi="宋体" w:cs="宋体" w:hint="eastAsia"/>
          <w:kern w:val="0"/>
          <w:sz w:val="24"/>
        </w:rPr>
        <w:t>）</w:t>
      </w:r>
      <w:r w:rsidRPr="00697FFD">
        <w:rPr>
          <w:rFonts w:ascii="宋体" w:hAnsi="宋体" w:cs="宋体" w:hint="eastAsia"/>
          <w:kern w:val="0"/>
          <w:sz w:val="24"/>
        </w:rPr>
        <w:t>非公开发行股票的定向增发。</w:t>
      </w:r>
      <w:r w:rsidR="003F4388" w:rsidRPr="003F4388">
        <w:rPr>
          <w:rFonts w:ascii="宋体" w:hAnsi="宋体" w:hint="eastAsia"/>
          <w:sz w:val="24"/>
        </w:rPr>
        <w:t>四川百利天恒药业股份有限公司</w:t>
      </w:r>
      <w:r w:rsidR="00915A40" w:rsidRPr="00261D61">
        <w:rPr>
          <w:rFonts w:ascii="宋体" w:hAnsi="宋体" w:cs="宋体" w:hint="eastAsia"/>
          <w:kern w:val="0"/>
          <w:sz w:val="24"/>
        </w:rPr>
        <w:t>已发布了《</w:t>
      </w:r>
      <w:r w:rsidR="00864DF4" w:rsidRPr="00864DF4">
        <w:rPr>
          <w:rFonts w:ascii="宋体" w:hAnsi="宋体" w:hint="eastAsia"/>
          <w:sz w:val="24"/>
        </w:rPr>
        <w:t>四川百利天恒药业股份有限公司关于向特定对象发行股票发行结果暨股本变动的公告</w:t>
      </w:r>
      <w:r w:rsidR="00915A40" w:rsidRPr="00261D61">
        <w:rPr>
          <w:rFonts w:ascii="宋体" w:hAnsi="宋体" w:cs="宋体" w:hint="eastAsia"/>
          <w:kern w:val="0"/>
          <w:sz w:val="24"/>
        </w:rPr>
        <w:t>》，公布</w:t>
      </w:r>
      <w:r w:rsidR="00915A40" w:rsidRPr="00697FFD">
        <w:rPr>
          <w:rFonts w:ascii="宋体" w:hAnsi="宋体" w:cs="宋体" w:hint="eastAsia"/>
          <w:kern w:val="0"/>
          <w:sz w:val="24"/>
        </w:rPr>
        <w:t>了本次非公开发行结果。</w:t>
      </w:r>
    </w:p>
    <w:p w:rsidR="002A2769" w:rsidRPr="00CB446E" w:rsidRDefault="002A2769" w:rsidP="002A2769">
      <w:pPr>
        <w:widowControl/>
        <w:spacing w:line="360" w:lineRule="auto"/>
        <w:ind w:firstLineChars="200" w:firstLine="480"/>
        <w:rPr>
          <w:rFonts w:ascii="宋体" w:hAnsi="宋体"/>
          <w:sz w:val="24"/>
        </w:rPr>
      </w:pPr>
      <w:r w:rsidRPr="00CB446E">
        <w:rPr>
          <w:rFonts w:ascii="宋体" w:hAnsi="宋体" w:hint="eastAsia"/>
          <w:sz w:val="24"/>
        </w:rPr>
        <w:t>截至</w:t>
      </w:r>
      <w:r w:rsidR="003F63E6" w:rsidRPr="00CB446E">
        <w:rPr>
          <w:rFonts w:ascii="宋体" w:hAnsi="宋体" w:hint="eastAsia"/>
          <w:sz w:val="24"/>
        </w:rPr>
        <w:t>2</w:t>
      </w:r>
      <w:r w:rsidR="003F63E6" w:rsidRPr="00CB446E">
        <w:rPr>
          <w:rFonts w:ascii="宋体" w:hAnsi="宋体"/>
          <w:sz w:val="24"/>
        </w:rPr>
        <w:t>02</w:t>
      </w:r>
      <w:r w:rsidR="00864FE6" w:rsidRPr="00CB446E">
        <w:rPr>
          <w:rFonts w:ascii="宋体" w:hAnsi="宋体"/>
          <w:sz w:val="24"/>
        </w:rPr>
        <w:t>5</w:t>
      </w:r>
      <w:r w:rsidR="003F63E6" w:rsidRPr="00CB446E">
        <w:rPr>
          <w:rFonts w:ascii="宋体" w:hAnsi="宋体" w:hint="eastAsia"/>
          <w:sz w:val="24"/>
        </w:rPr>
        <w:t>年</w:t>
      </w:r>
      <w:r w:rsidR="00864DF4" w:rsidRPr="00CB446E">
        <w:rPr>
          <w:rFonts w:ascii="宋体" w:hAnsi="宋体"/>
          <w:sz w:val="24"/>
        </w:rPr>
        <w:t>9</w:t>
      </w:r>
      <w:r w:rsidR="003F63E6" w:rsidRPr="00CB446E">
        <w:rPr>
          <w:rFonts w:ascii="宋体" w:hAnsi="宋体" w:hint="eastAsia"/>
          <w:sz w:val="24"/>
        </w:rPr>
        <w:t>月</w:t>
      </w:r>
      <w:r w:rsidR="00864DF4" w:rsidRPr="00CB446E">
        <w:rPr>
          <w:rFonts w:ascii="宋体" w:hAnsi="宋体"/>
          <w:sz w:val="24"/>
        </w:rPr>
        <w:t>29</w:t>
      </w:r>
      <w:r w:rsidRPr="00CB446E">
        <w:rPr>
          <w:rFonts w:ascii="宋体" w:hAnsi="宋体" w:hint="eastAsia"/>
          <w:sz w:val="24"/>
        </w:rPr>
        <w:t>日，</w:t>
      </w:r>
      <w:r w:rsidR="00E21922" w:rsidRPr="00CB446E">
        <w:rPr>
          <w:rFonts w:ascii="宋体" w:hAnsi="宋体" w:hint="eastAsia"/>
          <w:sz w:val="24"/>
        </w:rPr>
        <w:t>上述</w:t>
      </w:r>
      <w:r w:rsidR="00A75851" w:rsidRPr="00CB446E">
        <w:rPr>
          <w:rFonts w:ascii="宋体" w:hAnsi="宋体" w:hint="eastAsia"/>
          <w:sz w:val="24"/>
        </w:rPr>
        <w:t>基金</w:t>
      </w:r>
      <w:r w:rsidR="00E10CA5" w:rsidRPr="00CB446E">
        <w:rPr>
          <w:rFonts w:ascii="宋体" w:hAnsi="宋体" w:hint="eastAsia"/>
          <w:sz w:val="24"/>
        </w:rPr>
        <w:t>参与</w:t>
      </w:r>
      <w:r w:rsidRPr="00CB446E">
        <w:rPr>
          <w:rFonts w:ascii="宋体" w:hAnsi="宋体" w:hint="eastAsia"/>
          <w:sz w:val="24"/>
        </w:rPr>
        <w:t xml:space="preserve">本次非公开发行股票情况如下： </w:t>
      </w:r>
    </w:p>
    <w:tbl>
      <w:tblPr>
        <w:tblW w:w="5083" w:type="pct"/>
        <w:jc w:val="center"/>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4A0"/>
      </w:tblPr>
      <w:tblGrid>
        <w:gridCol w:w="1175"/>
        <w:gridCol w:w="1174"/>
        <w:gridCol w:w="1422"/>
        <w:gridCol w:w="991"/>
        <w:gridCol w:w="1229"/>
        <w:gridCol w:w="1176"/>
        <w:gridCol w:w="1307"/>
      </w:tblGrid>
      <w:tr w:rsidR="002A2769" w:rsidRPr="00697FFD" w:rsidTr="00A539C3">
        <w:trPr>
          <w:tblCellSpacing w:w="0" w:type="dxa"/>
          <w:jc w:val="center"/>
        </w:trPr>
        <w:tc>
          <w:tcPr>
            <w:tcW w:w="693" w:type="pct"/>
            <w:tcBorders>
              <w:top w:val="single" w:sz="6" w:space="0" w:color="auto"/>
              <w:left w:val="single" w:sz="6" w:space="0" w:color="auto"/>
              <w:bottom w:val="single" w:sz="6" w:space="0" w:color="auto"/>
              <w:right w:val="single" w:sz="6" w:space="0" w:color="auto"/>
            </w:tcBorders>
            <w:vAlign w:val="center"/>
            <w:hideMark/>
          </w:tcPr>
          <w:p w:rsidR="002A2769" w:rsidRPr="00697FFD" w:rsidRDefault="002A2769">
            <w:pPr>
              <w:widowControl/>
              <w:jc w:val="center"/>
              <w:rPr>
                <w:rFonts w:ascii="宋体" w:hAnsi="宋体" w:cs="宋体"/>
                <w:kern w:val="0"/>
                <w:sz w:val="24"/>
              </w:rPr>
            </w:pPr>
            <w:r w:rsidRPr="00697FFD">
              <w:rPr>
                <w:rFonts w:ascii="宋体" w:hAnsi="宋体" w:cs="宋体" w:hint="eastAsia"/>
                <w:kern w:val="0"/>
                <w:sz w:val="24"/>
              </w:rPr>
              <w:t>基金名称</w:t>
            </w:r>
          </w:p>
        </w:tc>
        <w:tc>
          <w:tcPr>
            <w:tcW w:w="693" w:type="pct"/>
            <w:tcBorders>
              <w:top w:val="single" w:sz="6" w:space="0" w:color="auto"/>
              <w:left w:val="single" w:sz="6" w:space="0" w:color="auto"/>
              <w:bottom w:val="single" w:sz="6" w:space="0" w:color="auto"/>
              <w:right w:val="single" w:sz="6" w:space="0" w:color="auto"/>
            </w:tcBorders>
            <w:vAlign w:val="center"/>
            <w:hideMark/>
          </w:tcPr>
          <w:p w:rsidR="002A2769" w:rsidRPr="00697FFD" w:rsidRDefault="002A2769">
            <w:pPr>
              <w:widowControl/>
              <w:jc w:val="center"/>
              <w:rPr>
                <w:rFonts w:ascii="宋体" w:hAnsi="宋体" w:cs="宋体"/>
                <w:kern w:val="0"/>
                <w:sz w:val="24"/>
              </w:rPr>
            </w:pPr>
            <w:r w:rsidRPr="00697FFD">
              <w:rPr>
                <w:rFonts w:ascii="宋体" w:hAnsi="宋体" w:cs="宋体" w:hint="eastAsia"/>
                <w:kern w:val="0"/>
                <w:sz w:val="24"/>
              </w:rPr>
              <w:t xml:space="preserve">认购数量 （股） </w:t>
            </w:r>
          </w:p>
        </w:tc>
        <w:tc>
          <w:tcPr>
            <w:tcW w:w="839" w:type="pct"/>
            <w:tcBorders>
              <w:top w:val="single" w:sz="6" w:space="0" w:color="auto"/>
              <w:left w:val="single" w:sz="6" w:space="0" w:color="auto"/>
              <w:bottom w:val="single" w:sz="6" w:space="0" w:color="auto"/>
              <w:right w:val="single" w:sz="6" w:space="0" w:color="auto"/>
            </w:tcBorders>
            <w:vAlign w:val="center"/>
            <w:hideMark/>
          </w:tcPr>
          <w:p w:rsidR="002A2769" w:rsidRPr="00697FFD" w:rsidRDefault="002A2769">
            <w:pPr>
              <w:widowControl/>
              <w:jc w:val="center"/>
              <w:rPr>
                <w:rFonts w:ascii="宋体" w:hAnsi="宋体" w:cs="宋体"/>
                <w:kern w:val="0"/>
                <w:sz w:val="24"/>
              </w:rPr>
            </w:pPr>
            <w:r w:rsidRPr="00697FFD">
              <w:rPr>
                <w:rFonts w:ascii="宋体" w:hAnsi="宋体" w:cs="宋体" w:hint="eastAsia"/>
                <w:kern w:val="0"/>
                <w:sz w:val="24"/>
              </w:rPr>
              <w:t xml:space="preserve">总成本 （元） </w:t>
            </w:r>
          </w:p>
        </w:tc>
        <w:tc>
          <w:tcPr>
            <w:tcW w:w="585" w:type="pct"/>
            <w:tcBorders>
              <w:top w:val="single" w:sz="6" w:space="0" w:color="auto"/>
              <w:left w:val="single" w:sz="6" w:space="0" w:color="auto"/>
              <w:bottom w:val="single" w:sz="6" w:space="0" w:color="auto"/>
              <w:right w:val="single" w:sz="6" w:space="0" w:color="auto"/>
            </w:tcBorders>
            <w:vAlign w:val="center"/>
            <w:hideMark/>
          </w:tcPr>
          <w:p w:rsidR="002A2769" w:rsidRPr="00697FFD" w:rsidRDefault="002A2769">
            <w:pPr>
              <w:widowControl/>
              <w:jc w:val="center"/>
              <w:rPr>
                <w:rFonts w:ascii="宋体" w:hAnsi="宋体" w:cs="宋体"/>
                <w:kern w:val="0"/>
                <w:sz w:val="24"/>
              </w:rPr>
            </w:pPr>
            <w:r w:rsidRPr="00697FFD">
              <w:rPr>
                <w:rFonts w:ascii="宋体" w:hAnsi="宋体" w:cs="宋体" w:hint="eastAsia"/>
                <w:kern w:val="0"/>
                <w:sz w:val="24"/>
              </w:rPr>
              <w:t>总成本占基金资产净值的比例</w:t>
            </w:r>
          </w:p>
        </w:tc>
        <w:tc>
          <w:tcPr>
            <w:tcW w:w="725" w:type="pct"/>
            <w:tcBorders>
              <w:top w:val="single" w:sz="6" w:space="0" w:color="auto"/>
              <w:left w:val="single" w:sz="6" w:space="0" w:color="auto"/>
              <w:bottom w:val="single" w:sz="6" w:space="0" w:color="auto"/>
              <w:right w:val="single" w:sz="6" w:space="0" w:color="auto"/>
            </w:tcBorders>
            <w:vAlign w:val="center"/>
            <w:hideMark/>
          </w:tcPr>
          <w:p w:rsidR="002A2769" w:rsidRPr="00697FFD" w:rsidRDefault="002A2769">
            <w:pPr>
              <w:widowControl/>
              <w:jc w:val="center"/>
              <w:rPr>
                <w:rFonts w:ascii="宋体" w:hAnsi="宋体" w:cs="宋体"/>
                <w:kern w:val="0"/>
                <w:sz w:val="24"/>
              </w:rPr>
            </w:pPr>
            <w:r w:rsidRPr="00697FFD">
              <w:rPr>
                <w:rFonts w:ascii="宋体" w:hAnsi="宋体" w:cs="宋体" w:hint="eastAsia"/>
                <w:kern w:val="0"/>
                <w:sz w:val="24"/>
              </w:rPr>
              <w:t xml:space="preserve">账面价值 （万元） </w:t>
            </w:r>
          </w:p>
        </w:tc>
        <w:tc>
          <w:tcPr>
            <w:tcW w:w="694" w:type="pct"/>
            <w:tcBorders>
              <w:top w:val="single" w:sz="6" w:space="0" w:color="auto"/>
              <w:left w:val="single" w:sz="6" w:space="0" w:color="auto"/>
              <w:bottom w:val="single" w:sz="6" w:space="0" w:color="auto"/>
              <w:right w:val="single" w:sz="6" w:space="0" w:color="auto"/>
            </w:tcBorders>
            <w:vAlign w:val="center"/>
            <w:hideMark/>
          </w:tcPr>
          <w:p w:rsidR="002A2769" w:rsidRPr="00697FFD" w:rsidRDefault="002A2769">
            <w:pPr>
              <w:widowControl/>
              <w:jc w:val="center"/>
              <w:rPr>
                <w:rFonts w:ascii="宋体" w:hAnsi="宋体" w:cs="宋体"/>
                <w:kern w:val="0"/>
                <w:sz w:val="24"/>
              </w:rPr>
            </w:pPr>
            <w:r w:rsidRPr="00697FFD">
              <w:rPr>
                <w:rFonts w:ascii="宋体" w:hAnsi="宋体" w:cs="宋体" w:hint="eastAsia"/>
                <w:kern w:val="0"/>
                <w:sz w:val="24"/>
              </w:rPr>
              <w:t>账面价值占基金资产净值的比例</w:t>
            </w:r>
          </w:p>
        </w:tc>
        <w:tc>
          <w:tcPr>
            <w:tcW w:w="771" w:type="pct"/>
            <w:tcBorders>
              <w:top w:val="single" w:sz="6" w:space="0" w:color="auto"/>
              <w:left w:val="single" w:sz="6" w:space="0" w:color="auto"/>
              <w:bottom w:val="single" w:sz="6" w:space="0" w:color="auto"/>
              <w:right w:val="single" w:sz="6" w:space="0" w:color="auto"/>
            </w:tcBorders>
            <w:vAlign w:val="center"/>
            <w:hideMark/>
          </w:tcPr>
          <w:p w:rsidR="002A2769" w:rsidRPr="00697FFD" w:rsidRDefault="002A2769">
            <w:pPr>
              <w:widowControl/>
              <w:jc w:val="center"/>
              <w:rPr>
                <w:rFonts w:ascii="宋体" w:hAnsi="宋体" w:cs="宋体"/>
                <w:kern w:val="0"/>
                <w:sz w:val="24"/>
              </w:rPr>
            </w:pPr>
            <w:r w:rsidRPr="00697FFD">
              <w:rPr>
                <w:rFonts w:ascii="宋体" w:hAnsi="宋体" w:cs="宋体" w:hint="eastAsia"/>
                <w:kern w:val="0"/>
                <w:sz w:val="24"/>
              </w:rPr>
              <w:t>锁定期</w:t>
            </w:r>
          </w:p>
        </w:tc>
      </w:tr>
      <w:tr w:rsidR="00921317" w:rsidRPr="00697FFD" w:rsidTr="00921317">
        <w:trPr>
          <w:trHeight w:val="469"/>
          <w:tblCellSpacing w:w="0" w:type="dxa"/>
          <w:jc w:val="center"/>
        </w:trPr>
        <w:tc>
          <w:tcPr>
            <w:tcW w:w="693" w:type="pct"/>
            <w:tcBorders>
              <w:top w:val="single" w:sz="6" w:space="0" w:color="auto"/>
              <w:left w:val="single" w:sz="6" w:space="0" w:color="auto"/>
              <w:bottom w:val="single" w:sz="6" w:space="0" w:color="auto"/>
              <w:right w:val="single" w:sz="6" w:space="0" w:color="auto"/>
            </w:tcBorders>
            <w:vAlign w:val="center"/>
            <w:hideMark/>
          </w:tcPr>
          <w:p w:rsidR="00921317" w:rsidRPr="00697FFD" w:rsidRDefault="00921317" w:rsidP="00921317">
            <w:pPr>
              <w:widowControl/>
              <w:jc w:val="center"/>
              <w:rPr>
                <w:rFonts w:ascii="宋体" w:hAnsi="宋体" w:cs="宋体"/>
                <w:kern w:val="0"/>
                <w:sz w:val="24"/>
              </w:rPr>
            </w:pPr>
            <w:r w:rsidRPr="003F4388">
              <w:rPr>
                <w:rFonts w:ascii="宋体" w:hAnsi="宋体" w:cs="宋体" w:hint="eastAsia"/>
                <w:kern w:val="0"/>
                <w:sz w:val="24"/>
              </w:rPr>
              <w:t>策略精选</w:t>
            </w:r>
          </w:p>
        </w:tc>
        <w:tc>
          <w:tcPr>
            <w:tcW w:w="693" w:type="pct"/>
            <w:tcBorders>
              <w:top w:val="single" w:sz="6" w:space="0" w:color="auto"/>
              <w:left w:val="single" w:sz="6" w:space="0" w:color="auto"/>
              <w:bottom w:val="single" w:sz="6" w:space="0" w:color="auto"/>
              <w:right w:val="single" w:sz="6" w:space="0" w:color="auto"/>
            </w:tcBorders>
            <w:vAlign w:val="center"/>
          </w:tcPr>
          <w:p w:rsidR="00921317" w:rsidRPr="003F4388" w:rsidRDefault="00921317" w:rsidP="00921317">
            <w:pPr>
              <w:jc w:val="center"/>
              <w:rPr>
                <w:sz w:val="18"/>
              </w:rPr>
            </w:pPr>
            <w:r w:rsidRPr="003F4388">
              <w:rPr>
                <w:rFonts w:ascii="Arial" w:hAnsi="Arial" w:cs="Arial"/>
                <w:sz w:val="18"/>
              </w:rPr>
              <w:t xml:space="preserve">94,637 </w:t>
            </w:r>
          </w:p>
        </w:tc>
        <w:tc>
          <w:tcPr>
            <w:tcW w:w="839" w:type="pct"/>
            <w:tcBorders>
              <w:top w:val="single" w:sz="6" w:space="0" w:color="auto"/>
              <w:left w:val="single" w:sz="6" w:space="0" w:color="auto"/>
              <w:bottom w:val="single" w:sz="6" w:space="0" w:color="auto"/>
              <w:right w:val="single" w:sz="6" w:space="0" w:color="auto"/>
            </w:tcBorders>
            <w:vAlign w:val="center"/>
          </w:tcPr>
          <w:p w:rsidR="00921317" w:rsidRPr="003F4388" w:rsidRDefault="00921317" w:rsidP="00921317">
            <w:pPr>
              <w:jc w:val="center"/>
              <w:rPr>
                <w:sz w:val="18"/>
              </w:rPr>
            </w:pPr>
            <w:r w:rsidRPr="003F4388">
              <w:rPr>
                <w:rFonts w:ascii="Arial" w:hAnsi="Arial" w:cs="Arial"/>
                <w:sz w:val="18"/>
              </w:rPr>
              <w:t>29,999,929.00</w:t>
            </w:r>
          </w:p>
        </w:tc>
        <w:tc>
          <w:tcPr>
            <w:tcW w:w="585" w:type="pct"/>
            <w:tcBorders>
              <w:top w:val="single" w:sz="6" w:space="0" w:color="auto"/>
              <w:left w:val="single" w:sz="6" w:space="0" w:color="auto"/>
              <w:bottom w:val="single" w:sz="6" w:space="0" w:color="auto"/>
              <w:right w:val="single" w:sz="6" w:space="0" w:color="auto"/>
            </w:tcBorders>
            <w:vAlign w:val="center"/>
          </w:tcPr>
          <w:p w:rsidR="00921317" w:rsidRPr="008018B4" w:rsidRDefault="00921317" w:rsidP="00921317">
            <w:pPr>
              <w:jc w:val="center"/>
              <w:rPr>
                <w:rFonts w:ascii="Arial" w:hAnsi="Arial" w:cs="Arial"/>
                <w:sz w:val="18"/>
              </w:rPr>
            </w:pPr>
            <w:r w:rsidRPr="00921317">
              <w:rPr>
                <w:rFonts w:ascii="Arial" w:hAnsi="Arial" w:cs="Arial"/>
                <w:sz w:val="18"/>
              </w:rPr>
              <w:t>1.62%</w:t>
            </w:r>
          </w:p>
        </w:tc>
        <w:tc>
          <w:tcPr>
            <w:tcW w:w="725" w:type="pct"/>
            <w:tcBorders>
              <w:top w:val="single" w:sz="6" w:space="0" w:color="auto"/>
              <w:left w:val="single" w:sz="6" w:space="0" w:color="auto"/>
              <w:bottom w:val="single" w:sz="6" w:space="0" w:color="auto"/>
              <w:right w:val="single" w:sz="6" w:space="0" w:color="auto"/>
            </w:tcBorders>
            <w:vAlign w:val="center"/>
          </w:tcPr>
          <w:p w:rsidR="00921317" w:rsidRPr="008018B4" w:rsidRDefault="00921317" w:rsidP="00921317">
            <w:pPr>
              <w:jc w:val="center"/>
              <w:rPr>
                <w:rFonts w:ascii="Arial" w:hAnsi="Arial" w:cs="Arial"/>
                <w:sz w:val="18"/>
              </w:rPr>
            </w:pPr>
            <w:r w:rsidRPr="00921317">
              <w:rPr>
                <w:rFonts w:ascii="Arial" w:hAnsi="Arial" w:cs="Arial"/>
                <w:sz w:val="18"/>
              </w:rPr>
              <w:t>3,141.00</w:t>
            </w:r>
          </w:p>
        </w:tc>
        <w:tc>
          <w:tcPr>
            <w:tcW w:w="694" w:type="pct"/>
            <w:tcBorders>
              <w:top w:val="single" w:sz="6" w:space="0" w:color="auto"/>
              <w:left w:val="single" w:sz="6" w:space="0" w:color="auto"/>
              <w:bottom w:val="single" w:sz="6" w:space="0" w:color="auto"/>
              <w:right w:val="single" w:sz="6" w:space="0" w:color="auto"/>
            </w:tcBorders>
            <w:vAlign w:val="center"/>
          </w:tcPr>
          <w:p w:rsidR="00921317" w:rsidRPr="008018B4" w:rsidRDefault="00921317" w:rsidP="00921317">
            <w:pPr>
              <w:jc w:val="center"/>
              <w:rPr>
                <w:rFonts w:ascii="Arial" w:hAnsi="Arial" w:cs="Arial"/>
                <w:sz w:val="18"/>
              </w:rPr>
            </w:pPr>
            <w:r w:rsidRPr="00921317">
              <w:rPr>
                <w:rFonts w:ascii="Arial" w:hAnsi="Arial" w:cs="Arial"/>
                <w:sz w:val="18"/>
              </w:rPr>
              <w:t>1.70%</w:t>
            </w:r>
          </w:p>
        </w:tc>
        <w:tc>
          <w:tcPr>
            <w:tcW w:w="771" w:type="pct"/>
            <w:tcBorders>
              <w:top w:val="single" w:sz="6" w:space="0" w:color="auto"/>
              <w:left w:val="single" w:sz="6" w:space="0" w:color="auto"/>
              <w:bottom w:val="single" w:sz="6" w:space="0" w:color="auto"/>
              <w:right w:val="single" w:sz="6" w:space="0" w:color="auto"/>
            </w:tcBorders>
            <w:vAlign w:val="center"/>
            <w:hideMark/>
          </w:tcPr>
          <w:p w:rsidR="00921317" w:rsidRPr="00697FFD" w:rsidRDefault="00921317" w:rsidP="00921317">
            <w:pPr>
              <w:widowControl/>
              <w:jc w:val="center"/>
            </w:pPr>
            <w:r w:rsidRPr="00697FFD">
              <w:t>6</w:t>
            </w:r>
            <w:r w:rsidRPr="00697FFD">
              <w:t>个月</w:t>
            </w:r>
          </w:p>
        </w:tc>
      </w:tr>
      <w:tr w:rsidR="00921317" w:rsidRPr="00697FFD" w:rsidTr="00921317">
        <w:trPr>
          <w:trHeight w:val="547"/>
          <w:tblCellSpacing w:w="0" w:type="dxa"/>
          <w:jc w:val="center"/>
        </w:trPr>
        <w:tc>
          <w:tcPr>
            <w:tcW w:w="693" w:type="pct"/>
            <w:tcBorders>
              <w:top w:val="single" w:sz="6" w:space="0" w:color="auto"/>
              <w:left w:val="single" w:sz="6" w:space="0" w:color="auto"/>
              <w:bottom w:val="single" w:sz="6" w:space="0" w:color="auto"/>
              <w:right w:val="single" w:sz="6" w:space="0" w:color="auto"/>
            </w:tcBorders>
            <w:vAlign w:val="center"/>
          </w:tcPr>
          <w:p w:rsidR="00921317" w:rsidRPr="00697FFD" w:rsidRDefault="00921317" w:rsidP="00921317">
            <w:pPr>
              <w:widowControl/>
              <w:jc w:val="center"/>
              <w:rPr>
                <w:rFonts w:ascii="宋体" w:hAnsi="宋体" w:cs="宋体"/>
                <w:kern w:val="0"/>
                <w:sz w:val="24"/>
              </w:rPr>
            </w:pPr>
            <w:r w:rsidRPr="003F4388">
              <w:rPr>
                <w:rFonts w:ascii="宋体" w:hAnsi="宋体" w:cs="宋体" w:hint="eastAsia"/>
                <w:kern w:val="0"/>
                <w:sz w:val="24"/>
              </w:rPr>
              <w:t>景气进取</w:t>
            </w:r>
          </w:p>
        </w:tc>
        <w:tc>
          <w:tcPr>
            <w:tcW w:w="693" w:type="pct"/>
            <w:tcBorders>
              <w:top w:val="single" w:sz="6" w:space="0" w:color="auto"/>
              <w:left w:val="single" w:sz="6" w:space="0" w:color="auto"/>
              <w:bottom w:val="single" w:sz="6" w:space="0" w:color="auto"/>
              <w:right w:val="single" w:sz="6" w:space="0" w:color="auto"/>
            </w:tcBorders>
            <w:vAlign w:val="center"/>
          </w:tcPr>
          <w:p w:rsidR="00921317" w:rsidRPr="003F4388" w:rsidRDefault="00921317" w:rsidP="00921317">
            <w:pPr>
              <w:jc w:val="center"/>
              <w:rPr>
                <w:sz w:val="18"/>
              </w:rPr>
            </w:pPr>
            <w:r w:rsidRPr="003F4388">
              <w:rPr>
                <w:rFonts w:ascii="Arial" w:hAnsi="Arial" w:cs="Arial"/>
                <w:sz w:val="18"/>
              </w:rPr>
              <w:t>94,637</w:t>
            </w:r>
          </w:p>
        </w:tc>
        <w:tc>
          <w:tcPr>
            <w:tcW w:w="839" w:type="pct"/>
            <w:tcBorders>
              <w:top w:val="single" w:sz="6" w:space="0" w:color="auto"/>
              <w:left w:val="single" w:sz="6" w:space="0" w:color="auto"/>
              <w:bottom w:val="single" w:sz="6" w:space="0" w:color="auto"/>
              <w:right w:val="single" w:sz="6" w:space="0" w:color="auto"/>
            </w:tcBorders>
            <w:vAlign w:val="center"/>
          </w:tcPr>
          <w:p w:rsidR="00921317" w:rsidRPr="003F4388" w:rsidRDefault="00921317" w:rsidP="00921317">
            <w:pPr>
              <w:jc w:val="center"/>
              <w:rPr>
                <w:sz w:val="18"/>
              </w:rPr>
            </w:pPr>
            <w:r w:rsidRPr="003F4388">
              <w:rPr>
                <w:rFonts w:ascii="Arial" w:hAnsi="Arial" w:cs="Arial"/>
                <w:sz w:val="18"/>
              </w:rPr>
              <w:t>29,999,929.00</w:t>
            </w:r>
          </w:p>
        </w:tc>
        <w:tc>
          <w:tcPr>
            <w:tcW w:w="585" w:type="pct"/>
            <w:tcBorders>
              <w:top w:val="single" w:sz="6" w:space="0" w:color="auto"/>
              <w:left w:val="single" w:sz="6" w:space="0" w:color="auto"/>
              <w:bottom w:val="single" w:sz="6" w:space="0" w:color="auto"/>
              <w:right w:val="single" w:sz="6" w:space="0" w:color="auto"/>
            </w:tcBorders>
            <w:vAlign w:val="center"/>
          </w:tcPr>
          <w:p w:rsidR="00921317" w:rsidRPr="008018B4" w:rsidRDefault="00921317" w:rsidP="00921317">
            <w:pPr>
              <w:jc w:val="center"/>
              <w:rPr>
                <w:rFonts w:ascii="Arial" w:hAnsi="Arial" w:cs="Arial"/>
                <w:sz w:val="18"/>
              </w:rPr>
            </w:pPr>
            <w:r w:rsidRPr="00921317">
              <w:rPr>
                <w:rFonts w:ascii="Arial" w:hAnsi="Arial" w:cs="Arial"/>
                <w:sz w:val="18"/>
              </w:rPr>
              <w:t>1.05%</w:t>
            </w:r>
          </w:p>
        </w:tc>
        <w:tc>
          <w:tcPr>
            <w:tcW w:w="725" w:type="pct"/>
            <w:tcBorders>
              <w:top w:val="single" w:sz="6" w:space="0" w:color="auto"/>
              <w:left w:val="single" w:sz="6" w:space="0" w:color="auto"/>
              <w:bottom w:val="single" w:sz="6" w:space="0" w:color="auto"/>
              <w:right w:val="single" w:sz="6" w:space="0" w:color="auto"/>
            </w:tcBorders>
            <w:vAlign w:val="center"/>
          </w:tcPr>
          <w:p w:rsidR="00921317" w:rsidRPr="008018B4" w:rsidRDefault="00921317" w:rsidP="00921317">
            <w:pPr>
              <w:jc w:val="center"/>
              <w:rPr>
                <w:rFonts w:ascii="Arial" w:hAnsi="Arial" w:cs="Arial"/>
                <w:sz w:val="18"/>
              </w:rPr>
            </w:pPr>
            <w:r w:rsidRPr="00921317">
              <w:rPr>
                <w:rFonts w:ascii="Arial" w:hAnsi="Arial" w:cs="Arial"/>
                <w:sz w:val="18"/>
              </w:rPr>
              <w:t>3,141.00</w:t>
            </w:r>
          </w:p>
        </w:tc>
        <w:tc>
          <w:tcPr>
            <w:tcW w:w="694" w:type="pct"/>
            <w:tcBorders>
              <w:top w:val="single" w:sz="6" w:space="0" w:color="auto"/>
              <w:left w:val="single" w:sz="6" w:space="0" w:color="auto"/>
              <w:bottom w:val="single" w:sz="6" w:space="0" w:color="auto"/>
              <w:right w:val="single" w:sz="6" w:space="0" w:color="auto"/>
            </w:tcBorders>
            <w:vAlign w:val="center"/>
          </w:tcPr>
          <w:p w:rsidR="00921317" w:rsidRPr="008018B4" w:rsidRDefault="00921317" w:rsidP="00921317">
            <w:pPr>
              <w:jc w:val="center"/>
              <w:rPr>
                <w:rFonts w:ascii="Arial" w:hAnsi="Arial" w:cs="Arial"/>
                <w:sz w:val="18"/>
              </w:rPr>
            </w:pPr>
            <w:r w:rsidRPr="00921317">
              <w:rPr>
                <w:rFonts w:ascii="Arial" w:hAnsi="Arial" w:cs="Arial"/>
                <w:sz w:val="18"/>
              </w:rPr>
              <w:t>1.10%</w:t>
            </w:r>
          </w:p>
        </w:tc>
        <w:tc>
          <w:tcPr>
            <w:tcW w:w="771" w:type="pct"/>
            <w:tcBorders>
              <w:top w:val="single" w:sz="6" w:space="0" w:color="auto"/>
              <w:left w:val="single" w:sz="6" w:space="0" w:color="auto"/>
              <w:bottom w:val="single" w:sz="6" w:space="0" w:color="auto"/>
              <w:right w:val="single" w:sz="6" w:space="0" w:color="auto"/>
            </w:tcBorders>
            <w:vAlign w:val="center"/>
          </w:tcPr>
          <w:p w:rsidR="00921317" w:rsidRPr="00697FFD" w:rsidRDefault="00921317" w:rsidP="00921317">
            <w:pPr>
              <w:widowControl/>
              <w:jc w:val="center"/>
            </w:pPr>
            <w:r w:rsidRPr="00697FFD">
              <w:t>6</w:t>
            </w:r>
            <w:r w:rsidRPr="00697FFD">
              <w:t>个月</w:t>
            </w:r>
          </w:p>
        </w:tc>
      </w:tr>
      <w:tr w:rsidR="00921317" w:rsidRPr="00697FFD" w:rsidTr="00921317">
        <w:trPr>
          <w:trHeight w:val="541"/>
          <w:tblCellSpacing w:w="0" w:type="dxa"/>
          <w:jc w:val="center"/>
        </w:trPr>
        <w:tc>
          <w:tcPr>
            <w:tcW w:w="693" w:type="pct"/>
            <w:tcBorders>
              <w:top w:val="single" w:sz="6" w:space="0" w:color="auto"/>
              <w:left w:val="single" w:sz="6" w:space="0" w:color="auto"/>
              <w:bottom w:val="single" w:sz="6" w:space="0" w:color="auto"/>
              <w:right w:val="single" w:sz="6" w:space="0" w:color="auto"/>
            </w:tcBorders>
            <w:vAlign w:val="center"/>
          </w:tcPr>
          <w:p w:rsidR="00921317" w:rsidRPr="00697FFD" w:rsidRDefault="00921317" w:rsidP="00921317">
            <w:pPr>
              <w:widowControl/>
              <w:jc w:val="center"/>
              <w:rPr>
                <w:rFonts w:ascii="宋体" w:hAnsi="宋体" w:cs="宋体"/>
                <w:kern w:val="0"/>
                <w:sz w:val="24"/>
              </w:rPr>
            </w:pPr>
            <w:r w:rsidRPr="003F4388">
              <w:rPr>
                <w:rFonts w:ascii="宋体" w:hAnsi="宋体" w:cs="宋体" w:hint="eastAsia"/>
                <w:kern w:val="0"/>
                <w:sz w:val="24"/>
              </w:rPr>
              <w:t>成长之星</w:t>
            </w:r>
          </w:p>
        </w:tc>
        <w:tc>
          <w:tcPr>
            <w:tcW w:w="693" w:type="pct"/>
            <w:tcBorders>
              <w:top w:val="single" w:sz="6" w:space="0" w:color="auto"/>
              <w:left w:val="single" w:sz="6" w:space="0" w:color="auto"/>
              <w:bottom w:val="single" w:sz="6" w:space="0" w:color="auto"/>
              <w:right w:val="single" w:sz="6" w:space="0" w:color="auto"/>
            </w:tcBorders>
            <w:vAlign w:val="center"/>
          </w:tcPr>
          <w:p w:rsidR="00921317" w:rsidRPr="003F4388" w:rsidRDefault="00921317" w:rsidP="00921317">
            <w:pPr>
              <w:jc w:val="center"/>
              <w:rPr>
                <w:sz w:val="18"/>
              </w:rPr>
            </w:pPr>
            <w:r w:rsidRPr="003F4388">
              <w:rPr>
                <w:rFonts w:ascii="Arial" w:hAnsi="Arial" w:cs="Arial"/>
                <w:sz w:val="18"/>
              </w:rPr>
              <w:t>135,647</w:t>
            </w:r>
          </w:p>
        </w:tc>
        <w:tc>
          <w:tcPr>
            <w:tcW w:w="839" w:type="pct"/>
            <w:tcBorders>
              <w:top w:val="single" w:sz="6" w:space="0" w:color="auto"/>
              <w:left w:val="single" w:sz="6" w:space="0" w:color="auto"/>
              <w:bottom w:val="single" w:sz="6" w:space="0" w:color="auto"/>
              <w:right w:val="single" w:sz="6" w:space="0" w:color="auto"/>
            </w:tcBorders>
            <w:vAlign w:val="center"/>
          </w:tcPr>
          <w:p w:rsidR="00921317" w:rsidRPr="003F4388" w:rsidRDefault="00921317" w:rsidP="00921317">
            <w:pPr>
              <w:jc w:val="center"/>
              <w:rPr>
                <w:sz w:val="18"/>
              </w:rPr>
            </w:pPr>
            <w:r w:rsidRPr="003F4388">
              <w:rPr>
                <w:rFonts w:ascii="Arial" w:hAnsi="Arial" w:cs="Arial"/>
                <w:sz w:val="18"/>
              </w:rPr>
              <w:t>43,000,099.00</w:t>
            </w:r>
          </w:p>
        </w:tc>
        <w:tc>
          <w:tcPr>
            <w:tcW w:w="585" w:type="pct"/>
            <w:tcBorders>
              <w:top w:val="single" w:sz="6" w:space="0" w:color="auto"/>
              <w:left w:val="single" w:sz="6" w:space="0" w:color="auto"/>
              <w:bottom w:val="single" w:sz="6" w:space="0" w:color="auto"/>
              <w:right w:val="single" w:sz="6" w:space="0" w:color="auto"/>
            </w:tcBorders>
            <w:vAlign w:val="center"/>
          </w:tcPr>
          <w:p w:rsidR="00921317" w:rsidRPr="008018B4" w:rsidRDefault="00921317" w:rsidP="00921317">
            <w:pPr>
              <w:jc w:val="center"/>
              <w:rPr>
                <w:rFonts w:ascii="Arial" w:hAnsi="Arial" w:cs="Arial"/>
                <w:sz w:val="18"/>
              </w:rPr>
            </w:pPr>
            <w:r w:rsidRPr="00921317">
              <w:rPr>
                <w:rFonts w:ascii="Arial" w:hAnsi="Arial" w:cs="Arial"/>
                <w:sz w:val="18"/>
              </w:rPr>
              <w:t>1.32%</w:t>
            </w:r>
          </w:p>
        </w:tc>
        <w:tc>
          <w:tcPr>
            <w:tcW w:w="725" w:type="pct"/>
            <w:tcBorders>
              <w:top w:val="single" w:sz="6" w:space="0" w:color="auto"/>
              <w:left w:val="single" w:sz="6" w:space="0" w:color="auto"/>
              <w:bottom w:val="single" w:sz="6" w:space="0" w:color="auto"/>
              <w:right w:val="single" w:sz="6" w:space="0" w:color="auto"/>
            </w:tcBorders>
            <w:vAlign w:val="center"/>
          </w:tcPr>
          <w:p w:rsidR="00921317" w:rsidRPr="008018B4" w:rsidRDefault="00921317" w:rsidP="00921317">
            <w:pPr>
              <w:jc w:val="center"/>
              <w:rPr>
                <w:rFonts w:ascii="Arial" w:hAnsi="Arial" w:cs="Arial"/>
                <w:sz w:val="18"/>
              </w:rPr>
            </w:pPr>
            <w:r w:rsidRPr="00921317">
              <w:rPr>
                <w:rFonts w:ascii="Arial" w:hAnsi="Arial" w:cs="Arial"/>
                <w:sz w:val="18"/>
              </w:rPr>
              <w:t>4,502.12</w:t>
            </w:r>
          </w:p>
        </w:tc>
        <w:tc>
          <w:tcPr>
            <w:tcW w:w="694" w:type="pct"/>
            <w:tcBorders>
              <w:top w:val="single" w:sz="6" w:space="0" w:color="auto"/>
              <w:left w:val="single" w:sz="6" w:space="0" w:color="auto"/>
              <w:bottom w:val="single" w:sz="6" w:space="0" w:color="auto"/>
              <w:right w:val="single" w:sz="6" w:space="0" w:color="auto"/>
            </w:tcBorders>
            <w:vAlign w:val="center"/>
          </w:tcPr>
          <w:p w:rsidR="00921317" w:rsidRPr="008018B4" w:rsidRDefault="00921317" w:rsidP="00921317">
            <w:pPr>
              <w:jc w:val="center"/>
              <w:rPr>
                <w:rFonts w:ascii="Arial" w:hAnsi="Arial" w:cs="Arial"/>
                <w:sz w:val="18"/>
              </w:rPr>
            </w:pPr>
            <w:r w:rsidRPr="00921317">
              <w:rPr>
                <w:rFonts w:ascii="Arial" w:hAnsi="Arial" w:cs="Arial"/>
                <w:sz w:val="18"/>
              </w:rPr>
              <w:t>1.38%</w:t>
            </w:r>
          </w:p>
        </w:tc>
        <w:tc>
          <w:tcPr>
            <w:tcW w:w="771" w:type="pct"/>
            <w:tcBorders>
              <w:top w:val="single" w:sz="6" w:space="0" w:color="auto"/>
              <w:left w:val="single" w:sz="6" w:space="0" w:color="auto"/>
              <w:bottom w:val="single" w:sz="6" w:space="0" w:color="auto"/>
              <w:right w:val="single" w:sz="6" w:space="0" w:color="auto"/>
            </w:tcBorders>
            <w:vAlign w:val="center"/>
          </w:tcPr>
          <w:p w:rsidR="00921317" w:rsidRPr="00697FFD" w:rsidRDefault="00921317" w:rsidP="00921317">
            <w:pPr>
              <w:widowControl/>
              <w:jc w:val="center"/>
            </w:pPr>
            <w:r w:rsidRPr="00697FFD">
              <w:t>6</w:t>
            </w:r>
            <w:r w:rsidRPr="00697FFD">
              <w:t>个月</w:t>
            </w:r>
          </w:p>
        </w:tc>
      </w:tr>
    </w:tbl>
    <w:p w:rsidR="003E7EFE" w:rsidRPr="00CB446E" w:rsidRDefault="003E7EFE" w:rsidP="002A2769">
      <w:pPr>
        <w:widowControl/>
        <w:spacing w:line="360" w:lineRule="auto"/>
        <w:ind w:firstLineChars="200" w:firstLine="480"/>
        <w:rPr>
          <w:rFonts w:ascii="宋体" w:hAnsi="宋体"/>
          <w:sz w:val="24"/>
        </w:rPr>
      </w:pPr>
      <w:r w:rsidRPr="00CB446E">
        <w:rPr>
          <w:rFonts w:ascii="宋体" w:hAnsi="宋体" w:hint="eastAsia"/>
          <w:sz w:val="24"/>
        </w:rPr>
        <w:t>注：基金资产净值、账面价值为</w:t>
      </w:r>
      <w:r w:rsidR="003F63E6" w:rsidRPr="00CB446E">
        <w:rPr>
          <w:rFonts w:ascii="宋体" w:hAnsi="宋体" w:hint="eastAsia"/>
          <w:sz w:val="24"/>
        </w:rPr>
        <w:t>2</w:t>
      </w:r>
      <w:r w:rsidR="003F63E6" w:rsidRPr="00CB446E">
        <w:rPr>
          <w:rFonts w:ascii="宋体" w:hAnsi="宋体"/>
          <w:sz w:val="24"/>
        </w:rPr>
        <w:t>02</w:t>
      </w:r>
      <w:r w:rsidR="00864FE6" w:rsidRPr="00CB446E">
        <w:rPr>
          <w:rFonts w:ascii="宋体" w:hAnsi="宋体"/>
          <w:sz w:val="24"/>
        </w:rPr>
        <w:t>5</w:t>
      </w:r>
      <w:r w:rsidR="003F63E6" w:rsidRPr="00CB446E">
        <w:rPr>
          <w:rFonts w:ascii="宋体" w:hAnsi="宋体" w:hint="eastAsia"/>
          <w:sz w:val="24"/>
        </w:rPr>
        <w:t>年</w:t>
      </w:r>
      <w:r w:rsidR="00864DF4" w:rsidRPr="00CB446E">
        <w:rPr>
          <w:rFonts w:ascii="宋体" w:hAnsi="宋体"/>
          <w:sz w:val="24"/>
        </w:rPr>
        <w:t>9</w:t>
      </w:r>
      <w:r w:rsidR="003F63E6" w:rsidRPr="00CB446E">
        <w:rPr>
          <w:rFonts w:ascii="宋体" w:hAnsi="宋体" w:hint="eastAsia"/>
          <w:sz w:val="24"/>
        </w:rPr>
        <w:t>月</w:t>
      </w:r>
      <w:r w:rsidR="00864DF4" w:rsidRPr="00CB446E">
        <w:rPr>
          <w:rFonts w:ascii="宋体" w:hAnsi="宋体"/>
          <w:sz w:val="24"/>
        </w:rPr>
        <w:t>29</w:t>
      </w:r>
      <w:r w:rsidR="00261D61" w:rsidRPr="00CB446E">
        <w:rPr>
          <w:rFonts w:ascii="宋体" w:hAnsi="宋体" w:hint="eastAsia"/>
          <w:sz w:val="24"/>
        </w:rPr>
        <w:t>日</w:t>
      </w:r>
      <w:r w:rsidRPr="00CB446E">
        <w:rPr>
          <w:rFonts w:ascii="宋体" w:hAnsi="宋体" w:hint="eastAsia"/>
          <w:sz w:val="24"/>
        </w:rPr>
        <w:t>数据。</w:t>
      </w:r>
    </w:p>
    <w:p w:rsidR="003E7EFE" w:rsidRPr="00697FFD" w:rsidRDefault="003E7EFE" w:rsidP="002A2769">
      <w:pPr>
        <w:widowControl/>
        <w:spacing w:line="360" w:lineRule="auto"/>
        <w:ind w:firstLineChars="200" w:firstLine="480"/>
        <w:rPr>
          <w:rFonts w:ascii="宋体" w:hAnsi="宋体" w:cs="宋体"/>
          <w:kern w:val="0"/>
          <w:sz w:val="24"/>
        </w:rPr>
      </w:pPr>
    </w:p>
    <w:p w:rsidR="002A2769" w:rsidRPr="00697FFD" w:rsidRDefault="002A2769" w:rsidP="002A2769">
      <w:pPr>
        <w:widowControl/>
        <w:spacing w:line="360" w:lineRule="auto"/>
        <w:ind w:firstLineChars="200" w:firstLine="480"/>
        <w:rPr>
          <w:rFonts w:ascii="宋体" w:hAnsi="宋体" w:cs="宋体"/>
          <w:kern w:val="0"/>
          <w:sz w:val="24"/>
        </w:rPr>
      </w:pPr>
      <w:r w:rsidRPr="00697FFD">
        <w:rPr>
          <w:rFonts w:ascii="宋体" w:hAnsi="宋体" w:cs="宋体" w:hint="eastAsia"/>
          <w:kern w:val="0"/>
          <w:sz w:val="24"/>
        </w:rPr>
        <w:t>投资者可登陆本公司网站（</w:t>
      </w:r>
      <w:r w:rsidR="00E21922" w:rsidRPr="00697FFD">
        <w:rPr>
          <w:rFonts w:ascii="宋体" w:hAnsi="宋体" w:cs="宋体"/>
          <w:kern w:val="0"/>
          <w:sz w:val="24"/>
        </w:rPr>
        <w:t>www.igwfmc.com</w:t>
      </w:r>
      <w:r w:rsidRPr="00697FFD">
        <w:rPr>
          <w:rFonts w:ascii="宋体" w:hAnsi="宋体" w:cs="宋体" w:hint="eastAsia"/>
          <w:kern w:val="0"/>
          <w:sz w:val="24"/>
        </w:rPr>
        <w:t>），或拨打客户服务电话400-8888-606 0755-82370688咨询相关信息。</w:t>
      </w:r>
    </w:p>
    <w:p w:rsidR="002A2769" w:rsidRPr="00697FFD" w:rsidRDefault="002A2769" w:rsidP="002A2769">
      <w:pPr>
        <w:spacing w:line="360" w:lineRule="auto"/>
        <w:rPr>
          <w:rFonts w:ascii="宋体" w:hAnsi="宋体" w:cs="宋体"/>
          <w:kern w:val="0"/>
          <w:sz w:val="24"/>
        </w:rPr>
      </w:pPr>
    </w:p>
    <w:p w:rsidR="002A2769" w:rsidRPr="00697FFD" w:rsidRDefault="002A2769" w:rsidP="002A2769">
      <w:pPr>
        <w:widowControl/>
        <w:spacing w:line="360" w:lineRule="auto"/>
        <w:ind w:firstLineChars="200" w:firstLine="480"/>
        <w:rPr>
          <w:rFonts w:ascii="宋体" w:hAnsi="宋体" w:cs="宋体"/>
          <w:kern w:val="0"/>
          <w:sz w:val="24"/>
        </w:rPr>
      </w:pPr>
      <w:r w:rsidRPr="00697FFD">
        <w:rPr>
          <w:rFonts w:ascii="宋体" w:hAnsi="宋体" w:cs="宋体" w:hint="eastAsia"/>
          <w:kern w:val="0"/>
          <w:sz w:val="24"/>
        </w:rPr>
        <w:t>特此公告。</w:t>
      </w:r>
    </w:p>
    <w:p w:rsidR="002A2769" w:rsidRPr="00697FFD" w:rsidRDefault="002A2769" w:rsidP="002A2769">
      <w:pPr>
        <w:spacing w:line="360" w:lineRule="auto"/>
        <w:rPr>
          <w:rFonts w:ascii="宋体" w:hAnsi="宋体" w:cs="宋体"/>
          <w:kern w:val="0"/>
          <w:sz w:val="24"/>
        </w:rPr>
      </w:pPr>
    </w:p>
    <w:p w:rsidR="002A2769" w:rsidRPr="00697FFD" w:rsidRDefault="002A2769" w:rsidP="002A2769">
      <w:pPr>
        <w:spacing w:line="360" w:lineRule="auto"/>
        <w:rPr>
          <w:rFonts w:ascii="宋体" w:hAnsi="宋体" w:cs="宋体"/>
          <w:kern w:val="0"/>
          <w:sz w:val="24"/>
        </w:rPr>
      </w:pPr>
      <w:r w:rsidRPr="00697FFD">
        <w:rPr>
          <w:rFonts w:ascii="宋体" w:hAnsi="宋体" w:cs="宋体" w:hint="eastAsia"/>
          <w:kern w:val="0"/>
          <w:sz w:val="24"/>
        </w:rPr>
        <w:t xml:space="preserve">　　                                         景顺长城基金管理有限公司</w:t>
      </w:r>
    </w:p>
    <w:p w:rsidR="005A3089" w:rsidRPr="002A2769" w:rsidRDefault="002A2769" w:rsidP="004C275F">
      <w:pPr>
        <w:spacing w:line="360" w:lineRule="auto"/>
      </w:pPr>
      <w:r w:rsidRPr="00697FFD">
        <w:rPr>
          <w:rFonts w:ascii="宋体" w:hAnsi="宋体" w:cs="宋体" w:hint="eastAsia"/>
          <w:kern w:val="0"/>
          <w:sz w:val="24"/>
        </w:rPr>
        <w:t xml:space="preserve">                                                 </w:t>
      </w:r>
      <w:r w:rsidR="003B0285" w:rsidRPr="00697FFD">
        <w:rPr>
          <w:rFonts w:ascii="宋体" w:hAnsi="宋体" w:cs="宋体" w:hint="eastAsia"/>
          <w:kern w:val="0"/>
          <w:sz w:val="24"/>
        </w:rPr>
        <w:t xml:space="preserve">    </w:t>
      </w:r>
      <w:r w:rsidRPr="00697FFD">
        <w:rPr>
          <w:rFonts w:ascii="宋体" w:hAnsi="宋体" w:cs="宋体" w:hint="eastAsia"/>
          <w:kern w:val="0"/>
          <w:sz w:val="24"/>
        </w:rPr>
        <w:t xml:space="preserve"> </w:t>
      </w:r>
      <w:r w:rsidR="00261D61" w:rsidRPr="00CB446E">
        <w:rPr>
          <w:rFonts w:ascii="宋体" w:hAnsi="宋体" w:cs="宋体" w:hint="eastAsia"/>
          <w:kern w:val="0"/>
          <w:sz w:val="24"/>
        </w:rPr>
        <w:t>2</w:t>
      </w:r>
      <w:r w:rsidR="00261D61" w:rsidRPr="00CB446E">
        <w:rPr>
          <w:rFonts w:ascii="宋体" w:hAnsi="宋体" w:cs="宋体"/>
          <w:kern w:val="0"/>
          <w:sz w:val="24"/>
        </w:rPr>
        <w:t>02</w:t>
      </w:r>
      <w:r w:rsidR="00864FE6" w:rsidRPr="00CB446E">
        <w:rPr>
          <w:rFonts w:ascii="宋体" w:hAnsi="宋体" w:cs="宋体"/>
          <w:kern w:val="0"/>
          <w:sz w:val="24"/>
        </w:rPr>
        <w:t>5</w:t>
      </w:r>
      <w:r w:rsidR="00261D61" w:rsidRPr="00CB446E">
        <w:rPr>
          <w:rFonts w:ascii="宋体" w:hAnsi="宋体" w:cs="宋体" w:hint="eastAsia"/>
          <w:kern w:val="0"/>
          <w:sz w:val="24"/>
        </w:rPr>
        <w:t>年</w:t>
      </w:r>
      <w:r w:rsidR="00864DF4" w:rsidRPr="00CB446E">
        <w:rPr>
          <w:rFonts w:ascii="宋体" w:hAnsi="宋体" w:cs="宋体"/>
          <w:kern w:val="0"/>
          <w:sz w:val="24"/>
        </w:rPr>
        <w:t>9</w:t>
      </w:r>
      <w:r w:rsidR="00261D61" w:rsidRPr="00CB446E">
        <w:rPr>
          <w:rFonts w:ascii="宋体" w:hAnsi="宋体" w:cs="宋体" w:hint="eastAsia"/>
          <w:kern w:val="0"/>
          <w:sz w:val="24"/>
        </w:rPr>
        <w:t>月</w:t>
      </w:r>
      <w:r w:rsidR="00864DF4" w:rsidRPr="00CB446E">
        <w:rPr>
          <w:rFonts w:ascii="宋体" w:hAnsi="宋体" w:cs="宋体"/>
          <w:kern w:val="0"/>
          <w:sz w:val="24"/>
        </w:rPr>
        <w:t>30</w:t>
      </w:r>
      <w:r w:rsidR="00261D61" w:rsidRPr="00CB446E">
        <w:rPr>
          <w:rFonts w:ascii="宋体" w:hAnsi="宋体" w:cs="宋体" w:hint="eastAsia"/>
          <w:kern w:val="0"/>
          <w:sz w:val="24"/>
        </w:rPr>
        <w:t>日</w:t>
      </w:r>
    </w:p>
    <w:sectPr w:rsidR="005A3089" w:rsidRPr="002A2769" w:rsidSect="00EA0C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7184" w:rsidRDefault="00BE7184" w:rsidP="00FB3203">
      <w:r>
        <w:separator/>
      </w:r>
    </w:p>
  </w:endnote>
  <w:endnote w:type="continuationSeparator" w:id="0">
    <w:p w:rsidR="00BE7184" w:rsidRDefault="00BE7184" w:rsidP="00FB3203">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7184" w:rsidRDefault="00BE7184" w:rsidP="00FB3203">
      <w:r>
        <w:separator/>
      </w:r>
    </w:p>
  </w:footnote>
  <w:footnote w:type="continuationSeparator" w:id="0">
    <w:p w:rsidR="00BE7184" w:rsidRDefault="00BE7184" w:rsidP="00FB32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A2769"/>
    <w:rsid w:val="000166BE"/>
    <w:rsid w:val="0003262D"/>
    <w:rsid w:val="00060050"/>
    <w:rsid w:val="00065BF6"/>
    <w:rsid w:val="00087031"/>
    <w:rsid w:val="0009170C"/>
    <w:rsid w:val="000C7430"/>
    <w:rsid w:val="000D7C00"/>
    <w:rsid w:val="000F6E66"/>
    <w:rsid w:val="00142563"/>
    <w:rsid w:val="00143CAB"/>
    <w:rsid w:val="00154708"/>
    <w:rsid w:val="001732EC"/>
    <w:rsid w:val="001801EB"/>
    <w:rsid w:val="00187212"/>
    <w:rsid w:val="001D77DB"/>
    <w:rsid w:val="001F7216"/>
    <w:rsid w:val="00213A6F"/>
    <w:rsid w:val="00226BD0"/>
    <w:rsid w:val="002327DA"/>
    <w:rsid w:val="002352F1"/>
    <w:rsid w:val="00257E58"/>
    <w:rsid w:val="00261D61"/>
    <w:rsid w:val="00264738"/>
    <w:rsid w:val="002776F4"/>
    <w:rsid w:val="002A2478"/>
    <w:rsid w:val="002A2769"/>
    <w:rsid w:val="002D24CA"/>
    <w:rsid w:val="002D44CE"/>
    <w:rsid w:val="002E7CF3"/>
    <w:rsid w:val="0030171A"/>
    <w:rsid w:val="003862C3"/>
    <w:rsid w:val="003B0285"/>
    <w:rsid w:val="003E7EFE"/>
    <w:rsid w:val="003F4388"/>
    <w:rsid w:val="003F63E6"/>
    <w:rsid w:val="004048E4"/>
    <w:rsid w:val="00443D7F"/>
    <w:rsid w:val="00444EC5"/>
    <w:rsid w:val="00456AD9"/>
    <w:rsid w:val="00481831"/>
    <w:rsid w:val="004B5064"/>
    <w:rsid w:val="004C275F"/>
    <w:rsid w:val="004D2A48"/>
    <w:rsid w:val="004F2777"/>
    <w:rsid w:val="004F660F"/>
    <w:rsid w:val="00512132"/>
    <w:rsid w:val="00521D45"/>
    <w:rsid w:val="00593AC9"/>
    <w:rsid w:val="005A3089"/>
    <w:rsid w:val="005B36E4"/>
    <w:rsid w:val="005C76D5"/>
    <w:rsid w:val="005F16D8"/>
    <w:rsid w:val="006226C9"/>
    <w:rsid w:val="00645D0C"/>
    <w:rsid w:val="00652B19"/>
    <w:rsid w:val="00697FFD"/>
    <w:rsid w:val="006B06E1"/>
    <w:rsid w:val="006B7C10"/>
    <w:rsid w:val="006C310C"/>
    <w:rsid w:val="006D2822"/>
    <w:rsid w:val="0073677A"/>
    <w:rsid w:val="00747F9B"/>
    <w:rsid w:val="00765C70"/>
    <w:rsid w:val="00767B72"/>
    <w:rsid w:val="00775E4B"/>
    <w:rsid w:val="00787FBE"/>
    <w:rsid w:val="00796959"/>
    <w:rsid w:val="007B7CB3"/>
    <w:rsid w:val="007D6A61"/>
    <w:rsid w:val="007E5C48"/>
    <w:rsid w:val="007E7DE0"/>
    <w:rsid w:val="008018B4"/>
    <w:rsid w:val="008255ED"/>
    <w:rsid w:val="008340BC"/>
    <w:rsid w:val="0084064F"/>
    <w:rsid w:val="0084331C"/>
    <w:rsid w:val="00864DF4"/>
    <w:rsid w:val="00864FE6"/>
    <w:rsid w:val="00896089"/>
    <w:rsid w:val="00915A40"/>
    <w:rsid w:val="00921317"/>
    <w:rsid w:val="00922C83"/>
    <w:rsid w:val="00925781"/>
    <w:rsid w:val="0097081A"/>
    <w:rsid w:val="009A2F20"/>
    <w:rsid w:val="009D313F"/>
    <w:rsid w:val="009D6C46"/>
    <w:rsid w:val="009E14B8"/>
    <w:rsid w:val="009E621D"/>
    <w:rsid w:val="009E7D94"/>
    <w:rsid w:val="00A0525A"/>
    <w:rsid w:val="00A539C3"/>
    <w:rsid w:val="00A6559A"/>
    <w:rsid w:val="00A73AA5"/>
    <w:rsid w:val="00A75851"/>
    <w:rsid w:val="00A77C3B"/>
    <w:rsid w:val="00AC315C"/>
    <w:rsid w:val="00AD3B44"/>
    <w:rsid w:val="00B005D3"/>
    <w:rsid w:val="00B95F8E"/>
    <w:rsid w:val="00BB764A"/>
    <w:rsid w:val="00BE7184"/>
    <w:rsid w:val="00C80BB0"/>
    <w:rsid w:val="00CB446E"/>
    <w:rsid w:val="00CC13BD"/>
    <w:rsid w:val="00CF1EF7"/>
    <w:rsid w:val="00D05532"/>
    <w:rsid w:val="00D10822"/>
    <w:rsid w:val="00D47B89"/>
    <w:rsid w:val="00E10CA5"/>
    <w:rsid w:val="00E21922"/>
    <w:rsid w:val="00E50E72"/>
    <w:rsid w:val="00EA0CAA"/>
    <w:rsid w:val="00ED6DA6"/>
    <w:rsid w:val="00F24D49"/>
    <w:rsid w:val="00F4519B"/>
    <w:rsid w:val="00FA2FDB"/>
    <w:rsid w:val="00FB2A30"/>
    <w:rsid w:val="00FB3203"/>
    <w:rsid w:val="00FB35C2"/>
    <w:rsid w:val="00FC4A31"/>
    <w:rsid w:val="00FC4B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76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A2769"/>
    <w:rPr>
      <w:color w:val="0563C1" w:themeColor="hyperlink"/>
      <w:u w:val="single"/>
    </w:rPr>
  </w:style>
  <w:style w:type="paragraph" w:styleId="a4">
    <w:name w:val="header"/>
    <w:basedOn w:val="a"/>
    <w:link w:val="Char"/>
    <w:uiPriority w:val="99"/>
    <w:unhideWhenUsed/>
    <w:rsid w:val="00FB32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B3203"/>
    <w:rPr>
      <w:rFonts w:ascii="Times New Roman" w:eastAsia="宋体" w:hAnsi="Times New Roman" w:cs="Times New Roman"/>
      <w:sz w:val="18"/>
      <w:szCs w:val="18"/>
    </w:rPr>
  </w:style>
  <w:style w:type="paragraph" w:styleId="a5">
    <w:name w:val="footer"/>
    <w:basedOn w:val="a"/>
    <w:link w:val="Char0"/>
    <w:uiPriority w:val="99"/>
    <w:unhideWhenUsed/>
    <w:rsid w:val="00FB3203"/>
    <w:pPr>
      <w:tabs>
        <w:tab w:val="center" w:pos="4153"/>
        <w:tab w:val="right" w:pos="8306"/>
      </w:tabs>
      <w:snapToGrid w:val="0"/>
      <w:jc w:val="left"/>
    </w:pPr>
    <w:rPr>
      <w:sz w:val="18"/>
      <w:szCs w:val="18"/>
    </w:rPr>
  </w:style>
  <w:style w:type="character" w:customStyle="1" w:styleId="Char0">
    <w:name w:val="页脚 Char"/>
    <w:basedOn w:val="a0"/>
    <w:link w:val="a5"/>
    <w:uiPriority w:val="99"/>
    <w:rsid w:val="00FB3203"/>
    <w:rPr>
      <w:rFonts w:ascii="Times New Roman" w:eastAsia="宋体" w:hAnsi="Times New Roman" w:cs="Times New Roman"/>
      <w:sz w:val="18"/>
      <w:szCs w:val="18"/>
    </w:rPr>
  </w:style>
  <w:style w:type="paragraph" w:styleId="a6">
    <w:name w:val="Balloon Text"/>
    <w:basedOn w:val="a"/>
    <w:link w:val="Char1"/>
    <w:uiPriority w:val="99"/>
    <w:semiHidden/>
    <w:unhideWhenUsed/>
    <w:rsid w:val="00E21922"/>
    <w:rPr>
      <w:sz w:val="18"/>
      <w:szCs w:val="18"/>
    </w:rPr>
  </w:style>
  <w:style w:type="character" w:customStyle="1" w:styleId="Char1">
    <w:name w:val="批注框文本 Char"/>
    <w:basedOn w:val="a0"/>
    <w:link w:val="a6"/>
    <w:uiPriority w:val="99"/>
    <w:semiHidden/>
    <w:rsid w:val="00E21922"/>
    <w:rPr>
      <w:rFonts w:ascii="Times New Roman" w:eastAsia="宋体" w:hAnsi="Times New Roman" w:cs="Times New Roman"/>
      <w:sz w:val="18"/>
      <w:szCs w:val="18"/>
    </w:rPr>
  </w:style>
  <w:style w:type="character" w:styleId="a7">
    <w:name w:val="annotation reference"/>
    <w:basedOn w:val="a0"/>
    <w:uiPriority w:val="99"/>
    <w:semiHidden/>
    <w:unhideWhenUsed/>
    <w:rsid w:val="0097081A"/>
    <w:rPr>
      <w:sz w:val="21"/>
      <w:szCs w:val="21"/>
    </w:rPr>
  </w:style>
  <w:style w:type="paragraph" w:styleId="a8">
    <w:name w:val="annotation text"/>
    <w:basedOn w:val="a"/>
    <w:link w:val="Char2"/>
    <w:uiPriority w:val="99"/>
    <w:semiHidden/>
    <w:unhideWhenUsed/>
    <w:rsid w:val="0097081A"/>
    <w:pPr>
      <w:jc w:val="left"/>
    </w:pPr>
  </w:style>
  <w:style w:type="character" w:customStyle="1" w:styleId="Char2">
    <w:name w:val="批注文字 Char"/>
    <w:basedOn w:val="a0"/>
    <w:link w:val="a8"/>
    <w:uiPriority w:val="99"/>
    <w:semiHidden/>
    <w:rsid w:val="0097081A"/>
    <w:rPr>
      <w:rFonts w:ascii="Times New Roman" w:eastAsia="宋体" w:hAnsi="Times New Roman" w:cs="Times New Roman"/>
      <w:szCs w:val="24"/>
    </w:rPr>
  </w:style>
  <w:style w:type="paragraph" w:styleId="a9">
    <w:name w:val="annotation subject"/>
    <w:basedOn w:val="a8"/>
    <w:next w:val="a8"/>
    <w:link w:val="Char3"/>
    <w:uiPriority w:val="99"/>
    <w:semiHidden/>
    <w:unhideWhenUsed/>
    <w:rsid w:val="0097081A"/>
    <w:rPr>
      <w:b/>
      <w:bCs/>
    </w:rPr>
  </w:style>
  <w:style w:type="character" w:customStyle="1" w:styleId="Char3">
    <w:name w:val="批注主题 Char"/>
    <w:basedOn w:val="Char2"/>
    <w:link w:val="a9"/>
    <w:uiPriority w:val="99"/>
    <w:semiHidden/>
    <w:rsid w:val="0097081A"/>
    <w:rPr>
      <w:rFonts w:ascii="Times New Roman" w:eastAsia="宋体" w:hAnsi="Times New Roman" w:cs="Times New Roman"/>
      <w:b/>
      <w:bCs/>
      <w:szCs w:val="24"/>
    </w:rPr>
  </w:style>
</w:styles>
</file>

<file path=word/webSettings.xml><?xml version="1.0" encoding="utf-8"?>
<w:webSettings xmlns:r="http://schemas.openxmlformats.org/officeDocument/2006/relationships" xmlns:w="http://schemas.openxmlformats.org/wordprocessingml/2006/main">
  <w:divs>
    <w:div w:id="179970957">
      <w:bodyDiv w:val="1"/>
      <w:marLeft w:val="0"/>
      <w:marRight w:val="0"/>
      <w:marTop w:val="0"/>
      <w:marBottom w:val="0"/>
      <w:divBdr>
        <w:top w:val="none" w:sz="0" w:space="0" w:color="auto"/>
        <w:left w:val="none" w:sz="0" w:space="0" w:color="auto"/>
        <w:bottom w:val="none" w:sz="0" w:space="0" w:color="auto"/>
        <w:right w:val="none" w:sz="0" w:space="0" w:color="auto"/>
      </w:divBdr>
    </w:div>
    <w:div w:id="429745142">
      <w:bodyDiv w:val="1"/>
      <w:marLeft w:val="0"/>
      <w:marRight w:val="0"/>
      <w:marTop w:val="0"/>
      <w:marBottom w:val="0"/>
      <w:divBdr>
        <w:top w:val="none" w:sz="0" w:space="0" w:color="auto"/>
        <w:left w:val="none" w:sz="0" w:space="0" w:color="auto"/>
        <w:bottom w:val="none" w:sz="0" w:space="0" w:color="auto"/>
        <w:right w:val="none" w:sz="0" w:space="0" w:color="auto"/>
      </w:divBdr>
    </w:div>
    <w:div w:id="564604352">
      <w:bodyDiv w:val="1"/>
      <w:marLeft w:val="0"/>
      <w:marRight w:val="0"/>
      <w:marTop w:val="0"/>
      <w:marBottom w:val="0"/>
      <w:divBdr>
        <w:top w:val="none" w:sz="0" w:space="0" w:color="auto"/>
        <w:left w:val="none" w:sz="0" w:space="0" w:color="auto"/>
        <w:bottom w:val="none" w:sz="0" w:space="0" w:color="auto"/>
        <w:right w:val="none" w:sz="0" w:space="0" w:color="auto"/>
      </w:divBdr>
    </w:div>
    <w:div w:id="907693801">
      <w:bodyDiv w:val="1"/>
      <w:marLeft w:val="0"/>
      <w:marRight w:val="0"/>
      <w:marTop w:val="0"/>
      <w:marBottom w:val="0"/>
      <w:divBdr>
        <w:top w:val="none" w:sz="0" w:space="0" w:color="auto"/>
        <w:left w:val="none" w:sz="0" w:space="0" w:color="auto"/>
        <w:bottom w:val="none" w:sz="0" w:space="0" w:color="auto"/>
        <w:right w:val="none" w:sz="0" w:space="0" w:color="auto"/>
      </w:divBdr>
    </w:div>
    <w:div w:id="1416318227">
      <w:bodyDiv w:val="1"/>
      <w:marLeft w:val="0"/>
      <w:marRight w:val="0"/>
      <w:marTop w:val="0"/>
      <w:marBottom w:val="0"/>
      <w:divBdr>
        <w:top w:val="none" w:sz="0" w:space="0" w:color="auto"/>
        <w:left w:val="none" w:sz="0" w:space="0" w:color="auto"/>
        <w:bottom w:val="none" w:sz="0" w:space="0" w:color="auto"/>
        <w:right w:val="none" w:sz="0" w:space="0" w:color="auto"/>
      </w:divBdr>
    </w:div>
    <w:div w:id="149888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4</DocSecurity>
  <Lines>6</Lines>
  <Paragraphs>1</Paragraphs>
  <ScaleCrop>false</ScaleCrop>
  <Company/>
  <LinksUpToDate>false</LinksUpToDate>
  <CharactersWithSpaces>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Li.Nan Xi(李南西)</dc:creator>
  <cp:keywords/>
  <dc:description/>
  <cp:lastModifiedBy>ZHONGM</cp:lastModifiedBy>
  <cp:revision>2</cp:revision>
  <dcterms:created xsi:type="dcterms:W3CDTF">2025-09-29T16:05:00Z</dcterms:created>
  <dcterms:modified xsi:type="dcterms:W3CDTF">2025-09-29T16:05:00Z</dcterms:modified>
</cp:coreProperties>
</file>