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AC6" w:rsidRPr="00145AD6" w:rsidRDefault="00F05AC6" w:rsidP="00DD6340">
      <w:pPr>
        <w:spacing w:line="360" w:lineRule="auto"/>
        <w:jc w:val="center"/>
        <w:rPr>
          <w:rFonts w:ascii="宋体" w:hAnsi="宋体"/>
          <w:b/>
          <w:sz w:val="28"/>
          <w:szCs w:val="28"/>
        </w:rPr>
      </w:pPr>
      <w:r w:rsidRPr="00145AD6">
        <w:rPr>
          <w:rFonts w:ascii="宋体" w:hAnsi="宋体" w:hint="eastAsia"/>
          <w:b/>
          <w:sz w:val="28"/>
          <w:szCs w:val="28"/>
        </w:rPr>
        <w:t>诺德基金管理有限公司</w:t>
      </w:r>
    </w:p>
    <w:p w:rsidR="00F87534" w:rsidRPr="00145AD6" w:rsidRDefault="00F05AC6" w:rsidP="00DD6340">
      <w:pPr>
        <w:spacing w:line="360" w:lineRule="auto"/>
        <w:jc w:val="center"/>
        <w:rPr>
          <w:rFonts w:ascii="宋体" w:hAnsi="宋体"/>
          <w:b/>
          <w:sz w:val="28"/>
          <w:szCs w:val="28"/>
        </w:rPr>
      </w:pPr>
      <w:bookmarkStart w:id="0" w:name="_GoBack"/>
      <w:r w:rsidRPr="00145AD6">
        <w:rPr>
          <w:rFonts w:ascii="宋体" w:hAnsi="宋体" w:hint="eastAsia"/>
          <w:b/>
          <w:sz w:val="28"/>
          <w:szCs w:val="28"/>
        </w:rPr>
        <w:t>关于旗下基金投资</w:t>
      </w:r>
      <w:r w:rsidR="00EB6AB9" w:rsidRPr="00EB6AB9">
        <w:rPr>
          <w:rFonts w:ascii="宋体" w:hAnsi="宋体" w:hint="eastAsia"/>
          <w:b/>
          <w:sz w:val="28"/>
          <w:szCs w:val="28"/>
        </w:rPr>
        <w:t>百利天恒</w:t>
      </w:r>
      <w:r w:rsidR="00B91749">
        <w:rPr>
          <w:rFonts w:ascii="宋体" w:hAnsi="宋体"/>
          <w:b/>
          <w:sz w:val="28"/>
          <w:szCs w:val="28"/>
        </w:rPr>
        <w:t>（</w:t>
      </w:r>
      <w:r w:rsidR="00EB6AB9" w:rsidRPr="00EB6AB9">
        <w:rPr>
          <w:rFonts w:ascii="宋体" w:hAnsi="宋体"/>
          <w:b/>
          <w:sz w:val="28"/>
          <w:szCs w:val="28"/>
        </w:rPr>
        <w:t>688506</w:t>
      </w:r>
      <w:r w:rsidR="00B91749">
        <w:rPr>
          <w:rFonts w:ascii="宋体" w:hAnsi="宋体"/>
          <w:b/>
          <w:sz w:val="28"/>
          <w:szCs w:val="28"/>
        </w:rPr>
        <w:t>）</w:t>
      </w:r>
      <w:r w:rsidRPr="00145AD6">
        <w:rPr>
          <w:rFonts w:ascii="宋体" w:hAnsi="宋体" w:hint="eastAsia"/>
          <w:b/>
          <w:sz w:val="28"/>
          <w:szCs w:val="28"/>
        </w:rPr>
        <w:t>非公开发行股票的公告</w:t>
      </w:r>
    </w:p>
    <w:bookmarkEnd w:id="0"/>
    <w:p w:rsidR="00F05AC6" w:rsidRDefault="00F05AC6" w:rsidP="00DD6340">
      <w:pPr>
        <w:pStyle w:val="Default"/>
        <w:spacing w:line="360" w:lineRule="auto"/>
      </w:pPr>
    </w:p>
    <w:p w:rsidR="00F05AC6" w:rsidRPr="00145AD6" w:rsidRDefault="00F05AC6" w:rsidP="00DD6340">
      <w:pPr>
        <w:pStyle w:val="Default"/>
        <w:spacing w:line="360" w:lineRule="auto"/>
        <w:ind w:firstLineChars="200" w:firstLine="480"/>
        <w:rPr>
          <w:rFonts w:hAnsi="宋体"/>
        </w:rPr>
      </w:pPr>
      <w:r w:rsidRPr="00145AD6">
        <w:rPr>
          <w:rFonts w:hAnsi="宋体" w:hint="eastAsia"/>
        </w:rPr>
        <w:t>根据《关于基金投资非公开发行股票等流通受限证券有关问题的通知》（证监基金字〔</w:t>
      </w:r>
      <w:r w:rsidRPr="00145AD6">
        <w:rPr>
          <w:rFonts w:hAnsi="宋体" w:cs="Arial"/>
        </w:rPr>
        <w:t>2006</w:t>
      </w:r>
      <w:r w:rsidRPr="00145AD6">
        <w:rPr>
          <w:rFonts w:hAnsi="宋体" w:hint="eastAsia"/>
        </w:rPr>
        <w:t>〕</w:t>
      </w:r>
      <w:r w:rsidRPr="00145AD6">
        <w:rPr>
          <w:rFonts w:hAnsi="宋体" w:cs="Arial"/>
        </w:rPr>
        <w:t>141</w:t>
      </w:r>
      <w:r w:rsidRPr="00145AD6">
        <w:rPr>
          <w:rFonts w:hAnsi="宋体" w:hint="eastAsia"/>
        </w:rPr>
        <w:t>号）等有关规定，诺德基金管理有限公司旗下基金投资</w:t>
      </w:r>
      <w:r w:rsidR="00E856EE" w:rsidRPr="00E856EE">
        <w:rPr>
          <w:rFonts w:ascii="楷体" w:hAnsi="楷体" w:hint="eastAsia"/>
          <w:szCs w:val="21"/>
        </w:rPr>
        <w:t>四川百利天恒药业股份有限公司</w:t>
      </w:r>
      <w:r w:rsidR="0022211F" w:rsidRPr="00145AD6">
        <w:rPr>
          <w:rFonts w:hAnsi="宋体" w:hint="eastAsia"/>
        </w:rPr>
        <w:t>（</w:t>
      </w:r>
      <w:r w:rsidR="00E856EE">
        <w:rPr>
          <w:rFonts w:hAnsi="宋体" w:hint="eastAsia"/>
        </w:rPr>
        <w:t>百利天恒</w:t>
      </w:r>
      <w:r w:rsidR="0022211F" w:rsidRPr="00145AD6">
        <w:rPr>
          <w:rFonts w:hAnsi="宋体" w:hint="eastAsia"/>
        </w:rPr>
        <w:t>，代码：</w:t>
      </w:r>
      <w:r w:rsidR="00E856EE" w:rsidRPr="00E856EE">
        <w:rPr>
          <w:rFonts w:hAnsi="宋体"/>
        </w:rPr>
        <w:t>688506</w:t>
      </w:r>
      <w:r w:rsidR="0022211F" w:rsidRPr="00145AD6">
        <w:rPr>
          <w:rFonts w:hAnsi="宋体" w:hint="eastAsia"/>
        </w:rPr>
        <w:t>）</w:t>
      </w:r>
      <w:r w:rsidRPr="00145AD6">
        <w:rPr>
          <w:rFonts w:hAnsi="宋体" w:hint="eastAsia"/>
        </w:rPr>
        <w:t>非公开发行股票的有关情况公告如下：</w:t>
      </w:r>
      <w:r w:rsidRPr="00145AD6">
        <w:rPr>
          <w:rFonts w:hAnsi="宋体"/>
        </w:rPr>
        <w:t xml:space="preserve"> </w:t>
      </w:r>
    </w:p>
    <w:p w:rsidR="00F05AC6" w:rsidRPr="001C35AC" w:rsidRDefault="00F05AC6" w:rsidP="007C57AA">
      <w:pPr>
        <w:spacing w:line="360" w:lineRule="auto"/>
        <w:ind w:firstLineChars="200" w:firstLine="480"/>
        <w:rPr>
          <w:rFonts w:ascii="宋体" w:hAnsi="宋体"/>
          <w:sz w:val="24"/>
          <w:szCs w:val="24"/>
        </w:rPr>
      </w:pPr>
      <w:r w:rsidRPr="002C3BA3">
        <w:rPr>
          <w:rFonts w:ascii="宋体" w:hAnsi="宋体"/>
          <w:sz w:val="24"/>
          <w:szCs w:val="24"/>
        </w:rPr>
        <w:t>“</w:t>
      </w:r>
      <w:r w:rsidR="00E856EE">
        <w:rPr>
          <w:rFonts w:ascii="宋体" w:hAnsi="宋体" w:hint="eastAsia"/>
          <w:sz w:val="24"/>
          <w:szCs w:val="24"/>
        </w:rPr>
        <w:t>百利天恒</w:t>
      </w:r>
      <w:r w:rsidRPr="002C3BA3">
        <w:rPr>
          <w:rFonts w:ascii="宋体" w:hAnsi="宋体"/>
          <w:sz w:val="24"/>
          <w:szCs w:val="24"/>
        </w:rPr>
        <w:t>”</w:t>
      </w:r>
      <w:r w:rsidRPr="002C3BA3">
        <w:rPr>
          <w:rFonts w:ascii="宋体" w:hAnsi="宋体" w:hint="eastAsia"/>
          <w:sz w:val="24"/>
          <w:szCs w:val="24"/>
        </w:rPr>
        <w:t>本次非公开发行股票已获得中国证监会核准，核准文件为</w:t>
      </w:r>
      <w:r w:rsidR="007C57AA" w:rsidRPr="007C57AA">
        <w:rPr>
          <w:rFonts w:ascii="宋体" w:hAnsi="宋体" w:hint="eastAsia"/>
          <w:sz w:val="24"/>
          <w:szCs w:val="24"/>
        </w:rPr>
        <w:t>《关于同意四川百利天恒药业股份有限公司向特定对象发行股票注册的批复》(证监许可[2025]1641号)</w:t>
      </w:r>
      <w:r w:rsidRPr="00B61DA6">
        <w:rPr>
          <w:rFonts w:ascii="宋体" w:hAnsi="宋体" w:hint="eastAsia"/>
          <w:sz w:val="24"/>
          <w:szCs w:val="24"/>
        </w:rPr>
        <w:t>。根据《</w:t>
      </w:r>
      <w:r w:rsidR="007C57AA" w:rsidRPr="007C57AA">
        <w:rPr>
          <w:rFonts w:ascii="宋体" w:hAnsi="宋体" w:cs="黑体" w:hint="eastAsia"/>
          <w:kern w:val="0"/>
          <w:sz w:val="24"/>
          <w:szCs w:val="24"/>
        </w:rPr>
        <w:t>四川百利天恒药业股份有限公司向特定对象发行A股股票上市公告书</w:t>
      </w:r>
      <w:r w:rsidRPr="002C3BA3">
        <w:rPr>
          <w:rFonts w:ascii="宋体" w:hAnsi="宋体" w:hint="eastAsia"/>
          <w:sz w:val="24"/>
          <w:szCs w:val="24"/>
        </w:rPr>
        <w:t>》，截至</w:t>
      </w:r>
      <w:r w:rsidR="007C57AA" w:rsidRPr="002C3BA3">
        <w:rPr>
          <w:rFonts w:ascii="宋体" w:hAnsi="宋体"/>
          <w:sz w:val="24"/>
          <w:szCs w:val="24"/>
        </w:rPr>
        <w:t>2025</w:t>
      </w:r>
      <w:r w:rsidR="007C57AA" w:rsidRPr="00251F8A">
        <w:rPr>
          <w:rFonts w:ascii="宋体" w:hAnsi="宋体" w:hint="eastAsia"/>
          <w:sz w:val="24"/>
          <w:szCs w:val="24"/>
        </w:rPr>
        <w:t>年</w:t>
      </w:r>
      <w:r w:rsidR="007C57AA">
        <w:rPr>
          <w:rFonts w:ascii="宋体" w:hAnsi="宋体"/>
          <w:sz w:val="24"/>
          <w:szCs w:val="24"/>
        </w:rPr>
        <w:t>9</w:t>
      </w:r>
      <w:r w:rsidRPr="00B61DA6">
        <w:rPr>
          <w:rFonts w:ascii="宋体" w:hAnsi="宋体" w:hint="eastAsia"/>
          <w:sz w:val="24"/>
          <w:szCs w:val="24"/>
        </w:rPr>
        <w:t>月</w:t>
      </w:r>
      <w:r w:rsidR="00B61DA6">
        <w:rPr>
          <w:rFonts w:ascii="宋体" w:hAnsi="宋体" w:hint="eastAsia"/>
          <w:sz w:val="24"/>
          <w:szCs w:val="24"/>
        </w:rPr>
        <w:t>2</w:t>
      </w:r>
      <w:r w:rsidR="00352992">
        <w:rPr>
          <w:rFonts w:ascii="宋体" w:hAnsi="宋体"/>
          <w:sz w:val="24"/>
          <w:szCs w:val="24"/>
        </w:rPr>
        <w:t>9</w:t>
      </w:r>
      <w:r w:rsidRPr="00B61DA6">
        <w:rPr>
          <w:rFonts w:ascii="宋体" w:hAnsi="宋体" w:hint="eastAsia"/>
          <w:sz w:val="24"/>
          <w:szCs w:val="24"/>
        </w:rPr>
        <w:t>日，公司旗下基金持有</w:t>
      </w:r>
      <w:r w:rsidRPr="00B61DA6">
        <w:rPr>
          <w:rFonts w:ascii="宋体" w:hAnsi="宋体"/>
          <w:sz w:val="24"/>
          <w:szCs w:val="24"/>
        </w:rPr>
        <w:t>“</w:t>
      </w:r>
      <w:r w:rsidR="00E856EE">
        <w:rPr>
          <w:rFonts w:ascii="宋体" w:hAnsi="宋体" w:hint="eastAsia"/>
          <w:sz w:val="24"/>
          <w:szCs w:val="24"/>
        </w:rPr>
        <w:t>百利天恒</w:t>
      </w:r>
      <w:r w:rsidR="00B91749" w:rsidRPr="00B61DA6">
        <w:rPr>
          <w:rFonts w:ascii="宋体" w:hAnsi="宋体" w:hint="eastAsia"/>
          <w:sz w:val="24"/>
          <w:szCs w:val="24"/>
        </w:rPr>
        <w:t>（</w:t>
      </w:r>
      <w:r w:rsidR="007C57AA">
        <w:rPr>
          <w:rFonts w:ascii="宋体" w:hAnsi="宋体" w:hint="eastAsia"/>
          <w:sz w:val="24"/>
          <w:szCs w:val="24"/>
        </w:rPr>
        <w:t>688506</w:t>
      </w:r>
      <w:r w:rsidR="00B91749" w:rsidRPr="001C35AC">
        <w:rPr>
          <w:rFonts w:ascii="宋体" w:hAnsi="宋体" w:hint="eastAsia"/>
          <w:sz w:val="24"/>
          <w:szCs w:val="24"/>
        </w:rPr>
        <w:t>）</w:t>
      </w:r>
      <w:r w:rsidRPr="001C35AC">
        <w:rPr>
          <w:rFonts w:ascii="宋体" w:hAnsi="宋体"/>
          <w:sz w:val="24"/>
          <w:szCs w:val="24"/>
        </w:rPr>
        <w:t>”</w:t>
      </w:r>
      <w:r w:rsidRPr="001C35AC">
        <w:rPr>
          <w:rFonts w:ascii="宋体" w:hAnsi="宋体" w:hint="eastAsia"/>
          <w:sz w:val="24"/>
          <w:szCs w:val="24"/>
        </w:rPr>
        <w:t>本次非公开发行股票情况如下：</w:t>
      </w:r>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418"/>
        <w:gridCol w:w="1417"/>
        <w:gridCol w:w="1544"/>
        <w:gridCol w:w="1008"/>
        <w:gridCol w:w="1276"/>
        <w:gridCol w:w="708"/>
      </w:tblGrid>
      <w:tr w:rsidR="00711740" w:rsidRPr="00145AD6" w:rsidTr="00860630">
        <w:tc>
          <w:tcPr>
            <w:tcW w:w="1276" w:type="dxa"/>
            <w:shd w:val="clear" w:color="auto" w:fill="auto"/>
            <w:vAlign w:val="center"/>
          </w:tcPr>
          <w:p w:rsidR="008D28F1" w:rsidRPr="00760E85" w:rsidRDefault="008D28F1" w:rsidP="00145AD6">
            <w:pPr>
              <w:spacing w:line="360" w:lineRule="auto"/>
              <w:jc w:val="center"/>
              <w:rPr>
                <w:rFonts w:ascii="宋体" w:hAnsi="宋体"/>
                <w:sz w:val="18"/>
                <w:szCs w:val="18"/>
              </w:rPr>
            </w:pPr>
            <w:r w:rsidRPr="00760E85">
              <w:rPr>
                <w:rFonts w:ascii="宋体" w:hAnsi="宋体" w:hint="eastAsia"/>
                <w:sz w:val="18"/>
                <w:szCs w:val="18"/>
              </w:rPr>
              <w:t>基金名称</w:t>
            </w:r>
          </w:p>
        </w:tc>
        <w:tc>
          <w:tcPr>
            <w:tcW w:w="1418" w:type="dxa"/>
            <w:shd w:val="clear" w:color="auto" w:fill="auto"/>
            <w:vAlign w:val="center"/>
          </w:tcPr>
          <w:p w:rsidR="008D28F1" w:rsidRPr="00760E85" w:rsidRDefault="008D28F1" w:rsidP="00145AD6">
            <w:pPr>
              <w:spacing w:line="360" w:lineRule="auto"/>
              <w:jc w:val="center"/>
              <w:rPr>
                <w:rFonts w:ascii="宋体" w:hAnsi="宋体"/>
                <w:sz w:val="18"/>
                <w:szCs w:val="18"/>
              </w:rPr>
            </w:pPr>
            <w:r w:rsidRPr="00760E85">
              <w:rPr>
                <w:rFonts w:ascii="宋体" w:hAnsi="宋体" w:hint="eastAsia"/>
                <w:sz w:val="18"/>
                <w:szCs w:val="18"/>
              </w:rPr>
              <w:t>持股数</w:t>
            </w:r>
          </w:p>
          <w:p w:rsidR="008D28F1" w:rsidRPr="00760E85" w:rsidRDefault="008D28F1" w:rsidP="00145AD6">
            <w:pPr>
              <w:spacing w:line="360" w:lineRule="auto"/>
              <w:jc w:val="center"/>
              <w:rPr>
                <w:rFonts w:ascii="宋体" w:hAnsi="宋体"/>
                <w:sz w:val="18"/>
                <w:szCs w:val="18"/>
              </w:rPr>
            </w:pPr>
            <w:r w:rsidRPr="00760E85">
              <w:rPr>
                <w:rFonts w:ascii="宋体" w:hAnsi="宋体" w:hint="eastAsia"/>
                <w:sz w:val="18"/>
                <w:szCs w:val="18"/>
              </w:rPr>
              <w:t>（股）</w:t>
            </w:r>
          </w:p>
        </w:tc>
        <w:tc>
          <w:tcPr>
            <w:tcW w:w="1417" w:type="dxa"/>
            <w:shd w:val="clear" w:color="auto" w:fill="auto"/>
            <w:vAlign w:val="center"/>
          </w:tcPr>
          <w:p w:rsidR="008D28F1" w:rsidRPr="00760E85" w:rsidRDefault="008D28F1" w:rsidP="00145AD6">
            <w:pPr>
              <w:spacing w:line="360" w:lineRule="auto"/>
              <w:jc w:val="center"/>
              <w:rPr>
                <w:rFonts w:ascii="宋体" w:hAnsi="宋体"/>
                <w:sz w:val="18"/>
                <w:szCs w:val="18"/>
              </w:rPr>
            </w:pPr>
            <w:r w:rsidRPr="00760E85">
              <w:rPr>
                <w:rFonts w:ascii="宋体" w:hAnsi="宋体" w:hint="eastAsia"/>
                <w:sz w:val="18"/>
                <w:szCs w:val="18"/>
              </w:rPr>
              <w:t>总成本</w:t>
            </w:r>
          </w:p>
          <w:p w:rsidR="008D28F1" w:rsidRPr="00760E85" w:rsidRDefault="008D28F1" w:rsidP="00145AD6">
            <w:pPr>
              <w:spacing w:line="360" w:lineRule="auto"/>
              <w:jc w:val="center"/>
              <w:rPr>
                <w:rFonts w:ascii="宋体" w:hAnsi="宋体"/>
                <w:sz w:val="18"/>
                <w:szCs w:val="18"/>
              </w:rPr>
            </w:pPr>
            <w:r w:rsidRPr="00760E85">
              <w:rPr>
                <w:rFonts w:ascii="宋体" w:hAnsi="宋体" w:hint="eastAsia"/>
                <w:sz w:val="18"/>
                <w:szCs w:val="18"/>
              </w:rPr>
              <w:t>（元）</w:t>
            </w:r>
          </w:p>
        </w:tc>
        <w:tc>
          <w:tcPr>
            <w:tcW w:w="1544" w:type="dxa"/>
            <w:shd w:val="clear" w:color="auto" w:fill="auto"/>
            <w:vAlign w:val="center"/>
          </w:tcPr>
          <w:p w:rsidR="008D28F1" w:rsidRPr="00760E85" w:rsidRDefault="008D28F1" w:rsidP="00145AD6">
            <w:pPr>
              <w:spacing w:line="360" w:lineRule="auto"/>
              <w:jc w:val="center"/>
              <w:rPr>
                <w:rFonts w:ascii="宋体" w:hAnsi="宋体"/>
                <w:color w:val="000000"/>
                <w:sz w:val="18"/>
                <w:szCs w:val="18"/>
              </w:rPr>
            </w:pPr>
            <w:r w:rsidRPr="00760E85">
              <w:rPr>
                <w:rFonts w:ascii="宋体" w:hAnsi="宋体" w:hint="eastAsia"/>
                <w:color w:val="000000"/>
                <w:sz w:val="18"/>
                <w:szCs w:val="18"/>
              </w:rPr>
              <w:t>账面价值</w:t>
            </w:r>
          </w:p>
          <w:p w:rsidR="008D28F1" w:rsidRPr="00760E85" w:rsidRDefault="008D28F1" w:rsidP="00145AD6">
            <w:pPr>
              <w:spacing w:line="360" w:lineRule="auto"/>
              <w:jc w:val="center"/>
              <w:rPr>
                <w:rFonts w:ascii="宋体" w:hAnsi="宋体"/>
                <w:color w:val="000000"/>
                <w:sz w:val="18"/>
                <w:szCs w:val="18"/>
              </w:rPr>
            </w:pPr>
            <w:r w:rsidRPr="00760E85">
              <w:rPr>
                <w:rFonts w:ascii="宋体" w:hAnsi="宋体" w:hint="eastAsia"/>
                <w:color w:val="000000"/>
                <w:sz w:val="18"/>
                <w:szCs w:val="18"/>
              </w:rPr>
              <w:t>（元）</w:t>
            </w:r>
          </w:p>
        </w:tc>
        <w:tc>
          <w:tcPr>
            <w:tcW w:w="1008" w:type="dxa"/>
            <w:shd w:val="clear" w:color="auto" w:fill="auto"/>
            <w:vAlign w:val="center"/>
          </w:tcPr>
          <w:p w:rsidR="008D28F1" w:rsidRPr="00760E85" w:rsidRDefault="008D28F1" w:rsidP="00145AD6">
            <w:pPr>
              <w:spacing w:line="360" w:lineRule="auto"/>
              <w:jc w:val="center"/>
              <w:rPr>
                <w:rFonts w:ascii="宋体" w:hAnsi="宋体"/>
                <w:color w:val="000000"/>
                <w:sz w:val="18"/>
                <w:szCs w:val="18"/>
              </w:rPr>
            </w:pPr>
            <w:r w:rsidRPr="00760E85">
              <w:rPr>
                <w:rFonts w:ascii="宋体" w:hAnsi="宋体" w:hint="eastAsia"/>
                <w:color w:val="000000"/>
                <w:sz w:val="18"/>
                <w:szCs w:val="18"/>
              </w:rPr>
              <w:t>总成本占基金资产净值比例</w:t>
            </w:r>
          </w:p>
        </w:tc>
        <w:tc>
          <w:tcPr>
            <w:tcW w:w="1276" w:type="dxa"/>
            <w:shd w:val="clear" w:color="auto" w:fill="auto"/>
            <w:vAlign w:val="center"/>
          </w:tcPr>
          <w:p w:rsidR="008D28F1" w:rsidRPr="00760E85" w:rsidRDefault="008D28F1" w:rsidP="00145AD6">
            <w:pPr>
              <w:spacing w:line="360" w:lineRule="auto"/>
              <w:jc w:val="center"/>
              <w:rPr>
                <w:rFonts w:ascii="宋体" w:hAnsi="宋体"/>
                <w:color w:val="000000"/>
                <w:sz w:val="18"/>
                <w:szCs w:val="18"/>
              </w:rPr>
            </w:pPr>
            <w:r w:rsidRPr="00760E85">
              <w:rPr>
                <w:rFonts w:ascii="宋体" w:hAnsi="宋体" w:hint="eastAsia"/>
                <w:color w:val="000000"/>
                <w:sz w:val="18"/>
                <w:szCs w:val="18"/>
              </w:rPr>
              <w:t>账面价值占基金资产净值比例</w:t>
            </w:r>
          </w:p>
        </w:tc>
        <w:tc>
          <w:tcPr>
            <w:tcW w:w="708" w:type="dxa"/>
            <w:shd w:val="clear" w:color="auto" w:fill="auto"/>
            <w:vAlign w:val="center"/>
          </w:tcPr>
          <w:p w:rsidR="008D28F1" w:rsidRPr="00760E85" w:rsidRDefault="008D28F1" w:rsidP="00145AD6">
            <w:pPr>
              <w:spacing w:line="360" w:lineRule="auto"/>
              <w:jc w:val="center"/>
              <w:rPr>
                <w:rFonts w:ascii="宋体" w:hAnsi="宋体"/>
                <w:sz w:val="18"/>
                <w:szCs w:val="18"/>
              </w:rPr>
            </w:pPr>
            <w:r w:rsidRPr="00760E85">
              <w:rPr>
                <w:rFonts w:ascii="宋体" w:hAnsi="宋体" w:hint="eastAsia"/>
                <w:sz w:val="18"/>
                <w:szCs w:val="18"/>
              </w:rPr>
              <w:t>限售期</w:t>
            </w:r>
          </w:p>
          <w:p w:rsidR="008D28F1" w:rsidRPr="00760E85" w:rsidRDefault="008D28F1" w:rsidP="00145AD6">
            <w:pPr>
              <w:spacing w:line="360" w:lineRule="auto"/>
              <w:jc w:val="center"/>
              <w:rPr>
                <w:rFonts w:ascii="宋体" w:hAnsi="宋体"/>
                <w:sz w:val="18"/>
                <w:szCs w:val="18"/>
              </w:rPr>
            </w:pPr>
            <w:r w:rsidRPr="00760E85">
              <w:rPr>
                <w:rFonts w:ascii="宋体" w:hAnsi="宋体" w:hint="eastAsia"/>
                <w:sz w:val="18"/>
                <w:szCs w:val="18"/>
              </w:rPr>
              <w:t>(月)</w:t>
            </w:r>
          </w:p>
        </w:tc>
      </w:tr>
      <w:tr w:rsidR="007C57AA" w:rsidRPr="00145AD6" w:rsidTr="0034079C">
        <w:tc>
          <w:tcPr>
            <w:tcW w:w="1276" w:type="dxa"/>
            <w:shd w:val="clear" w:color="auto" w:fill="auto"/>
            <w:vAlign w:val="center"/>
          </w:tcPr>
          <w:p w:rsidR="007C57AA" w:rsidRPr="008006F6" w:rsidRDefault="007C57AA" w:rsidP="007C57AA">
            <w:pPr>
              <w:spacing w:line="360" w:lineRule="auto"/>
              <w:rPr>
                <w:rFonts w:ascii="宋体" w:hAnsi="宋体"/>
                <w:color w:val="000000"/>
                <w:sz w:val="18"/>
                <w:szCs w:val="18"/>
              </w:rPr>
            </w:pPr>
            <w:r w:rsidRPr="00C86E7C">
              <w:rPr>
                <w:rFonts w:ascii="宋体" w:hAnsi="宋体" w:hint="eastAsia"/>
                <w:color w:val="000000"/>
                <w:sz w:val="18"/>
                <w:szCs w:val="18"/>
              </w:rPr>
              <w:t>诺德中小盘混合型证券投资基金</w:t>
            </w:r>
          </w:p>
        </w:tc>
        <w:tc>
          <w:tcPr>
            <w:tcW w:w="1418" w:type="dxa"/>
            <w:shd w:val="clear" w:color="auto" w:fill="auto"/>
            <w:vAlign w:val="center"/>
          </w:tcPr>
          <w:p w:rsidR="007C57AA" w:rsidRPr="008006F6" w:rsidRDefault="007C57AA" w:rsidP="007C57AA">
            <w:pPr>
              <w:spacing w:line="360" w:lineRule="auto"/>
              <w:rPr>
                <w:rFonts w:ascii="宋体" w:hAnsi="宋体"/>
                <w:color w:val="000000"/>
                <w:sz w:val="18"/>
                <w:szCs w:val="18"/>
              </w:rPr>
            </w:pPr>
            <w:r w:rsidRPr="007C57AA">
              <w:rPr>
                <w:rFonts w:ascii="宋体" w:hAnsi="宋体"/>
                <w:color w:val="000000"/>
                <w:sz w:val="18"/>
                <w:szCs w:val="18"/>
              </w:rPr>
              <w:t>2,366</w:t>
            </w:r>
          </w:p>
        </w:tc>
        <w:tc>
          <w:tcPr>
            <w:tcW w:w="1417" w:type="dxa"/>
            <w:shd w:val="clear" w:color="auto" w:fill="auto"/>
            <w:vAlign w:val="center"/>
          </w:tcPr>
          <w:p w:rsidR="007C57AA" w:rsidRPr="008006F6" w:rsidRDefault="007C57AA" w:rsidP="007C57AA">
            <w:pPr>
              <w:spacing w:line="360" w:lineRule="auto"/>
              <w:rPr>
                <w:rFonts w:ascii="宋体" w:hAnsi="宋体"/>
                <w:color w:val="000000"/>
                <w:sz w:val="18"/>
                <w:szCs w:val="18"/>
              </w:rPr>
            </w:pPr>
            <w:r w:rsidRPr="007C57AA">
              <w:rPr>
                <w:rFonts w:ascii="宋体" w:hAnsi="宋体"/>
                <w:color w:val="000000"/>
                <w:sz w:val="18"/>
                <w:szCs w:val="18"/>
              </w:rPr>
              <w:t>750,022.00</w:t>
            </w:r>
          </w:p>
        </w:tc>
        <w:tc>
          <w:tcPr>
            <w:tcW w:w="1544" w:type="dxa"/>
            <w:shd w:val="clear" w:color="auto" w:fill="auto"/>
            <w:vAlign w:val="center"/>
          </w:tcPr>
          <w:p w:rsidR="007C57AA" w:rsidRPr="0034079C" w:rsidRDefault="00C06DA2" w:rsidP="00C06DA2">
            <w:pPr>
              <w:spacing w:line="360" w:lineRule="auto"/>
              <w:rPr>
                <w:rFonts w:ascii="宋体" w:hAnsi="宋体"/>
                <w:color w:val="000000"/>
                <w:sz w:val="18"/>
                <w:szCs w:val="18"/>
                <w:highlight w:val="yellow"/>
              </w:rPr>
            </w:pPr>
            <w:r w:rsidRPr="00C06DA2">
              <w:rPr>
                <w:rFonts w:ascii="宋体" w:hAnsi="宋体"/>
                <w:color w:val="000000"/>
                <w:sz w:val="18"/>
                <w:szCs w:val="18"/>
              </w:rPr>
              <w:t>785,275.40</w:t>
            </w:r>
          </w:p>
        </w:tc>
        <w:tc>
          <w:tcPr>
            <w:tcW w:w="1008" w:type="dxa"/>
            <w:shd w:val="clear" w:color="auto" w:fill="auto"/>
            <w:vAlign w:val="center"/>
          </w:tcPr>
          <w:p w:rsidR="007C57AA" w:rsidRPr="0034079C" w:rsidRDefault="004B5639" w:rsidP="00C452F9">
            <w:pPr>
              <w:spacing w:line="360" w:lineRule="auto"/>
              <w:rPr>
                <w:rFonts w:ascii="宋体" w:hAnsi="宋体"/>
                <w:color w:val="000000"/>
                <w:sz w:val="18"/>
                <w:szCs w:val="18"/>
                <w:highlight w:val="yellow"/>
              </w:rPr>
            </w:pPr>
            <w:r w:rsidRPr="004B5639">
              <w:rPr>
                <w:rFonts w:ascii="宋体" w:hAnsi="宋体"/>
                <w:color w:val="000000"/>
                <w:sz w:val="18"/>
                <w:szCs w:val="18"/>
              </w:rPr>
              <w:t>2.1141%</w:t>
            </w:r>
          </w:p>
        </w:tc>
        <w:tc>
          <w:tcPr>
            <w:tcW w:w="1276" w:type="dxa"/>
            <w:shd w:val="clear" w:color="auto" w:fill="auto"/>
            <w:vAlign w:val="center"/>
          </w:tcPr>
          <w:p w:rsidR="007C57AA" w:rsidRPr="0034079C" w:rsidRDefault="004B5639" w:rsidP="00C452F9">
            <w:pPr>
              <w:spacing w:line="360" w:lineRule="auto"/>
              <w:rPr>
                <w:rFonts w:ascii="宋体" w:hAnsi="宋体"/>
                <w:color w:val="000000"/>
                <w:sz w:val="18"/>
                <w:szCs w:val="18"/>
                <w:highlight w:val="yellow"/>
              </w:rPr>
            </w:pPr>
            <w:r w:rsidRPr="004B5639">
              <w:rPr>
                <w:rFonts w:ascii="宋体" w:hAnsi="宋体"/>
                <w:color w:val="000000"/>
                <w:sz w:val="18"/>
                <w:szCs w:val="18"/>
              </w:rPr>
              <w:t>2.2134%</w:t>
            </w:r>
          </w:p>
        </w:tc>
        <w:tc>
          <w:tcPr>
            <w:tcW w:w="708" w:type="dxa"/>
            <w:shd w:val="clear" w:color="auto" w:fill="auto"/>
            <w:vAlign w:val="center"/>
          </w:tcPr>
          <w:p w:rsidR="007C57AA" w:rsidRPr="008006F6" w:rsidRDefault="007C57AA" w:rsidP="007C57AA">
            <w:pPr>
              <w:spacing w:line="360" w:lineRule="auto"/>
              <w:rPr>
                <w:rFonts w:ascii="宋体" w:hAnsi="宋体"/>
                <w:sz w:val="18"/>
                <w:szCs w:val="18"/>
              </w:rPr>
            </w:pPr>
            <w:r w:rsidRPr="00C86E7C">
              <w:rPr>
                <w:rFonts w:ascii="宋体" w:hAnsi="宋体" w:hint="eastAsia"/>
                <w:sz w:val="18"/>
                <w:szCs w:val="18"/>
              </w:rPr>
              <w:t>6个月</w:t>
            </w:r>
          </w:p>
        </w:tc>
      </w:tr>
      <w:tr w:rsidR="007C57AA" w:rsidRPr="00145AD6" w:rsidTr="00860630">
        <w:tc>
          <w:tcPr>
            <w:tcW w:w="1276" w:type="dxa"/>
            <w:shd w:val="clear" w:color="auto" w:fill="auto"/>
            <w:vAlign w:val="center"/>
          </w:tcPr>
          <w:p w:rsidR="007C57AA" w:rsidRPr="00C86E7C" w:rsidRDefault="007C57AA" w:rsidP="00323455">
            <w:pPr>
              <w:spacing w:line="360" w:lineRule="auto"/>
              <w:rPr>
                <w:rFonts w:ascii="宋体" w:hAnsi="宋体"/>
                <w:color w:val="000000"/>
                <w:sz w:val="18"/>
                <w:szCs w:val="18"/>
              </w:rPr>
            </w:pPr>
            <w:r w:rsidRPr="007C57AA">
              <w:rPr>
                <w:rFonts w:ascii="宋体" w:hAnsi="宋体" w:hint="eastAsia"/>
                <w:color w:val="000000"/>
                <w:sz w:val="18"/>
                <w:szCs w:val="18"/>
              </w:rPr>
              <w:t>诺德策略回报股票型证券投资基金</w:t>
            </w:r>
          </w:p>
        </w:tc>
        <w:tc>
          <w:tcPr>
            <w:tcW w:w="1418" w:type="dxa"/>
            <w:shd w:val="clear" w:color="auto" w:fill="auto"/>
            <w:vAlign w:val="center"/>
          </w:tcPr>
          <w:p w:rsidR="007C57AA" w:rsidRPr="008006F6" w:rsidRDefault="007C57AA" w:rsidP="00323455">
            <w:pPr>
              <w:spacing w:line="360" w:lineRule="auto"/>
              <w:rPr>
                <w:rFonts w:ascii="宋体" w:hAnsi="宋体"/>
                <w:color w:val="000000"/>
                <w:sz w:val="18"/>
                <w:szCs w:val="18"/>
              </w:rPr>
            </w:pPr>
            <w:r w:rsidRPr="007C57AA">
              <w:rPr>
                <w:rFonts w:ascii="宋体" w:hAnsi="宋体"/>
                <w:color w:val="000000"/>
                <w:sz w:val="18"/>
                <w:szCs w:val="18"/>
              </w:rPr>
              <w:t>1,577</w:t>
            </w:r>
          </w:p>
        </w:tc>
        <w:tc>
          <w:tcPr>
            <w:tcW w:w="1417" w:type="dxa"/>
            <w:shd w:val="clear" w:color="auto" w:fill="auto"/>
            <w:vAlign w:val="center"/>
          </w:tcPr>
          <w:p w:rsidR="007C57AA" w:rsidRPr="008006F6" w:rsidRDefault="007C57AA" w:rsidP="00323455">
            <w:pPr>
              <w:spacing w:line="360" w:lineRule="auto"/>
              <w:rPr>
                <w:rFonts w:ascii="宋体" w:hAnsi="宋体"/>
                <w:color w:val="000000"/>
                <w:sz w:val="18"/>
                <w:szCs w:val="18"/>
              </w:rPr>
            </w:pPr>
            <w:r w:rsidRPr="007C57AA">
              <w:rPr>
                <w:rFonts w:ascii="宋体" w:hAnsi="宋体"/>
                <w:color w:val="000000"/>
                <w:sz w:val="18"/>
                <w:szCs w:val="18"/>
              </w:rPr>
              <w:t>499,909.00</w:t>
            </w:r>
          </w:p>
        </w:tc>
        <w:tc>
          <w:tcPr>
            <w:tcW w:w="1544" w:type="dxa"/>
            <w:shd w:val="clear" w:color="auto" w:fill="auto"/>
            <w:vAlign w:val="center"/>
          </w:tcPr>
          <w:p w:rsidR="007C57AA" w:rsidRPr="0034079C" w:rsidRDefault="00EF3F4E" w:rsidP="00323455">
            <w:pPr>
              <w:spacing w:line="360" w:lineRule="auto"/>
              <w:rPr>
                <w:rFonts w:ascii="宋体" w:hAnsi="宋体"/>
                <w:color w:val="000000"/>
                <w:sz w:val="18"/>
                <w:szCs w:val="18"/>
                <w:highlight w:val="yellow"/>
              </w:rPr>
            </w:pPr>
            <w:r w:rsidRPr="00EF3F4E">
              <w:rPr>
                <w:rFonts w:ascii="宋体" w:hAnsi="宋体"/>
                <w:color w:val="000000"/>
                <w:sz w:val="18"/>
                <w:szCs w:val="18"/>
              </w:rPr>
              <w:t>523,406.30</w:t>
            </w:r>
          </w:p>
        </w:tc>
        <w:tc>
          <w:tcPr>
            <w:tcW w:w="1008" w:type="dxa"/>
            <w:shd w:val="clear" w:color="auto" w:fill="auto"/>
            <w:vAlign w:val="center"/>
          </w:tcPr>
          <w:p w:rsidR="007C57AA" w:rsidRPr="0034079C" w:rsidRDefault="00EA31B4" w:rsidP="00323455">
            <w:pPr>
              <w:spacing w:line="360" w:lineRule="auto"/>
              <w:rPr>
                <w:rFonts w:ascii="宋体" w:hAnsi="宋体"/>
                <w:color w:val="000000"/>
                <w:sz w:val="18"/>
                <w:szCs w:val="18"/>
                <w:highlight w:val="yellow"/>
              </w:rPr>
            </w:pPr>
            <w:r w:rsidRPr="00EA31B4">
              <w:rPr>
                <w:rFonts w:ascii="宋体" w:hAnsi="宋体"/>
                <w:color w:val="000000"/>
                <w:sz w:val="18"/>
                <w:szCs w:val="18"/>
              </w:rPr>
              <w:t>3.2035%</w:t>
            </w:r>
          </w:p>
        </w:tc>
        <w:tc>
          <w:tcPr>
            <w:tcW w:w="1276" w:type="dxa"/>
            <w:shd w:val="clear" w:color="auto" w:fill="auto"/>
            <w:vAlign w:val="center"/>
          </w:tcPr>
          <w:p w:rsidR="007C57AA" w:rsidRPr="0034079C" w:rsidRDefault="00EA31B4" w:rsidP="00323455">
            <w:pPr>
              <w:spacing w:line="360" w:lineRule="auto"/>
              <w:rPr>
                <w:rFonts w:ascii="宋体" w:hAnsi="宋体"/>
                <w:color w:val="000000"/>
                <w:sz w:val="18"/>
                <w:szCs w:val="18"/>
                <w:highlight w:val="yellow"/>
              </w:rPr>
            </w:pPr>
            <w:r w:rsidRPr="00EA31B4">
              <w:rPr>
                <w:rFonts w:ascii="宋体" w:hAnsi="宋体"/>
                <w:color w:val="000000"/>
                <w:sz w:val="18"/>
                <w:szCs w:val="18"/>
              </w:rPr>
              <w:t>3.3541%</w:t>
            </w:r>
          </w:p>
        </w:tc>
        <w:tc>
          <w:tcPr>
            <w:tcW w:w="708" w:type="dxa"/>
            <w:shd w:val="clear" w:color="auto" w:fill="auto"/>
            <w:vAlign w:val="center"/>
          </w:tcPr>
          <w:p w:rsidR="007C57AA" w:rsidRPr="00C86E7C" w:rsidRDefault="00C452F9" w:rsidP="00323455">
            <w:pPr>
              <w:spacing w:line="360" w:lineRule="auto"/>
              <w:rPr>
                <w:rFonts w:ascii="宋体" w:hAnsi="宋体"/>
                <w:sz w:val="18"/>
                <w:szCs w:val="18"/>
              </w:rPr>
            </w:pPr>
            <w:r w:rsidRPr="00C86E7C">
              <w:rPr>
                <w:rFonts w:ascii="宋体" w:hAnsi="宋体" w:hint="eastAsia"/>
                <w:sz w:val="18"/>
                <w:szCs w:val="18"/>
              </w:rPr>
              <w:t>6个月</w:t>
            </w:r>
          </w:p>
        </w:tc>
      </w:tr>
    </w:tbl>
    <w:p w:rsidR="00F05AC6" w:rsidRPr="00145AD6" w:rsidRDefault="00B61DA6" w:rsidP="001C35AC">
      <w:pPr>
        <w:pStyle w:val="Default"/>
        <w:spacing w:line="360" w:lineRule="auto"/>
        <w:rPr>
          <w:rFonts w:hAnsi="宋体" w:cs="Times New Roman"/>
          <w:color w:val="auto"/>
          <w:kern w:val="2"/>
        </w:rPr>
      </w:pPr>
      <w:r>
        <w:rPr>
          <w:rFonts w:hAnsi="宋体" w:cs="Times New Roman" w:hint="eastAsia"/>
          <w:color w:val="auto"/>
          <w:kern w:val="2"/>
        </w:rPr>
        <w:t xml:space="preserve">  </w:t>
      </w:r>
      <w:r>
        <w:rPr>
          <w:rFonts w:hAnsi="宋体" w:cs="Times New Roman"/>
          <w:color w:val="auto"/>
          <w:kern w:val="2"/>
        </w:rPr>
        <w:t xml:space="preserve">  </w:t>
      </w:r>
      <w:r w:rsidR="00F05AC6" w:rsidRPr="00145AD6">
        <w:rPr>
          <w:rFonts w:hAnsi="宋体" w:cs="Times New Roman" w:hint="eastAsia"/>
          <w:color w:val="auto"/>
          <w:kern w:val="2"/>
        </w:rPr>
        <w:t>投资者可登录诺德基金管理有限公司网站</w:t>
      </w:r>
      <w:r w:rsidR="00F05AC6" w:rsidRPr="00145AD6">
        <w:rPr>
          <w:rFonts w:hAnsi="宋体" w:cs="Times New Roman"/>
          <w:color w:val="auto"/>
          <w:kern w:val="2"/>
        </w:rPr>
        <w:t>http://www.nuodefund.com</w:t>
      </w:r>
      <w:r w:rsidR="00F05AC6" w:rsidRPr="00145AD6">
        <w:rPr>
          <w:rFonts w:hAnsi="宋体" w:cs="Times New Roman" w:hint="eastAsia"/>
          <w:color w:val="auto"/>
          <w:kern w:val="2"/>
        </w:rPr>
        <w:t>，或拨打客户服务电话</w:t>
      </w:r>
      <w:r w:rsidR="00F05AC6">
        <w:rPr>
          <w:rFonts w:hAnsi="宋体" w:hint="eastAsia"/>
          <w:szCs w:val="21"/>
        </w:rPr>
        <w:t>400-888-0009</w:t>
      </w:r>
      <w:r w:rsidR="00F05AC6" w:rsidRPr="00145AD6">
        <w:rPr>
          <w:rFonts w:hAnsi="宋体" w:cs="Times New Roman" w:hint="eastAsia"/>
          <w:color w:val="auto"/>
          <w:kern w:val="2"/>
        </w:rPr>
        <w:t>咨询相关信息。</w:t>
      </w:r>
      <w:r w:rsidR="00F05AC6" w:rsidRPr="00145AD6">
        <w:rPr>
          <w:rFonts w:hAnsi="宋体" w:cs="Times New Roman"/>
          <w:color w:val="auto"/>
          <w:kern w:val="2"/>
        </w:rPr>
        <w:t xml:space="preserve"> </w:t>
      </w:r>
    </w:p>
    <w:p w:rsidR="00F05AC6" w:rsidRPr="00145AD6" w:rsidRDefault="00F05AC6" w:rsidP="00DD6340">
      <w:pPr>
        <w:pStyle w:val="Default"/>
        <w:spacing w:line="360" w:lineRule="auto"/>
        <w:ind w:firstLineChars="200" w:firstLine="480"/>
        <w:rPr>
          <w:rFonts w:hAnsi="宋体" w:cs="Times New Roman"/>
          <w:color w:val="auto"/>
          <w:kern w:val="2"/>
        </w:rPr>
      </w:pPr>
      <w:r w:rsidRPr="00145AD6">
        <w:rPr>
          <w:rFonts w:hAnsi="宋体" w:cs="Times New Roman" w:hint="eastAsia"/>
          <w:color w:val="auto"/>
          <w:kern w:val="2"/>
        </w:rPr>
        <w:t>特此公告。</w:t>
      </w:r>
      <w:r w:rsidRPr="00145AD6">
        <w:rPr>
          <w:rFonts w:hAnsi="宋体" w:cs="Times New Roman"/>
          <w:color w:val="auto"/>
          <w:kern w:val="2"/>
        </w:rPr>
        <w:t xml:space="preserve"> </w:t>
      </w:r>
    </w:p>
    <w:p w:rsidR="00F05AC6" w:rsidRPr="00145AD6" w:rsidRDefault="00F05AC6" w:rsidP="00DD6340">
      <w:pPr>
        <w:pStyle w:val="Default"/>
        <w:spacing w:line="360" w:lineRule="auto"/>
        <w:ind w:firstLineChars="2100" w:firstLine="5040"/>
        <w:rPr>
          <w:rFonts w:hAnsi="宋体" w:cs="Times New Roman"/>
          <w:color w:val="auto"/>
          <w:kern w:val="2"/>
        </w:rPr>
      </w:pPr>
      <w:r w:rsidRPr="00145AD6">
        <w:rPr>
          <w:rFonts w:hAnsi="宋体" w:cs="Times New Roman" w:hint="eastAsia"/>
          <w:color w:val="auto"/>
          <w:kern w:val="2"/>
        </w:rPr>
        <w:t>诺德基金管理有限公司</w:t>
      </w:r>
      <w:r w:rsidRPr="00145AD6">
        <w:rPr>
          <w:rFonts w:hAnsi="宋体" w:cs="Times New Roman"/>
          <w:color w:val="auto"/>
          <w:kern w:val="2"/>
        </w:rPr>
        <w:t xml:space="preserve"> </w:t>
      </w:r>
    </w:p>
    <w:p w:rsidR="00F05AC6" w:rsidRPr="00145AD6" w:rsidRDefault="007C57AA" w:rsidP="00DD6340">
      <w:pPr>
        <w:spacing w:line="360" w:lineRule="auto"/>
        <w:ind w:firstLineChars="2200" w:firstLine="5280"/>
        <w:rPr>
          <w:rFonts w:ascii="宋体" w:hAnsi="宋体"/>
          <w:sz w:val="24"/>
          <w:szCs w:val="24"/>
        </w:rPr>
      </w:pPr>
      <w:r w:rsidRPr="00145AD6">
        <w:rPr>
          <w:rFonts w:ascii="宋体" w:hAnsi="宋体"/>
          <w:sz w:val="24"/>
          <w:szCs w:val="24"/>
        </w:rPr>
        <w:t>202</w:t>
      </w:r>
      <w:r>
        <w:rPr>
          <w:rFonts w:ascii="宋体" w:hAnsi="宋体"/>
          <w:sz w:val="24"/>
          <w:szCs w:val="24"/>
        </w:rPr>
        <w:t>5</w:t>
      </w:r>
      <w:r w:rsidRPr="00145AD6">
        <w:rPr>
          <w:rFonts w:ascii="宋体" w:hAnsi="宋体" w:hint="eastAsia"/>
          <w:sz w:val="24"/>
          <w:szCs w:val="24"/>
        </w:rPr>
        <w:t>年</w:t>
      </w:r>
      <w:r>
        <w:rPr>
          <w:rFonts w:ascii="宋体" w:hAnsi="宋体"/>
          <w:sz w:val="24"/>
          <w:szCs w:val="24"/>
        </w:rPr>
        <w:t>9</w:t>
      </w:r>
      <w:r w:rsidR="00F05AC6" w:rsidRPr="00145AD6">
        <w:rPr>
          <w:rFonts w:ascii="宋体" w:hAnsi="宋体" w:hint="eastAsia"/>
          <w:sz w:val="24"/>
          <w:szCs w:val="24"/>
        </w:rPr>
        <w:t>月</w:t>
      </w:r>
      <w:r>
        <w:rPr>
          <w:rFonts w:ascii="宋体" w:hAnsi="宋体"/>
          <w:sz w:val="24"/>
          <w:szCs w:val="24"/>
        </w:rPr>
        <w:t>30</w:t>
      </w:r>
      <w:r w:rsidR="00F05AC6" w:rsidRPr="00145AD6">
        <w:rPr>
          <w:rFonts w:ascii="宋体" w:hAnsi="宋体" w:hint="eastAsia"/>
          <w:sz w:val="24"/>
          <w:szCs w:val="24"/>
        </w:rPr>
        <w:t>日</w:t>
      </w:r>
    </w:p>
    <w:sectPr w:rsidR="00F05AC6" w:rsidRPr="00145AD6" w:rsidSect="002457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242" w:rsidRDefault="009D4242" w:rsidP="00F05AC6">
      <w:r>
        <w:separator/>
      </w:r>
    </w:p>
  </w:endnote>
  <w:endnote w:type="continuationSeparator" w:id="0">
    <w:p w:rsidR="009D4242" w:rsidRDefault="009D4242" w:rsidP="00F05A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楷体">
    <w:charset w:val="86"/>
    <w:family w:val="auto"/>
    <w:pitch w:val="variable"/>
    <w:sig w:usb0="800002BF" w:usb1="38CF7CFA" w:usb2="00000016" w:usb3="00000000" w:csb0="00040001"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auto"/>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242" w:rsidRDefault="009D4242" w:rsidP="00F05AC6">
      <w:r>
        <w:separator/>
      </w:r>
    </w:p>
  </w:footnote>
  <w:footnote w:type="continuationSeparator" w:id="0">
    <w:p w:rsidR="009D4242" w:rsidRDefault="009D4242" w:rsidP="00F05A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oNotDisplayPageBoundarie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254DB"/>
    <w:rsid w:val="00007273"/>
    <w:rsid w:val="000148C9"/>
    <w:rsid w:val="000B3624"/>
    <w:rsid w:val="000C7C63"/>
    <w:rsid w:val="00105969"/>
    <w:rsid w:val="00105F6A"/>
    <w:rsid w:val="00145AD6"/>
    <w:rsid w:val="001C35AC"/>
    <w:rsid w:val="0022211F"/>
    <w:rsid w:val="0022273E"/>
    <w:rsid w:val="002254DB"/>
    <w:rsid w:val="00242AA3"/>
    <w:rsid w:val="002457E9"/>
    <w:rsid w:val="00251F8A"/>
    <w:rsid w:val="002816A5"/>
    <w:rsid w:val="002A0987"/>
    <w:rsid w:val="002C3BA3"/>
    <w:rsid w:val="00304C6C"/>
    <w:rsid w:val="00315B53"/>
    <w:rsid w:val="00323455"/>
    <w:rsid w:val="0034079C"/>
    <w:rsid w:val="00346A5B"/>
    <w:rsid w:val="00352148"/>
    <w:rsid w:val="00352992"/>
    <w:rsid w:val="0043268F"/>
    <w:rsid w:val="00493FF7"/>
    <w:rsid w:val="004B5639"/>
    <w:rsid w:val="004D2604"/>
    <w:rsid w:val="004D43F1"/>
    <w:rsid w:val="004E30A7"/>
    <w:rsid w:val="0055348B"/>
    <w:rsid w:val="0057438E"/>
    <w:rsid w:val="00577B52"/>
    <w:rsid w:val="00665AF9"/>
    <w:rsid w:val="00711740"/>
    <w:rsid w:val="00760E85"/>
    <w:rsid w:val="00762422"/>
    <w:rsid w:val="00771D82"/>
    <w:rsid w:val="007735D7"/>
    <w:rsid w:val="00794916"/>
    <w:rsid w:val="007C57AA"/>
    <w:rsid w:val="008006F6"/>
    <w:rsid w:val="0080748C"/>
    <w:rsid w:val="00860630"/>
    <w:rsid w:val="0086505E"/>
    <w:rsid w:val="008A1944"/>
    <w:rsid w:val="008D28F1"/>
    <w:rsid w:val="008E082B"/>
    <w:rsid w:val="008F58C7"/>
    <w:rsid w:val="0090716F"/>
    <w:rsid w:val="00926AF6"/>
    <w:rsid w:val="009A6A0E"/>
    <w:rsid w:val="009D4242"/>
    <w:rsid w:val="009F6D12"/>
    <w:rsid w:val="00A26879"/>
    <w:rsid w:val="00A352FC"/>
    <w:rsid w:val="00A44CBD"/>
    <w:rsid w:val="00AB5706"/>
    <w:rsid w:val="00AC4F68"/>
    <w:rsid w:val="00B153B1"/>
    <w:rsid w:val="00B545B5"/>
    <w:rsid w:val="00B61DA6"/>
    <w:rsid w:val="00B65E8B"/>
    <w:rsid w:val="00B91749"/>
    <w:rsid w:val="00BA5FAA"/>
    <w:rsid w:val="00BD29F1"/>
    <w:rsid w:val="00C06DA2"/>
    <w:rsid w:val="00C452F9"/>
    <w:rsid w:val="00C86E7C"/>
    <w:rsid w:val="00C95A34"/>
    <w:rsid w:val="00D1096C"/>
    <w:rsid w:val="00DD6340"/>
    <w:rsid w:val="00E82F4F"/>
    <w:rsid w:val="00E856EE"/>
    <w:rsid w:val="00EA31B4"/>
    <w:rsid w:val="00EB151A"/>
    <w:rsid w:val="00EB6AB9"/>
    <w:rsid w:val="00ED4AD3"/>
    <w:rsid w:val="00EF2C37"/>
    <w:rsid w:val="00EF3F4E"/>
    <w:rsid w:val="00F02583"/>
    <w:rsid w:val="00F05AC6"/>
    <w:rsid w:val="00F25EE8"/>
    <w:rsid w:val="00F875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7E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5AC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F05AC6"/>
    <w:rPr>
      <w:sz w:val="18"/>
      <w:szCs w:val="18"/>
    </w:rPr>
  </w:style>
  <w:style w:type="paragraph" w:styleId="a4">
    <w:name w:val="footer"/>
    <w:basedOn w:val="a"/>
    <w:link w:val="Char0"/>
    <w:uiPriority w:val="99"/>
    <w:unhideWhenUsed/>
    <w:rsid w:val="00F05AC6"/>
    <w:pPr>
      <w:tabs>
        <w:tab w:val="center" w:pos="4153"/>
        <w:tab w:val="right" w:pos="8306"/>
      </w:tabs>
      <w:snapToGrid w:val="0"/>
      <w:jc w:val="left"/>
    </w:pPr>
    <w:rPr>
      <w:sz w:val="18"/>
      <w:szCs w:val="18"/>
    </w:rPr>
  </w:style>
  <w:style w:type="character" w:customStyle="1" w:styleId="Char0">
    <w:name w:val="页脚 Char"/>
    <w:link w:val="a4"/>
    <w:uiPriority w:val="99"/>
    <w:rsid w:val="00F05AC6"/>
    <w:rPr>
      <w:sz w:val="18"/>
      <w:szCs w:val="18"/>
    </w:rPr>
  </w:style>
  <w:style w:type="paragraph" w:customStyle="1" w:styleId="Default">
    <w:name w:val="Default"/>
    <w:rsid w:val="00F05AC6"/>
    <w:pPr>
      <w:widowControl w:val="0"/>
      <w:autoSpaceDE w:val="0"/>
      <w:autoSpaceDN w:val="0"/>
      <w:adjustRightInd w:val="0"/>
    </w:pPr>
    <w:rPr>
      <w:rFonts w:ascii="宋体" w:cs="宋体"/>
      <w:color w:val="000000"/>
      <w:sz w:val="24"/>
      <w:szCs w:val="24"/>
    </w:rPr>
  </w:style>
  <w:style w:type="paragraph" w:styleId="a5">
    <w:name w:val="Balloon Text"/>
    <w:basedOn w:val="a"/>
    <w:link w:val="Char1"/>
    <w:uiPriority w:val="99"/>
    <w:semiHidden/>
    <w:unhideWhenUsed/>
    <w:rsid w:val="00F05AC6"/>
    <w:rPr>
      <w:sz w:val="18"/>
      <w:szCs w:val="18"/>
    </w:rPr>
  </w:style>
  <w:style w:type="character" w:customStyle="1" w:styleId="Char1">
    <w:name w:val="批注框文本 Char"/>
    <w:link w:val="a5"/>
    <w:uiPriority w:val="99"/>
    <w:semiHidden/>
    <w:rsid w:val="00F05AC6"/>
    <w:rPr>
      <w:sz w:val="18"/>
      <w:szCs w:val="18"/>
    </w:rPr>
  </w:style>
  <w:style w:type="table" w:styleId="a6">
    <w:name w:val="Table Grid"/>
    <w:basedOn w:val="a1"/>
    <w:uiPriority w:val="39"/>
    <w:rsid w:val="008D28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7896100">
      <w:bodyDiv w:val="1"/>
      <w:marLeft w:val="0"/>
      <w:marRight w:val="0"/>
      <w:marTop w:val="0"/>
      <w:marBottom w:val="0"/>
      <w:divBdr>
        <w:top w:val="none" w:sz="0" w:space="0" w:color="auto"/>
        <w:left w:val="none" w:sz="0" w:space="0" w:color="auto"/>
        <w:bottom w:val="none" w:sz="0" w:space="0" w:color="auto"/>
        <w:right w:val="none" w:sz="0" w:space="0" w:color="auto"/>
      </w:divBdr>
    </w:div>
    <w:div w:id="422460993">
      <w:bodyDiv w:val="1"/>
      <w:marLeft w:val="0"/>
      <w:marRight w:val="0"/>
      <w:marTop w:val="0"/>
      <w:marBottom w:val="0"/>
      <w:divBdr>
        <w:top w:val="none" w:sz="0" w:space="0" w:color="auto"/>
        <w:left w:val="none" w:sz="0" w:space="0" w:color="auto"/>
        <w:bottom w:val="none" w:sz="0" w:space="0" w:color="auto"/>
        <w:right w:val="none" w:sz="0" w:space="0" w:color="auto"/>
      </w:divBdr>
    </w:div>
    <w:div w:id="428695655">
      <w:bodyDiv w:val="1"/>
      <w:marLeft w:val="0"/>
      <w:marRight w:val="0"/>
      <w:marTop w:val="0"/>
      <w:marBottom w:val="0"/>
      <w:divBdr>
        <w:top w:val="none" w:sz="0" w:space="0" w:color="auto"/>
        <w:left w:val="none" w:sz="0" w:space="0" w:color="auto"/>
        <w:bottom w:val="none" w:sz="0" w:space="0" w:color="auto"/>
        <w:right w:val="none" w:sz="0" w:space="0" w:color="auto"/>
      </w:divBdr>
    </w:div>
    <w:div w:id="477915267">
      <w:bodyDiv w:val="1"/>
      <w:marLeft w:val="0"/>
      <w:marRight w:val="0"/>
      <w:marTop w:val="0"/>
      <w:marBottom w:val="0"/>
      <w:divBdr>
        <w:top w:val="none" w:sz="0" w:space="0" w:color="auto"/>
        <w:left w:val="none" w:sz="0" w:space="0" w:color="auto"/>
        <w:bottom w:val="none" w:sz="0" w:space="0" w:color="auto"/>
        <w:right w:val="none" w:sz="0" w:space="0" w:color="auto"/>
      </w:divBdr>
    </w:div>
    <w:div w:id="608440218">
      <w:bodyDiv w:val="1"/>
      <w:marLeft w:val="0"/>
      <w:marRight w:val="0"/>
      <w:marTop w:val="0"/>
      <w:marBottom w:val="0"/>
      <w:divBdr>
        <w:top w:val="none" w:sz="0" w:space="0" w:color="auto"/>
        <w:left w:val="none" w:sz="0" w:space="0" w:color="auto"/>
        <w:bottom w:val="none" w:sz="0" w:space="0" w:color="auto"/>
        <w:right w:val="none" w:sz="0" w:space="0" w:color="auto"/>
      </w:divBdr>
    </w:div>
    <w:div w:id="651755677">
      <w:bodyDiv w:val="1"/>
      <w:marLeft w:val="0"/>
      <w:marRight w:val="0"/>
      <w:marTop w:val="0"/>
      <w:marBottom w:val="0"/>
      <w:divBdr>
        <w:top w:val="none" w:sz="0" w:space="0" w:color="auto"/>
        <w:left w:val="none" w:sz="0" w:space="0" w:color="auto"/>
        <w:bottom w:val="none" w:sz="0" w:space="0" w:color="auto"/>
        <w:right w:val="none" w:sz="0" w:space="0" w:color="auto"/>
      </w:divBdr>
    </w:div>
    <w:div w:id="701588711">
      <w:bodyDiv w:val="1"/>
      <w:marLeft w:val="0"/>
      <w:marRight w:val="0"/>
      <w:marTop w:val="0"/>
      <w:marBottom w:val="0"/>
      <w:divBdr>
        <w:top w:val="none" w:sz="0" w:space="0" w:color="auto"/>
        <w:left w:val="none" w:sz="0" w:space="0" w:color="auto"/>
        <w:bottom w:val="none" w:sz="0" w:space="0" w:color="auto"/>
        <w:right w:val="none" w:sz="0" w:space="0" w:color="auto"/>
      </w:divBdr>
    </w:div>
    <w:div w:id="731924440">
      <w:bodyDiv w:val="1"/>
      <w:marLeft w:val="0"/>
      <w:marRight w:val="0"/>
      <w:marTop w:val="0"/>
      <w:marBottom w:val="0"/>
      <w:divBdr>
        <w:top w:val="none" w:sz="0" w:space="0" w:color="auto"/>
        <w:left w:val="none" w:sz="0" w:space="0" w:color="auto"/>
        <w:bottom w:val="none" w:sz="0" w:space="0" w:color="auto"/>
        <w:right w:val="none" w:sz="0" w:space="0" w:color="auto"/>
      </w:divBdr>
    </w:div>
    <w:div w:id="905382156">
      <w:bodyDiv w:val="1"/>
      <w:marLeft w:val="0"/>
      <w:marRight w:val="0"/>
      <w:marTop w:val="0"/>
      <w:marBottom w:val="0"/>
      <w:divBdr>
        <w:top w:val="none" w:sz="0" w:space="0" w:color="auto"/>
        <w:left w:val="none" w:sz="0" w:space="0" w:color="auto"/>
        <w:bottom w:val="none" w:sz="0" w:space="0" w:color="auto"/>
        <w:right w:val="none" w:sz="0" w:space="0" w:color="auto"/>
      </w:divBdr>
    </w:div>
    <w:div w:id="986133344">
      <w:bodyDiv w:val="1"/>
      <w:marLeft w:val="0"/>
      <w:marRight w:val="0"/>
      <w:marTop w:val="0"/>
      <w:marBottom w:val="0"/>
      <w:divBdr>
        <w:top w:val="none" w:sz="0" w:space="0" w:color="auto"/>
        <w:left w:val="none" w:sz="0" w:space="0" w:color="auto"/>
        <w:bottom w:val="none" w:sz="0" w:space="0" w:color="auto"/>
        <w:right w:val="none" w:sz="0" w:space="0" w:color="auto"/>
      </w:divBdr>
    </w:div>
    <w:div w:id="1142424231">
      <w:bodyDiv w:val="1"/>
      <w:marLeft w:val="0"/>
      <w:marRight w:val="0"/>
      <w:marTop w:val="0"/>
      <w:marBottom w:val="0"/>
      <w:divBdr>
        <w:top w:val="none" w:sz="0" w:space="0" w:color="auto"/>
        <w:left w:val="none" w:sz="0" w:space="0" w:color="auto"/>
        <w:bottom w:val="none" w:sz="0" w:space="0" w:color="auto"/>
        <w:right w:val="none" w:sz="0" w:space="0" w:color="auto"/>
      </w:divBdr>
    </w:div>
    <w:div w:id="1232084749">
      <w:bodyDiv w:val="1"/>
      <w:marLeft w:val="0"/>
      <w:marRight w:val="0"/>
      <w:marTop w:val="0"/>
      <w:marBottom w:val="0"/>
      <w:divBdr>
        <w:top w:val="none" w:sz="0" w:space="0" w:color="auto"/>
        <w:left w:val="none" w:sz="0" w:space="0" w:color="auto"/>
        <w:bottom w:val="none" w:sz="0" w:space="0" w:color="auto"/>
        <w:right w:val="none" w:sz="0" w:space="0" w:color="auto"/>
      </w:divBdr>
    </w:div>
    <w:div w:id="1247107654">
      <w:bodyDiv w:val="1"/>
      <w:marLeft w:val="0"/>
      <w:marRight w:val="0"/>
      <w:marTop w:val="0"/>
      <w:marBottom w:val="0"/>
      <w:divBdr>
        <w:top w:val="none" w:sz="0" w:space="0" w:color="auto"/>
        <w:left w:val="none" w:sz="0" w:space="0" w:color="auto"/>
        <w:bottom w:val="none" w:sz="0" w:space="0" w:color="auto"/>
        <w:right w:val="none" w:sz="0" w:space="0" w:color="auto"/>
      </w:divBdr>
    </w:div>
    <w:div w:id="1316255757">
      <w:bodyDiv w:val="1"/>
      <w:marLeft w:val="0"/>
      <w:marRight w:val="0"/>
      <w:marTop w:val="0"/>
      <w:marBottom w:val="0"/>
      <w:divBdr>
        <w:top w:val="none" w:sz="0" w:space="0" w:color="auto"/>
        <w:left w:val="none" w:sz="0" w:space="0" w:color="auto"/>
        <w:bottom w:val="none" w:sz="0" w:space="0" w:color="auto"/>
        <w:right w:val="none" w:sz="0" w:space="0" w:color="auto"/>
      </w:divBdr>
    </w:div>
    <w:div w:id="1498303386">
      <w:bodyDiv w:val="1"/>
      <w:marLeft w:val="0"/>
      <w:marRight w:val="0"/>
      <w:marTop w:val="0"/>
      <w:marBottom w:val="0"/>
      <w:divBdr>
        <w:top w:val="none" w:sz="0" w:space="0" w:color="auto"/>
        <w:left w:val="none" w:sz="0" w:space="0" w:color="auto"/>
        <w:bottom w:val="none" w:sz="0" w:space="0" w:color="auto"/>
        <w:right w:val="none" w:sz="0" w:space="0" w:color="auto"/>
      </w:divBdr>
    </w:div>
    <w:div w:id="1785882597">
      <w:bodyDiv w:val="1"/>
      <w:marLeft w:val="0"/>
      <w:marRight w:val="0"/>
      <w:marTop w:val="0"/>
      <w:marBottom w:val="0"/>
      <w:divBdr>
        <w:top w:val="none" w:sz="0" w:space="0" w:color="auto"/>
        <w:left w:val="none" w:sz="0" w:space="0" w:color="auto"/>
        <w:bottom w:val="none" w:sz="0" w:space="0" w:color="auto"/>
        <w:right w:val="none" w:sz="0" w:space="0" w:color="auto"/>
      </w:divBdr>
    </w:div>
    <w:div w:id="1802846098">
      <w:bodyDiv w:val="1"/>
      <w:marLeft w:val="0"/>
      <w:marRight w:val="0"/>
      <w:marTop w:val="0"/>
      <w:marBottom w:val="0"/>
      <w:divBdr>
        <w:top w:val="none" w:sz="0" w:space="0" w:color="auto"/>
        <w:left w:val="none" w:sz="0" w:space="0" w:color="auto"/>
        <w:bottom w:val="none" w:sz="0" w:space="0" w:color="auto"/>
        <w:right w:val="none" w:sz="0" w:space="0" w:color="auto"/>
      </w:divBdr>
    </w:div>
    <w:div w:id="19539747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4</DocSecurity>
  <Lines>4</Lines>
  <Paragraphs>1</Paragraphs>
  <ScaleCrop>false</ScaleCrop>
  <Company>Microsoft</Company>
  <LinksUpToDate>false</LinksUpToDate>
  <CharactersWithSpaces>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ZHONGM</cp:lastModifiedBy>
  <cp:revision>2</cp:revision>
  <cp:lastPrinted>2025-04-22T10:41:00Z</cp:lastPrinted>
  <dcterms:created xsi:type="dcterms:W3CDTF">2025-09-29T16:04:00Z</dcterms:created>
  <dcterms:modified xsi:type="dcterms:W3CDTF">2025-09-29T16:04:00Z</dcterms:modified>
</cp:coreProperties>
</file>