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A02" w:rsidRDefault="0094125E">
      <w:pPr>
        <w:tabs>
          <w:tab w:val="left" w:pos="10440"/>
        </w:tabs>
        <w:jc w:val="center"/>
        <w:rPr>
          <w:b/>
          <w:bCs/>
          <w:color w:val="000000"/>
          <w:sz w:val="24"/>
        </w:rPr>
      </w:pPr>
      <w:bookmarkStart w:id="0" w:name="_GoBack"/>
      <w:bookmarkEnd w:id="0"/>
      <w:r>
        <w:rPr>
          <w:rFonts w:hAnsi="宋体" w:hint="eastAsia"/>
          <w:b/>
          <w:bCs/>
          <w:color w:val="000000"/>
          <w:sz w:val="24"/>
        </w:rPr>
        <w:t>华夏</w:t>
      </w:r>
      <w:r>
        <w:rPr>
          <w:b/>
          <w:bCs/>
          <w:color w:val="000000"/>
          <w:sz w:val="24"/>
        </w:rPr>
        <w:t>基金管理有限公司关于旗下基金</w:t>
      </w:r>
      <w:r>
        <w:rPr>
          <w:rFonts w:hint="eastAsia"/>
          <w:b/>
          <w:bCs/>
          <w:color w:val="000000"/>
          <w:sz w:val="24"/>
        </w:rPr>
        <w:t>投资</w:t>
      </w:r>
      <w:r>
        <w:rPr>
          <w:rFonts w:hAnsi="宋体" w:hint="eastAsia"/>
          <w:b/>
          <w:bCs/>
          <w:sz w:val="24"/>
        </w:rPr>
        <w:t>关联方承销证券</w:t>
      </w:r>
      <w:r>
        <w:rPr>
          <w:b/>
          <w:bCs/>
          <w:color w:val="000000"/>
          <w:sz w:val="24"/>
        </w:rPr>
        <w:t>的公告</w:t>
      </w:r>
    </w:p>
    <w:p w:rsidR="00D407B9" w:rsidRDefault="00D407B9">
      <w:pPr>
        <w:tabs>
          <w:tab w:val="left" w:pos="10440"/>
        </w:tabs>
        <w:jc w:val="center"/>
        <w:rPr>
          <w:b/>
          <w:bCs/>
          <w:color w:val="000000"/>
          <w:sz w:val="24"/>
        </w:rPr>
      </w:pPr>
    </w:p>
    <w:p w:rsidR="00740651" w:rsidRPr="009F0F5D" w:rsidRDefault="00D407B9" w:rsidP="009F0F5D">
      <w:pPr>
        <w:tabs>
          <w:tab w:val="left" w:pos="10440"/>
        </w:tabs>
        <w:spacing w:line="360" w:lineRule="auto"/>
        <w:ind w:firstLineChars="200" w:firstLine="480"/>
        <w:jc w:val="left"/>
        <w:rPr>
          <w:rFonts w:eastAsiaTheme="minorEastAsia" w:hAnsiTheme="minorEastAsia"/>
          <w:color w:val="000000" w:themeColor="text1"/>
          <w:sz w:val="24"/>
        </w:rPr>
      </w:pPr>
      <w:r w:rsidRPr="00D407B9">
        <w:rPr>
          <w:rFonts w:eastAsiaTheme="minorEastAsia" w:hAnsiTheme="minorEastAsia"/>
          <w:color w:val="000000" w:themeColor="text1"/>
          <w:sz w:val="24"/>
        </w:rPr>
        <w:t>根据《公开募集证券投资基金运作管理办法》《公开募集证券投资基金信息披露管理办法》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及相关法律法规、各基金</w:t>
      </w:r>
      <w:r w:rsidRPr="00D407B9">
        <w:rPr>
          <w:rFonts w:eastAsiaTheme="minorEastAsia" w:hAnsiTheme="minorEastAsia"/>
          <w:color w:val="000000" w:themeColor="text1"/>
          <w:sz w:val="24"/>
        </w:rPr>
        <w:t>基金合同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及招募说明书</w:t>
      </w:r>
      <w:r w:rsidRPr="00D407B9">
        <w:rPr>
          <w:rFonts w:eastAsiaTheme="minorEastAsia" w:hAnsiTheme="minorEastAsia"/>
          <w:color w:val="000000" w:themeColor="text1"/>
          <w:sz w:val="24"/>
        </w:rPr>
        <w:t>等规定，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在履行规定审批程序并经基金托管人同意后，</w:t>
      </w:r>
      <w:r w:rsidRPr="00D407B9">
        <w:rPr>
          <w:rFonts w:eastAsiaTheme="minorEastAsia" w:hAnsiTheme="minorEastAsia"/>
          <w:color w:val="000000" w:themeColor="text1"/>
          <w:sz w:val="24"/>
        </w:rPr>
        <w:t>华夏基金管理有限公司（以下简称“本公司”）旗下部分公募基金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参与了</w:t>
      </w:r>
      <w:r w:rsidR="00F82691" w:rsidRPr="009F0F5D">
        <w:rPr>
          <w:rFonts w:eastAsiaTheme="minorEastAsia" w:hAnsiTheme="minorEastAsia" w:hint="eastAsia"/>
          <w:color w:val="000000" w:themeColor="text1"/>
          <w:sz w:val="24"/>
        </w:rPr>
        <w:t>紫金黄金国际有限公司</w:t>
      </w:r>
      <w:r w:rsidR="00740651" w:rsidRPr="009F0F5D">
        <w:rPr>
          <w:rFonts w:eastAsiaTheme="minorEastAsia" w:hAnsiTheme="minorEastAsia" w:hint="eastAsia"/>
          <w:color w:val="000000" w:themeColor="text1"/>
          <w:sz w:val="24"/>
        </w:rPr>
        <w:t>（以下简称</w:t>
      </w:r>
      <w:r w:rsidR="00740651" w:rsidRPr="009F0F5D">
        <w:rPr>
          <w:rFonts w:eastAsiaTheme="minorEastAsia" w:hAnsiTheme="minorEastAsia"/>
          <w:color w:val="000000" w:themeColor="text1"/>
          <w:sz w:val="24"/>
        </w:rPr>
        <w:t>“</w:t>
      </w:r>
      <w:r w:rsidR="00F82691" w:rsidRPr="009F0F5D">
        <w:rPr>
          <w:rFonts w:eastAsiaTheme="minorEastAsia" w:hAnsiTheme="minorEastAsia" w:hint="eastAsia"/>
          <w:color w:val="000000" w:themeColor="text1"/>
          <w:sz w:val="24"/>
        </w:rPr>
        <w:t>紫金黄金国际</w:t>
      </w:r>
      <w:r w:rsidR="00740651" w:rsidRPr="009F0F5D">
        <w:rPr>
          <w:rFonts w:eastAsiaTheme="minorEastAsia" w:hAnsiTheme="minorEastAsia"/>
          <w:color w:val="000000" w:themeColor="text1"/>
          <w:sz w:val="24"/>
        </w:rPr>
        <w:t>”</w:t>
      </w:r>
      <w:r w:rsidR="00740651" w:rsidRPr="009F0F5D">
        <w:rPr>
          <w:rFonts w:eastAsiaTheme="minorEastAsia" w:hAnsiTheme="minorEastAsia" w:hint="eastAsia"/>
          <w:color w:val="000000" w:themeColor="text1"/>
          <w:sz w:val="24"/>
        </w:rPr>
        <w:t>）的全球发售</w:t>
      </w:r>
      <w:r w:rsidRPr="00D407B9">
        <w:rPr>
          <w:rFonts w:eastAsiaTheme="minorEastAsia" w:hAnsiTheme="minorEastAsia" w:hint="eastAsia"/>
          <w:color w:val="000000" w:themeColor="text1"/>
          <w:sz w:val="24"/>
        </w:rPr>
        <w:t>。</w:t>
      </w:r>
      <w:bookmarkStart w:id="1" w:name="OLE_LINK1"/>
      <w:r w:rsidR="00F82691" w:rsidRPr="009F0F5D">
        <w:rPr>
          <w:rFonts w:eastAsiaTheme="minorEastAsia" w:hAnsiTheme="minorEastAsia" w:hint="eastAsia"/>
          <w:color w:val="000000" w:themeColor="text1"/>
          <w:sz w:val="24"/>
        </w:rPr>
        <w:t>紫金黄金国际</w:t>
      </w:r>
      <w:bookmarkEnd w:id="1"/>
      <w:r w:rsidR="00740651" w:rsidRPr="009F0F5D">
        <w:rPr>
          <w:rFonts w:eastAsiaTheme="minorEastAsia" w:hAnsiTheme="minorEastAsia" w:hint="eastAsia"/>
          <w:color w:val="000000" w:themeColor="text1"/>
          <w:sz w:val="24"/>
        </w:rPr>
        <w:t>本次全球发售的</w:t>
      </w:r>
      <w:r w:rsidR="000D45A0">
        <w:rPr>
          <w:rFonts w:eastAsiaTheme="minorEastAsia" w:hAnsiTheme="minorEastAsia" w:hint="eastAsia"/>
          <w:color w:val="000000" w:themeColor="text1"/>
          <w:sz w:val="24"/>
        </w:rPr>
        <w:t>联席保荐人</w:t>
      </w:r>
      <w:bookmarkStart w:id="2" w:name="OLE_LINK3"/>
      <w:r w:rsidR="000D45A0" w:rsidRPr="000D45A0">
        <w:rPr>
          <w:rFonts w:eastAsiaTheme="minorEastAsia" w:hAnsiTheme="minorEastAsia" w:hint="eastAsia"/>
          <w:color w:val="000000" w:themeColor="text1"/>
          <w:sz w:val="24"/>
        </w:rPr>
        <w:t>中信</w:t>
      </w:r>
      <w:r w:rsidR="000D45A0">
        <w:rPr>
          <w:rFonts w:eastAsiaTheme="minorEastAsia" w:hAnsiTheme="minorEastAsia" w:hint="eastAsia"/>
          <w:color w:val="000000" w:themeColor="text1"/>
          <w:sz w:val="24"/>
        </w:rPr>
        <w:t>证券</w:t>
      </w:r>
      <w:r w:rsidR="000D45A0" w:rsidRPr="000D45A0">
        <w:rPr>
          <w:rFonts w:eastAsiaTheme="minorEastAsia" w:hAnsiTheme="minorEastAsia" w:hint="eastAsia"/>
          <w:color w:val="000000" w:themeColor="text1"/>
          <w:sz w:val="24"/>
        </w:rPr>
        <w:t>（香港）有限公司</w:t>
      </w:r>
      <w:bookmarkEnd w:id="2"/>
      <w:r w:rsidR="000D45A0">
        <w:rPr>
          <w:rFonts w:eastAsiaTheme="minorEastAsia" w:hAnsiTheme="minorEastAsia" w:hint="eastAsia"/>
          <w:color w:val="000000" w:themeColor="text1"/>
          <w:sz w:val="24"/>
        </w:rPr>
        <w:t>，以及本次全球发售的</w:t>
      </w:r>
      <w:r w:rsidR="00F82691" w:rsidRPr="009F0F5D">
        <w:rPr>
          <w:rFonts w:eastAsiaTheme="minorEastAsia" w:hAnsiTheme="minorEastAsia" w:hint="eastAsia"/>
          <w:color w:val="000000" w:themeColor="text1"/>
          <w:sz w:val="24"/>
        </w:rPr>
        <w:t>保荐人兼整体协调人、整体协调人、联席全球协调人、联席账簿管理人、联席牵头经办人</w:t>
      </w:r>
      <w:r w:rsidR="000D45A0" w:rsidRPr="009F0F5D">
        <w:rPr>
          <w:rFonts w:eastAsiaTheme="minorEastAsia" w:hAnsiTheme="minorEastAsia" w:hint="eastAsia"/>
          <w:color w:val="000000" w:themeColor="text1"/>
          <w:sz w:val="24"/>
        </w:rPr>
        <w:t>中信里昂证券有限公司</w:t>
      </w:r>
      <w:r w:rsidR="000D45A0">
        <w:rPr>
          <w:rFonts w:eastAsiaTheme="minorEastAsia" w:hAnsiTheme="minorEastAsia" w:hint="eastAsia"/>
          <w:color w:val="000000" w:themeColor="text1"/>
          <w:sz w:val="24"/>
        </w:rPr>
        <w:t>为</w:t>
      </w:r>
      <w:r w:rsidR="000D45A0" w:rsidRPr="009F0F5D">
        <w:rPr>
          <w:rFonts w:eastAsiaTheme="minorEastAsia" w:hAnsiTheme="minorEastAsia" w:hint="eastAsia"/>
          <w:color w:val="000000" w:themeColor="text1"/>
          <w:sz w:val="24"/>
        </w:rPr>
        <w:t>本公司控股股东中信证券股份有限公司的</w:t>
      </w:r>
      <w:r w:rsidR="006864BF">
        <w:rPr>
          <w:rFonts w:eastAsiaTheme="minorEastAsia" w:hAnsiTheme="minorEastAsia" w:hint="eastAsia"/>
          <w:color w:val="000000" w:themeColor="text1"/>
          <w:sz w:val="24"/>
        </w:rPr>
        <w:t>子公司</w:t>
      </w:r>
      <w:r w:rsidR="00F82691" w:rsidRPr="009F0F5D">
        <w:rPr>
          <w:rFonts w:eastAsiaTheme="minorEastAsia" w:hAnsiTheme="minorEastAsia" w:hint="eastAsia"/>
          <w:color w:val="000000" w:themeColor="text1"/>
          <w:sz w:val="24"/>
        </w:rPr>
        <w:t>。</w:t>
      </w:r>
      <w:r w:rsidR="00740651" w:rsidRPr="009F0F5D">
        <w:rPr>
          <w:rFonts w:eastAsiaTheme="minorEastAsia" w:hAnsiTheme="minorEastAsia" w:hint="eastAsia"/>
          <w:color w:val="000000" w:themeColor="text1"/>
          <w:sz w:val="24"/>
        </w:rPr>
        <w:t>本次全球发售的</w:t>
      </w:r>
      <w:r w:rsidR="00F82691" w:rsidRPr="009F0F5D">
        <w:rPr>
          <w:rFonts w:eastAsiaTheme="minorEastAsia" w:hAnsiTheme="minorEastAsia"/>
          <w:color w:val="000000" w:themeColor="text1"/>
          <w:sz w:val="24"/>
        </w:rPr>
        <w:t>每股</w:t>
      </w:r>
      <w:r w:rsidR="00F82691" w:rsidRPr="009F0F5D">
        <w:rPr>
          <w:rFonts w:eastAsiaTheme="minorEastAsia" w:hAnsiTheme="minorEastAsia" w:hint="eastAsia"/>
          <w:color w:val="000000" w:themeColor="text1"/>
          <w:sz w:val="24"/>
        </w:rPr>
        <w:t>发售价为</w:t>
      </w:r>
      <w:r w:rsidR="00F82691" w:rsidRPr="009F0F5D">
        <w:rPr>
          <w:rFonts w:eastAsiaTheme="minorEastAsia" w:hAnsiTheme="minorEastAsia"/>
          <w:color w:val="000000" w:themeColor="text1"/>
          <w:sz w:val="24"/>
        </w:rPr>
        <w:t>71.59</w:t>
      </w:r>
      <w:r w:rsidR="00F82691" w:rsidRPr="009F0F5D">
        <w:rPr>
          <w:rFonts w:eastAsiaTheme="minorEastAsia" w:hAnsiTheme="minorEastAsia"/>
          <w:color w:val="000000" w:themeColor="text1"/>
          <w:sz w:val="24"/>
        </w:rPr>
        <w:t>港元</w:t>
      </w:r>
      <w:r w:rsidR="00F82691" w:rsidRPr="009F0F5D">
        <w:rPr>
          <w:rFonts w:eastAsiaTheme="minorEastAsia" w:hAnsiTheme="minorEastAsia" w:hint="eastAsia"/>
          <w:color w:val="000000" w:themeColor="text1"/>
          <w:sz w:val="24"/>
        </w:rPr>
        <w:t>，</w:t>
      </w:r>
      <w:r w:rsidR="00740651" w:rsidRPr="009F0F5D">
        <w:rPr>
          <w:rFonts w:eastAsiaTheme="minorEastAsia" w:hAnsiTheme="minorEastAsia"/>
          <w:color w:val="000000" w:themeColor="text1"/>
          <w:sz w:val="24"/>
        </w:rPr>
        <w:t>由</w:t>
      </w:r>
      <w:r w:rsidR="00740651" w:rsidRPr="009F0F5D">
        <w:rPr>
          <w:rFonts w:eastAsiaTheme="minorEastAsia" w:hAnsiTheme="minorEastAsia" w:hint="eastAsia"/>
          <w:color w:val="000000" w:themeColor="text1"/>
          <w:sz w:val="24"/>
        </w:rPr>
        <w:t>整体协调人</w:t>
      </w:r>
      <w:r w:rsidR="00740651" w:rsidRPr="009F0F5D">
        <w:rPr>
          <w:rFonts w:eastAsiaTheme="minorEastAsia" w:hAnsiTheme="minorEastAsia"/>
          <w:color w:val="000000" w:themeColor="text1"/>
          <w:sz w:val="24"/>
        </w:rPr>
        <w:t>与</w:t>
      </w:r>
      <w:r w:rsidR="00F82691" w:rsidRPr="009F0F5D">
        <w:rPr>
          <w:rFonts w:eastAsiaTheme="minorEastAsia" w:hAnsiTheme="minorEastAsia" w:hint="eastAsia"/>
          <w:color w:val="000000" w:themeColor="text1"/>
          <w:sz w:val="24"/>
        </w:rPr>
        <w:t>紫金黄金国际协商确</w:t>
      </w:r>
      <w:r w:rsidR="00A62B32">
        <w:rPr>
          <w:rFonts w:eastAsiaTheme="minorEastAsia" w:hAnsiTheme="minorEastAsia" w:hint="eastAsia"/>
          <w:color w:val="000000" w:themeColor="text1"/>
          <w:sz w:val="24"/>
        </w:rPr>
        <w:t>定</w:t>
      </w:r>
      <w:r w:rsidR="00740651" w:rsidRPr="009F0F5D">
        <w:rPr>
          <w:rFonts w:eastAsiaTheme="minorEastAsia" w:hAnsiTheme="minorEastAsia" w:hint="eastAsia"/>
          <w:color w:val="000000" w:themeColor="text1"/>
          <w:sz w:val="24"/>
        </w:rPr>
        <w:t>。</w:t>
      </w:r>
      <w:r w:rsidR="00740651" w:rsidRPr="009F0F5D">
        <w:rPr>
          <w:rFonts w:eastAsiaTheme="minorEastAsia" w:hAnsiTheme="minorEastAsia"/>
          <w:color w:val="000000" w:themeColor="text1"/>
          <w:sz w:val="24"/>
        </w:rPr>
        <w:t>现将</w:t>
      </w:r>
      <w:r w:rsidR="00740651" w:rsidRPr="009F0F5D">
        <w:rPr>
          <w:rFonts w:eastAsiaTheme="minorEastAsia" w:hAnsiTheme="minorEastAsia" w:hint="eastAsia"/>
          <w:color w:val="000000" w:themeColor="text1"/>
          <w:sz w:val="24"/>
        </w:rPr>
        <w:t>本公司旗下公募基金参与</w:t>
      </w:r>
      <w:bookmarkStart w:id="3" w:name="OLE_LINK2"/>
      <w:r w:rsidR="00F82691" w:rsidRPr="009F0F5D">
        <w:rPr>
          <w:rFonts w:eastAsiaTheme="minorEastAsia" w:hAnsiTheme="minorEastAsia" w:hint="eastAsia"/>
          <w:color w:val="000000" w:themeColor="text1"/>
          <w:sz w:val="24"/>
        </w:rPr>
        <w:t>紫金黄金国际</w:t>
      </w:r>
      <w:bookmarkEnd w:id="3"/>
      <w:r w:rsidR="00740651" w:rsidRPr="009F0F5D">
        <w:rPr>
          <w:rFonts w:eastAsiaTheme="minorEastAsia" w:hAnsiTheme="minorEastAsia" w:hint="eastAsia"/>
          <w:color w:val="000000" w:themeColor="text1"/>
          <w:sz w:val="24"/>
        </w:rPr>
        <w:t>本次全球发售</w:t>
      </w:r>
      <w:r w:rsidR="00740651" w:rsidRPr="009F0F5D">
        <w:rPr>
          <w:rFonts w:eastAsiaTheme="minorEastAsia" w:hAnsiTheme="minorEastAsia"/>
          <w:color w:val="000000" w:themeColor="text1"/>
          <w:sz w:val="24"/>
        </w:rPr>
        <w:t>的</w:t>
      </w:r>
      <w:r w:rsidR="00740651" w:rsidRPr="009F0F5D">
        <w:rPr>
          <w:rFonts w:eastAsiaTheme="minorEastAsia" w:hAnsiTheme="minorEastAsia" w:hint="eastAsia"/>
          <w:color w:val="000000" w:themeColor="text1"/>
          <w:sz w:val="24"/>
        </w:rPr>
        <w:t>相关</w:t>
      </w:r>
      <w:r w:rsidR="00740651" w:rsidRPr="009F0F5D">
        <w:rPr>
          <w:rFonts w:eastAsiaTheme="minorEastAsia" w:hAnsiTheme="minorEastAsia"/>
          <w:color w:val="000000" w:themeColor="text1"/>
          <w:sz w:val="24"/>
        </w:rPr>
        <w:t>信息公告如下：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62"/>
        <w:gridCol w:w="1558"/>
        <w:gridCol w:w="1578"/>
        <w:gridCol w:w="1300"/>
        <w:gridCol w:w="1424"/>
      </w:tblGrid>
      <w:tr w:rsidR="00F82691" w:rsidRPr="00A62B32" w:rsidTr="00A62B32">
        <w:trPr>
          <w:jc w:val="center"/>
        </w:trPr>
        <w:tc>
          <w:tcPr>
            <w:tcW w:w="1562" w:type="pct"/>
            <w:vAlign w:val="center"/>
          </w:tcPr>
          <w:p w:rsidR="00F82691" w:rsidRPr="00A62B32" w:rsidRDefault="00F82691" w:rsidP="00325600">
            <w:pPr>
              <w:tabs>
                <w:tab w:val="left" w:pos="10440"/>
              </w:tabs>
              <w:jc w:val="center"/>
              <w:rPr>
                <w:color w:val="000000"/>
                <w:szCs w:val="21"/>
              </w:rPr>
            </w:pPr>
            <w:r w:rsidRPr="00A62B32">
              <w:rPr>
                <w:rFonts w:hAnsi="宋体"/>
                <w:color w:val="000000"/>
                <w:szCs w:val="21"/>
              </w:rPr>
              <w:t>基金名称</w:t>
            </w:r>
          </w:p>
        </w:tc>
        <w:tc>
          <w:tcPr>
            <w:tcW w:w="914" w:type="pct"/>
            <w:vAlign w:val="center"/>
          </w:tcPr>
          <w:p w:rsidR="00F82691" w:rsidRPr="00A62B32" w:rsidRDefault="00F82691" w:rsidP="00F82691">
            <w:pPr>
              <w:tabs>
                <w:tab w:val="left" w:pos="10440"/>
              </w:tabs>
              <w:jc w:val="center"/>
              <w:rPr>
                <w:rFonts w:hAnsi="宋体"/>
                <w:color w:val="000000"/>
                <w:szCs w:val="21"/>
              </w:rPr>
            </w:pPr>
            <w:r w:rsidRPr="00A62B32">
              <w:rPr>
                <w:rFonts w:hAnsi="宋体" w:hint="eastAsia"/>
                <w:color w:val="000000"/>
                <w:szCs w:val="21"/>
              </w:rPr>
              <w:t>参与方式</w:t>
            </w:r>
          </w:p>
        </w:tc>
        <w:tc>
          <w:tcPr>
            <w:tcW w:w="926" w:type="pct"/>
            <w:vAlign w:val="center"/>
          </w:tcPr>
          <w:p w:rsidR="00F82691" w:rsidRPr="00A62B32" w:rsidRDefault="00F82691" w:rsidP="00325600">
            <w:pPr>
              <w:tabs>
                <w:tab w:val="left" w:pos="10440"/>
              </w:tabs>
              <w:jc w:val="center"/>
              <w:rPr>
                <w:rFonts w:hAnsi="宋体"/>
                <w:color w:val="000000"/>
                <w:szCs w:val="21"/>
              </w:rPr>
            </w:pPr>
            <w:r w:rsidRPr="00A62B32">
              <w:rPr>
                <w:rFonts w:hAnsi="宋体" w:hint="eastAsia"/>
                <w:color w:val="000000"/>
                <w:szCs w:val="21"/>
              </w:rPr>
              <w:t>获配证券</w:t>
            </w:r>
          </w:p>
          <w:p w:rsidR="00F82691" w:rsidRPr="00A62B32" w:rsidRDefault="00F82691" w:rsidP="00325600">
            <w:pPr>
              <w:tabs>
                <w:tab w:val="left" w:pos="10440"/>
              </w:tabs>
              <w:jc w:val="center"/>
              <w:rPr>
                <w:rFonts w:hAnsi="宋体"/>
                <w:color w:val="000000"/>
                <w:szCs w:val="21"/>
              </w:rPr>
            </w:pPr>
            <w:r w:rsidRPr="00A62B32">
              <w:rPr>
                <w:rFonts w:hAnsi="宋体" w:hint="eastAsia"/>
                <w:color w:val="000000"/>
                <w:szCs w:val="21"/>
              </w:rPr>
              <w:t>名称</w:t>
            </w:r>
          </w:p>
        </w:tc>
        <w:tc>
          <w:tcPr>
            <w:tcW w:w="763" w:type="pct"/>
            <w:vAlign w:val="center"/>
          </w:tcPr>
          <w:p w:rsidR="00F82691" w:rsidRPr="00A62B32" w:rsidRDefault="00F82691" w:rsidP="00325600">
            <w:pPr>
              <w:tabs>
                <w:tab w:val="left" w:pos="10440"/>
              </w:tabs>
              <w:jc w:val="center"/>
              <w:rPr>
                <w:rFonts w:hAnsi="宋体"/>
                <w:color w:val="000000"/>
                <w:szCs w:val="21"/>
              </w:rPr>
            </w:pPr>
            <w:r w:rsidRPr="00A62B32">
              <w:rPr>
                <w:rFonts w:hAnsi="宋体" w:hint="eastAsia"/>
                <w:color w:val="000000"/>
                <w:szCs w:val="21"/>
              </w:rPr>
              <w:t>获配</w:t>
            </w:r>
            <w:r w:rsidRPr="00A62B32">
              <w:rPr>
                <w:rFonts w:hAnsi="宋体"/>
                <w:color w:val="000000"/>
                <w:szCs w:val="21"/>
              </w:rPr>
              <w:t>数量</w:t>
            </w:r>
          </w:p>
          <w:p w:rsidR="00F82691" w:rsidRPr="00A62B32" w:rsidRDefault="00F82691" w:rsidP="00325600">
            <w:pPr>
              <w:tabs>
                <w:tab w:val="left" w:pos="10440"/>
              </w:tabs>
              <w:jc w:val="center"/>
              <w:rPr>
                <w:rFonts w:hAnsi="宋体"/>
                <w:color w:val="000000"/>
                <w:szCs w:val="21"/>
              </w:rPr>
            </w:pPr>
            <w:r w:rsidRPr="00A62B32">
              <w:rPr>
                <w:rFonts w:hAnsi="宋体" w:hint="eastAsia"/>
                <w:color w:val="000000"/>
                <w:szCs w:val="21"/>
              </w:rPr>
              <w:t>（股</w:t>
            </w:r>
            <w:r w:rsidRPr="00A62B32">
              <w:rPr>
                <w:rFonts w:hAnsi="宋体"/>
                <w:color w:val="000000"/>
                <w:szCs w:val="21"/>
              </w:rPr>
              <w:t>）</w:t>
            </w:r>
          </w:p>
        </w:tc>
        <w:tc>
          <w:tcPr>
            <w:tcW w:w="835" w:type="pct"/>
            <w:vAlign w:val="center"/>
          </w:tcPr>
          <w:p w:rsidR="00F82691" w:rsidRPr="00A62B32" w:rsidRDefault="00F82691" w:rsidP="00325600">
            <w:pPr>
              <w:tabs>
                <w:tab w:val="left" w:pos="10440"/>
              </w:tabs>
              <w:jc w:val="center"/>
              <w:rPr>
                <w:rFonts w:hAnsi="宋体"/>
                <w:color w:val="000000"/>
                <w:szCs w:val="21"/>
              </w:rPr>
            </w:pPr>
            <w:r w:rsidRPr="00A62B32">
              <w:rPr>
                <w:rFonts w:hAnsi="宋体" w:hint="eastAsia"/>
                <w:color w:val="000000"/>
                <w:szCs w:val="21"/>
              </w:rPr>
              <w:t>获配</w:t>
            </w:r>
            <w:r w:rsidRPr="00A62B32">
              <w:rPr>
                <w:rFonts w:hAnsi="宋体"/>
                <w:color w:val="000000"/>
                <w:szCs w:val="21"/>
              </w:rPr>
              <w:t>金额</w:t>
            </w:r>
          </w:p>
          <w:p w:rsidR="00F82691" w:rsidRPr="00A62B32" w:rsidRDefault="00F82691" w:rsidP="00325600">
            <w:pPr>
              <w:tabs>
                <w:tab w:val="left" w:pos="10440"/>
              </w:tabs>
              <w:jc w:val="center"/>
              <w:rPr>
                <w:rFonts w:hAnsi="宋体"/>
                <w:color w:val="000000"/>
                <w:szCs w:val="21"/>
              </w:rPr>
            </w:pPr>
            <w:r w:rsidRPr="00A62B32">
              <w:rPr>
                <w:rFonts w:hAnsi="宋体"/>
                <w:color w:val="000000"/>
                <w:szCs w:val="21"/>
              </w:rPr>
              <w:t>（</w:t>
            </w:r>
            <w:r w:rsidRPr="00A62B32">
              <w:rPr>
                <w:rFonts w:hAnsi="宋体" w:hint="eastAsia"/>
                <w:color w:val="000000"/>
                <w:szCs w:val="21"/>
              </w:rPr>
              <w:t>港元</w:t>
            </w:r>
            <w:r w:rsidRPr="00A62B32">
              <w:rPr>
                <w:rFonts w:hAnsi="宋体"/>
                <w:color w:val="000000"/>
                <w:szCs w:val="21"/>
              </w:rPr>
              <w:t>）</w:t>
            </w:r>
          </w:p>
        </w:tc>
      </w:tr>
      <w:tr w:rsidR="009F0F5D" w:rsidRPr="00A62B32" w:rsidTr="00A62B32">
        <w:trPr>
          <w:jc w:val="center"/>
        </w:trPr>
        <w:tc>
          <w:tcPr>
            <w:tcW w:w="1562" w:type="pct"/>
            <w:vAlign w:val="center"/>
          </w:tcPr>
          <w:p w:rsidR="009F0F5D" w:rsidRPr="00A62B32" w:rsidRDefault="009F0F5D" w:rsidP="00A62B32">
            <w:pPr>
              <w:autoSpaceDE w:val="0"/>
              <w:autoSpaceDN w:val="0"/>
              <w:adjustRightInd w:val="0"/>
              <w:spacing w:before="29"/>
              <w:ind w:left="15"/>
              <w:rPr>
                <w:rFonts w:eastAsiaTheme="minorEastAsia"/>
                <w:color w:val="000000"/>
                <w:szCs w:val="21"/>
              </w:rPr>
            </w:pPr>
            <w:r w:rsidRPr="00A62B32">
              <w:rPr>
                <w:rFonts w:eastAsiaTheme="minorEastAsia" w:hint="eastAsia"/>
                <w:color w:val="000000"/>
                <w:szCs w:val="21"/>
              </w:rPr>
              <w:t>华夏全球精选股票型证券投资基金</w:t>
            </w:r>
          </w:p>
        </w:tc>
        <w:tc>
          <w:tcPr>
            <w:tcW w:w="914" w:type="pct"/>
            <w:vAlign w:val="center"/>
          </w:tcPr>
          <w:p w:rsidR="009F0F5D" w:rsidRPr="00A62B32" w:rsidRDefault="009F0F5D" w:rsidP="00A62B32">
            <w:pPr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eastAsiaTheme="minorEastAsia"/>
                <w:color w:val="000000"/>
                <w:szCs w:val="21"/>
              </w:rPr>
            </w:pPr>
            <w:r w:rsidRPr="00A62B32">
              <w:rPr>
                <w:rFonts w:eastAsiaTheme="minorEastAsia" w:hint="eastAsia"/>
                <w:color w:val="000000"/>
                <w:szCs w:val="21"/>
              </w:rPr>
              <w:t>优先发售</w:t>
            </w:r>
          </w:p>
        </w:tc>
        <w:tc>
          <w:tcPr>
            <w:tcW w:w="926" w:type="pct"/>
            <w:vAlign w:val="center"/>
          </w:tcPr>
          <w:p w:rsidR="009F0F5D" w:rsidRPr="00A62B32" w:rsidRDefault="009F0F5D" w:rsidP="00A62B32">
            <w:pPr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eastAsiaTheme="minorEastAsia"/>
                <w:color w:val="000000"/>
                <w:szCs w:val="21"/>
              </w:rPr>
            </w:pPr>
            <w:r w:rsidRPr="00A62B32">
              <w:rPr>
                <w:rFonts w:eastAsiaTheme="minorEastAsia" w:hint="eastAsia"/>
                <w:color w:val="000000"/>
                <w:szCs w:val="21"/>
              </w:rPr>
              <w:t>紫金黄金国际</w:t>
            </w:r>
          </w:p>
        </w:tc>
        <w:tc>
          <w:tcPr>
            <w:tcW w:w="763" w:type="pct"/>
            <w:vAlign w:val="center"/>
          </w:tcPr>
          <w:p w:rsidR="009F0F5D" w:rsidRPr="00A62B32" w:rsidRDefault="009F0F5D" w:rsidP="00A62B32">
            <w:pPr>
              <w:jc w:val="right"/>
              <w:rPr>
                <w:color w:val="000000"/>
                <w:szCs w:val="21"/>
              </w:rPr>
            </w:pPr>
            <w:r w:rsidRPr="00A62B32">
              <w:rPr>
                <w:rFonts w:hint="eastAsia"/>
                <w:color w:val="000000"/>
                <w:szCs w:val="21"/>
              </w:rPr>
              <w:t>1</w:t>
            </w:r>
            <w:r w:rsidRPr="00A62B32">
              <w:rPr>
                <w:color w:val="000000"/>
                <w:szCs w:val="21"/>
              </w:rPr>
              <w:t>,</w:t>
            </w:r>
            <w:r w:rsidRPr="00A62B32">
              <w:rPr>
                <w:rFonts w:hint="eastAsia"/>
                <w:color w:val="000000"/>
                <w:szCs w:val="21"/>
              </w:rPr>
              <w:t>261</w:t>
            </w:r>
          </w:p>
        </w:tc>
        <w:tc>
          <w:tcPr>
            <w:tcW w:w="835" w:type="pct"/>
            <w:vAlign w:val="center"/>
          </w:tcPr>
          <w:p w:rsidR="009F0F5D" w:rsidRPr="00A62B32" w:rsidRDefault="009F0F5D" w:rsidP="00A62B32">
            <w:pPr>
              <w:jc w:val="right"/>
              <w:rPr>
                <w:color w:val="000000"/>
                <w:szCs w:val="21"/>
              </w:rPr>
            </w:pPr>
            <w:r w:rsidRPr="00A62B32">
              <w:rPr>
                <w:rFonts w:hint="eastAsia"/>
                <w:color w:val="000000"/>
                <w:szCs w:val="21"/>
              </w:rPr>
              <w:t>90,274.99</w:t>
            </w:r>
          </w:p>
        </w:tc>
      </w:tr>
      <w:tr w:rsidR="001506DC" w:rsidRPr="00A62B32" w:rsidTr="00A62B32">
        <w:trPr>
          <w:jc w:val="center"/>
        </w:trPr>
        <w:tc>
          <w:tcPr>
            <w:tcW w:w="1562" w:type="pct"/>
            <w:vAlign w:val="center"/>
          </w:tcPr>
          <w:p w:rsidR="001506DC" w:rsidRPr="00A62B32" w:rsidRDefault="001506DC" w:rsidP="001506DC">
            <w:pPr>
              <w:autoSpaceDE w:val="0"/>
              <w:autoSpaceDN w:val="0"/>
              <w:adjustRightInd w:val="0"/>
              <w:spacing w:before="29"/>
              <w:ind w:left="15"/>
              <w:rPr>
                <w:rFonts w:eastAsiaTheme="minorEastAsia"/>
                <w:color w:val="000000"/>
                <w:szCs w:val="21"/>
              </w:rPr>
            </w:pPr>
            <w:r w:rsidRPr="00A62B32">
              <w:rPr>
                <w:rFonts w:hint="eastAsia"/>
                <w:szCs w:val="21"/>
              </w:rPr>
              <w:t>华夏全球精选股票型证券投资基金</w:t>
            </w:r>
          </w:p>
        </w:tc>
        <w:tc>
          <w:tcPr>
            <w:tcW w:w="914" w:type="pct"/>
            <w:vAlign w:val="center"/>
          </w:tcPr>
          <w:p w:rsidR="001506DC" w:rsidRPr="00A62B32" w:rsidRDefault="001506DC" w:rsidP="001506DC">
            <w:pPr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eastAsiaTheme="minorEastAsia"/>
                <w:color w:val="000000"/>
                <w:szCs w:val="21"/>
              </w:rPr>
            </w:pPr>
            <w:r w:rsidRPr="00A62B32">
              <w:rPr>
                <w:rFonts w:eastAsiaTheme="minorEastAsia" w:hint="eastAsia"/>
                <w:color w:val="000000"/>
                <w:szCs w:val="21"/>
              </w:rPr>
              <w:t>香港公开发售</w:t>
            </w:r>
          </w:p>
        </w:tc>
        <w:tc>
          <w:tcPr>
            <w:tcW w:w="926" w:type="pct"/>
            <w:vAlign w:val="center"/>
          </w:tcPr>
          <w:p w:rsidR="001506DC" w:rsidRPr="00A62B32" w:rsidRDefault="001506DC" w:rsidP="001506DC">
            <w:pPr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eastAsiaTheme="minorEastAsia"/>
                <w:color w:val="000000"/>
                <w:szCs w:val="21"/>
              </w:rPr>
            </w:pPr>
            <w:r w:rsidRPr="00A62B32">
              <w:rPr>
                <w:rFonts w:eastAsiaTheme="minorEastAsia" w:hint="eastAsia"/>
                <w:color w:val="000000"/>
                <w:szCs w:val="21"/>
              </w:rPr>
              <w:t>紫金黄金国际</w:t>
            </w:r>
          </w:p>
        </w:tc>
        <w:tc>
          <w:tcPr>
            <w:tcW w:w="763" w:type="pct"/>
            <w:vAlign w:val="center"/>
          </w:tcPr>
          <w:p w:rsidR="001506DC" w:rsidRPr="00A62B32" w:rsidRDefault="001506DC" w:rsidP="001506DC">
            <w:pPr>
              <w:jc w:val="right"/>
              <w:rPr>
                <w:color w:val="000000"/>
                <w:szCs w:val="21"/>
              </w:rPr>
            </w:pPr>
            <w:r w:rsidRPr="00A62B32">
              <w:rPr>
                <w:szCs w:val="21"/>
              </w:rPr>
              <w:t>337,500</w:t>
            </w:r>
          </w:p>
        </w:tc>
        <w:tc>
          <w:tcPr>
            <w:tcW w:w="835" w:type="pct"/>
            <w:vAlign w:val="center"/>
          </w:tcPr>
          <w:p w:rsidR="001506DC" w:rsidRPr="00A62B32" w:rsidRDefault="001506DC" w:rsidP="001506DC">
            <w:pPr>
              <w:jc w:val="right"/>
              <w:rPr>
                <w:color w:val="000000"/>
                <w:szCs w:val="21"/>
              </w:rPr>
            </w:pPr>
            <w:r w:rsidRPr="00A62B32">
              <w:rPr>
                <w:szCs w:val="21"/>
              </w:rPr>
              <w:t>24,161,625.00</w:t>
            </w:r>
          </w:p>
        </w:tc>
      </w:tr>
      <w:tr w:rsidR="001506DC" w:rsidRPr="00A62B32" w:rsidTr="00A62B32">
        <w:trPr>
          <w:jc w:val="center"/>
        </w:trPr>
        <w:tc>
          <w:tcPr>
            <w:tcW w:w="1562" w:type="pct"/>
            <w:vAlign w:val="center"/>
          </w:tcPr>
          <w:p w:rsidR="001506DC" w:rsidRPr="00A62B32" w:rsidRDefault="001506DC" w:rsidP="001506DC">
            <w:pPr>
              <w:autoSpaceDE w:val="0"/>
              <w:autoSpaceDN w:val="0"/>
              <w:adjustRightInd w:val="0"/>
              <w:spacing w:before="29"/>
              <w:ind w:left="15"/>
              <w:rPr>
                <w:rFonts w:eastAsiaTheme="minorEastAsia"/>
                <w:color w:val="000000"/>
                <w:szCs w:val="21"/>
              </w:rPr>
            </w:pPr>
            <w:r w:rsidRPr="00A62B32">
              <w:rPr>
                <w:rFonts w:hint="eastAsia"/>
                <w:szCs w:val="21"/>
              </w:rPr>
              <w:t>华夏港股前沿经济混合型证券投资基金（</w:t>
            </w:r>
            <w:r w:rsidRPr="00A62B32">
              <w:rPr>
                <w:rFonts w:hint="eastAsia"/>
                <w:szCs w:val="21"/>
              </w:rPr>
              <w:t>QDII</w:t>
            </w:r>
            <w:r w:rsidRPr="00A62B32">
              <w:rPr>
                <w:rFonts w:hint="eastAsia"/>
                <w:szCs w:val="21"/>
              </w:rPr>
              <w:t>）</w:t>
            </w:r>
          </w:p>
        </w:tc>
        <w:tc>
          <w:tcPr>
            <w:tcW w:w="914" w:type="pct"/>
            <w:vAlign w:val="center"/>
          </w:tcPr>
          <w:p w:rsidR="001506DC" w:rsidRPr="00A62B32" w:rsidRDefault="001506DC" w:rsidP="001506DC">
            <w:pPr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eastAsiaTheme="minorEastAsia"/>
                <w:color w:val="000000"/>
                <w:szCs w:val="21"/>
              </w:rPr>
            </w:pPr>
            <w:r w:rsidRPr="00A62B32">
              <w:rPr>
                <w:rFonts w:eastAsiaTheme="minorEastAsia" w:hint="eastAsia"/>
                <w:color w:val="000000"/>
                <w:szCs w:val="21"/>
              </w:rPr>
              <w:t>香港公开发售</w:t>
            </w:r>
          </w:p>
        </w:tc>
        <w:tc>
          <w:tcPr>
            <w:tcW w:w="926" w:type="pct"/>
            <w:vAlign w:val="center"/>
          </w:tcPr>
          <w:p w:rsidR="001506DC" w:rsidRPr="00A62B32" w:rsidRDefault="001506DC" w:rsidP="001506DC">
            <w:pPr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eastAsiaTheme="minorEastAsia"/>
                <w:color w:val="000000"/>
                <w:szCs w:val="21"/>
              </w:rPr>
            </w:pPr>
            <w:r w:rsidRPr="00A62B32">
              <w:rPr>
                <w:rFonts w:eastAsiaTheme="minorEastAsia" w:hint="eastAsia"/>
                <w:color w:val="000000"/>
                <w:szCs w:val="21"/>
              </w:rPr>
              <w:t>紫金黄金国际</w:t>
            </w:r>
          </w:p>
        </w:tc>
        <w:tc>
          <w:tcPr>
            <w:tcW w:w="763" w:type="pct"/>
            <w:vAlign w:val="center"/>
          </w:tcPr>
          <w:p w:rsidR="001506DC" w:rsidRPr="00A62B32" w:rsidRDefault="001506DC" w:rsidP="001506DC">
            <w:pPr>
              <w:jc w:val="right"/>
              <w:rPr>
                <w:color w:val="000000"/>
                <w:szCs w:val="21"/>
              </w:rPr>
            </w:pPr>
            <w:r w:rsidRPr="00A62B32">
              <w:rPr>
                <w:szCs w:val="21"/>
              </w:rPr>
              <w:t>181,100</w:t>
            </w:r>
          </w:p>
        </w:tc>
        <w:tc>
          <w:tcPr>
            <w:tcW w:w="835" w:type="pct"/>
            <w:vAlign w:val="center"/>
          </w:tcPr>
          <w:p w:rsidR="001506DC" w:rsidRPr="00A62B32" w:rsidRDefault="001506DC" w:rsidP="001506DC">
            <w:pPr>
              <w:jc w:val="right"/>
              <w:rPr>
                <w:b/>
                <w:bCs/>
                <w:color w:val="000000"/>
                <w:szCs w:val="21"/>
              </w:rPr>
            </w:pPr>
            <w:r w:rsidRPr="00A62B32">
              <w:rPr>
                <w:szCs w:val="21"/>
              </w:rPr>
              <w:t>12,964,949.00</w:t>
            </w:r>
          </w:p>
        </w:tc>
      </w:tr>
      <w:tr w:rsidR="001506DC" w:rsidRPr="00A62B32" w:rsidTr="00A62B32">
        <w:trPr>
          <w:jc w:val="center"/>
        </w:trPr>
        <w:tc>
          <w:tcPr>
            <w:tcW w:w="1562" w:type="pct"/>
            <w:vAlign w:val="center"/>
          </w:tcPr>
          <w:p w:rsidR="001506DC" w:rsidRPr="00A62B32" w:rsidRDefault="001506DC" w:rsidP="001506DC">
            <w:pPr>
              <w:autoSpaceDE w:val="0"/>
              <w:autoSpaceDN w:val="0"/>
              <w:adjustRightInd w:val="0"/>
              <w:spacing w:before="29"/>
              <w:ind w:left="15"/>
              <w:rPr>
                <w:rFonts w:eastAsiaTheme="minorEastAsia"/>
                <w:color w:val="000000"/>
                <w:szCs w:val="21"/>
              </w:rPr>
            </w:pPr>
            <w:r w:rsidRPr="00A62B32">
              <w:rPr>
                <w:rFonts w:hint="eastAsia"/>
                <w:szCs w:val="21"/>
              </w:rPr>
              <w:t>华夏新时代灵活配置混合型证券投资基金（</w:t>
            </w:r>
            <w:r w:rsidRPr="00A62B32">
              <w:rPr>
                <w:rFonts w:hint="eastAsia"/>
                <w:szCs w:val="21"/>
              </w:rPr>
              <w:t>QDII</w:t>
            </w:r>
            <w:r w:rsidRPr="00A62B32">
              <w:rPr>
                <w:rFonts w:hint="eastAsia"/>
                <w:szCs w:val="21"/>
              </w:rPr>
              <w:t>）</w:t>
            </w:r>
          </w:p>
        </w:tc>
        <w:tc>
          <w:tcPr>
            <w:tcW w:w="914" w:type="pct"/>
            <w:vAlign w:val="center"/>
          </w:tcPr>
          <w:p w:rsidR="001506DC" w:rsidRPr="00A62B32" w:rsidRDefault="001506DC" w:rsidP="001506DC">
            <w:pPr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eastAsiaTheme="minorEastAsia"/>
                <w:color w:val="000000"/>
                <w:szCs w:val="21"/>
              </w:rPr>
            </w:pPr>
            <w:r w:rsidRPr="00A62B32">
              <w:rPr>
                <w:rFonts w:eastAsiaTheme="minorEastAsia" w:hint="eastAsia"/>
                <w:color w:val="000000"/>
                <w:szCs w:val="21"/>
              </w:rPr>
              <w:t>香港公开发售</w:t>
            </w:r>
          </w:p>
        </w:tc>
        <w:tc>
          <w:tcPr>
            <w:tcW w:w="926" w:type="pct"/>
            <w:vAlign w:val="center"/>
          </w:tcPr>
          <w:p w:rsidR="001506DC" w:rsidRPr="00A62B32" w:rsidRDefault="001506DC" w:rsidP="001506DC">
            <w:pPr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eastAsiaTheme="minorEastAsia"/>
                <w:color w:val="000000"/>
                <w:szCs w:val="21"/>
              </w:rPr>
            </w:pPr>
            <w:r w:rsidRPr="00A62B32">
              <w:rPr>
                <w:rFonts w:eastAsiaTheme="minorEastAsia" w:hint="eastAsia"/>
                <w:color w:val="000000"/>
                <w:szCs w:val="21"/>
              </w:rPr>
              <w:t>紫金黄金国际</w:t>
            </w:r>
          </w:p>
        </w:tc>
        <w:tc>
          <w:tcPr>
            <w:tcW w:w="763" w:type="pct"/>
            <w:vAlign w:val="center"/>
          </w:tcPr>
          <w:p w:rsidR="001506DC" w:rsidRPr="00A62B32" w:rsidRDefault="001506DC" w:rsidP="001506DC">
            <w:pPr>
              <w:jc w:val="right"/>
              <w:rPr>
                <w:color w:val="000000"/>
                <w:szCs w:val="21"/>
              </w:rPr>
            </w:pPr>
            <w:r w:rsidRPr="00A62B32">
              <w:rPr>
                <w:szCs w:val="21"/>
              </w:rPr>
              <w:t>192,100</w:t>
            </w:r>
          </w:p>
        </w:tc>
        <w:tc>
          <w:tcPr>
            <w:tcW w:w="835" w:type="pct"/>
            <w:vAlign w:val="center"/>
          </w:tcPr>
          <w:p w:rsidR="001506DC" w:rsidRPr="00A62B32" w:rsidRDefault="001506DC" w:rsidP="001506DC">
            <w:pPr>
              <w:jc w:val="right"/>
              <w:rPr>
                <w:color w:val="000000"/>
                <w:szCs w:val="21"/>
              </w:rPr>
            </w:pPr>
            <w:r w:rsidRPr="00A62B32">
              <w:rPr>
                <w:szCs w:val="21"/>
              </w:rPr>
              <w:t>13,752,439.00</w:t>
            </w:r>
          </w:p>
        </w:tc>
      </w:tr>
      <w:tr w:rsidR="001506DC" w:rsidRPr="00A62B32" w:rsidTr="00A62B32">
        <w:trPr>
          <w:jc w:val="center"/>
        </w:trPr>
        <w:tc>
          <w:tcPr>
            <w:tcW w:w="1562" w:type="pct"/>
            <w:vAlign w:val="center"/>
          </w:tcPr>
          <w:p w:rsidR="001506DC" w:rsidRPr="00A62B32" w:rsidRDefault="001506DC" w:rsidP="001506DC">
            <w:pPr>
              <w:autoSpaceDE w:val="0"/>
              <w:autoSpaceDN w:val="0"/>
              <w:adjustRightInd w:val="0"/>
              <w:spacing w:before="29"/>
              <w:ind w:left="15"/>
              <w:rPr>
                <w:rFonts w:eastAsiaTheme="minorEastAsia"/>
                <w:color w:val="000000"/>
                <w:szCs w:val="21"/>
              </w:rPr>
            </w:pPr>
            <w:r w:rsidRPr="00A62B32">
              <w:rPr>
                <w:rFonts w:hint="eastAsia"/>
                <w:szCs w:val="21"/>
              </w:rPr>
              <w:t>华夏移动互联灵活配置混合型证券投资基金（</w:t>
            </w:r>
            <w:r w:rsidRPr="00A62B32">
              <w:rPr>
                <w:rFonts w:hint="eastAsia"/>
                <w:szCs w:val="21"/>
              </w:rPr>
              <w:t>QDII</w:t>
            </w:r>
            <w:r w:rsidRPr="00A62B32">
              <w:rPr>
                <w:rFonts w:hint="eastAsia"/>
                <w:szCs w:val="21"/>
              </w:rPr>
              <w:t>）</w:t>
            </w:r>
          </w:p>
        </w:tc>
        <w:tc>
          <w:tcPr>
            <w:tcW w:w="914" w:type="pct"/>
            <w:vAlign w:val="center"/>
          </w:tcPr>
          <w:p w:rsidR="001506DC" w:rsidRPr="00A62B32" w:rsidRDefault="001506DC" w:rsidP="001506DC">
            <w:pPr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eastAsiaTheme="minorEastAsia"/>
                <w:color w:val="000000"/>
                <w:szCs w:val="21"/>
              </w:rPr>
            </w:pPr>
            <w:r w:rsidRPr="00A62B32">
              <w:rPr>
                <w:rFonts w:eastAsiaTheme="minorEastAsia" w:hint="eastAsia"/>
                <w:color w:val="000000"/>
                <w:szCs w:val="21"/>
              </w:rPr>
              <w:t>香港公开发售</w:t>
            </w:r>
          </w:p>
        </w:tc>
        <w:tc>
          <w:tcPr>
            <w:tcW w:w="926" w:type="pct"/>
            <w:vAlign w:val="center"/>
          </w:tcPr>
          <w:p w:rsidR="001506DC" w:rsidRPr="00A62B32" w:rsidRDefault="001506DC" w:rsidP="001506DC">
            <w:pPr>
              <w:autoSpaceDE w:val="0"/>
              <w:autoSpaceDN w:val="0"/>
              <w:adjustRightInd w:val="0"/>
              <w:spacing w:before="29"/>
              <w:ind w:left="15"/>
              <w:jc w:val="center"/>
              <w:rPr>
                <w:rFonts w:eastAsiaTheme="minorEastAsia"/>
                <w:color w:val="000000"/>
                <w:szCs w:val="21"/>
              </w:rPr>
            </w:pPr>
            <w:r w:rsidRPr="00A62B32">
              <w:rPr>
                <w:rFonts w:eastAsiaTheme="minorEastAsia" w:hint="eastAsia"/>
                <w:color w:val="000000"/>
                <w:szCs w:val="21"/>
              </w:rPr>
              <w:t>紫金黄金国际</w:t>
            </w:r>
          </w:p>
        </w:tc>
        <w:tc>
          <w:tcPr>
            <w:tcW w:w="763" w:type="pct"/>
            <w:vAlign w:val="center"/>
          </w:tcPr>
          <w:p w:rsidR="001506DC" w:rsidRPr="00A62B32" w:rsidRDefault="001506DC" w:rsidP="001506DC">
            <w:pPr>
              <w:jc w:val="right"/>
              <w:rPr>
                <w:color w:val="000000"/>
                <w:szCs w:val="21"/>
              </w:rPr>
            </w:pPr>
            <w:r w:rsidRPr="00A62B32">
              <w:rPr>
                <w:szCs w:val="21"/>
              </w:rPr>
              <w:t>109,700</w:t>
            </w:r>
          </w:p>
        </w:tc>
        <w:tc>
          <w:tcPr>
            <w:tcW w:w="835" w:type="pct"/>
            <w:vAlign w:val="center"/>
          </w:tcPr>
          <w:p w:rsidR="001506DC" w:rsidRPr="00A62B32" w:rsidRDefault="001506DC" w:rsidP="001506DC">
            <w:pPr>
              <w:jc w:val="right"/>
              <w:rPr>
                <w:color w:val="000000"/>
                <w:szCs w:val="21"/>
              </w:rPr>
            </w:pPr>
            <w:r w:rsidRPr="00A62B32">
              <w:rPr>
                <w:szCs w:val="21"/>
              </w:rPr>
              <w:t>7,853,423.00</w:t>
            </w:r>
          </w:p>
        </w:tc>
      </w:tr>
    </w:tbl>
    <w:p w:rsidR="001C0A02" w:rsidRDefault="0094125E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特此公告</w:t>
      </w:r>
    </w:p>
    <w:p w:rsidR="001C0A02" w:rsidRDefault="001C0A02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</w:p>
    <w:p w:rsidR="001C0A02" w:rsidRDefault="001C0A02">
      <w:pPr>
        <w:pStyle w:val="Default"/>
        <w:spacing w:line="360" w:lineRule="auto"/>
        <w:ind w:firstLineChars="200" w:firstLine="480"/>
        <w:rPr>
          <w:rFonts w:asciiTheme="minorEastAsia" w:eastAsiaTheme="minorEastAsia" w:hAnsiTheme="minorEastAsia"/>
        </w:rPr>
      </w:pPr>
    </w:p>
    <w:p w:rsidR="001C0A02" w:rsidRDefault="0094125E">
      <w:pPr>
        <w:pStyle w:val="a5"/>
        <w:wordWrap w:val="0"/>
        <w:spacing w:line="360" w:lineRule="auto"/>
        <w:ind w:leftChars="0" w:left="0"/>
        <w:jc w:val="right"/>
        <w:rPr>
          <w:rStyle w:val="ab"/>
          <w:rFonts w:ascii="Times New Roman" w:hAnsi="Times New Roman"/>
          <w:bCs/>
        </w:rPr>
      </w:pPr>
      <w:r>
        <w:rPr>
          <w:rStyle w:val="ab"/>
          <w:rFonts w:ascii="Times New Roman" w:hAnsi="Times New Roman"/>
          <w:bCs/>
        </w:rPr>
        <w:t>华夏基金管理有限公司</w:t>
      </w:r>
    </w:p>
    <w:p w:rsidR="001C0A02" w:rsidRDefault="0094125E">
      <w:pPr>
        <w:spacing w:line="540" w:lineRule="exact"/>
        <w:ind w:firstLineChars="200" w:firstLine="480"/>
        <w:jc w:val="right"/>
        <w:rPr>
          <w:color w:val="000000"/>
          <w:sz w:val="24"/>
        </w:rPr>
      </w:pPr>
      <w:r>
        <w:rPr>
          <w:color w:val="000000"/>
          <w:sz w:val="24"/>
        </w:rPr>
        <w:t>二〇二五年九月</w:t>
      </w:r>
      <w:r w:rsidR="00F82691">
        <w:rPr>
          <w:rFonts w:hint="eastAsia"/>
          <w:color w:val="000000"/>
          <w:sz w:val="24"/>
        </w:rPr>
        <w:t>三十</w:t>
      </w:r>
      <w:r>
        <w:rPr>
          <w:color w:val="000000"/>
          <w:sz w:val="24"/>
        </w:rPr>
        <w:t>日</w:t>
      </w:r>
    </w:p>
    <w:sectPr w:rsidR="001C0A02" w:rsidSect="00C73B1E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546" w:rsidRDefault="00446546">
      <w:r>
        <w:separator/>
      </w:r>
    </w:p>
  </w:endnote>
  <w:endnote w:type="continuationSeparator" w:id="0">
    <w:p w:rsidR="00446546" w:rsidRDefault="00446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A02" w:rsidRDefault="00C73B1E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94125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C0A02" w:rsidRDefault="001C0A0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A02" w:rsidRDefault="00C73B1E">
    <w:pPr>
      <w:pStyle w:val="a7"/>
      <w:jc w:val="center"/>
    </w:pPr>
    <w:r w:rsidRPr="00C73B1E">
      <w:fldChar w:fldCharType="begin"/>
    </w:r>
    <w:r w:rsidR="0094125E">
      <w:instrText xml:space="preserve"> PAGE   \* MERGEFORMAT </w:instrText>
    </w:r>
    <w:r w:rsidRPr="00C73B1E">
      <w:fldChar w:fldCharType="separate"/>
    </w:r>
    <w:r w:rsidR="00920A49" w:rsidRPr="00920A49">
      <w:rPr>
        <w:noProof/>
        <w:lang w:val="zh-CN"/>
      </w:rPr>
      <w:t>1</w:t>
    </w:r>
    <w:r>
      <w:rPr>
        <w:lang w:val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546" w:rsidRDefault="00446546">
      <w:r>
        <w:separator/>
      </w:r>
    </w:p>
  </w:footnote>
  <w:footnote w:type="continuationSeparator" w:id="0">
    <w:p w:rsidR="00446546" w:rsidRDefault="00446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A02" w:rsidRDefault="001C0A02">
    <w:pPr>
      <w:pStyle w:val="a8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A02" w:rsidRDefault="001C0A02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11A4"/>
    <w:rsid w:val="00002706"/>
    <w:rsid w:val="00004238"/>
    <w:rsid w:val="00006D0F"/>
    <w:rsid w:val="00013749"/>
    <w:rsid w:val="0001628D"/>
    <w:rsid w:val="000201D1"/>
    <w:rsid w:val="000206EF"/>
    <w:rsid w:val="0002199B"/>
    <w:rsid w:val="000220B8"/>
    <w:rsid w:val="00025E53"/>
    <w:rsid w:val="000267B3"/>
    <w:rsid w:val="00031833"/>
    <w:rsid w:val="00033ADD"/>
    <w:rsid w:val="00035369"/>
    <w:rsid w:val="000367FC"/>
    <w:rsid w:val="000376C5"/>
    <w:rsid w:val="00040722"/>
    <w:rsid w:val="00040D7F"/>
    <w:rsid w:val="00044E88"/>
    <w:rsid w:val="00047F69"/>
    <w:rsid w:val="0005269D"/>
    <w:rsid w:val="00054D55"/>
    <w:rsid w:val="0005750C"/>
    <w:rsid w:val="00057B85"/>
    <w:rsid w:val="0006088A"/>
    <w:rsid w:val="000617AD"/>
    <w:rsid w:val="00064DBA"/>
    <w:rsid w:val="00067841"/>
    <w:rsid w:val="000709CA"/>
    <w:rsid w:val="000713A5"/>
    <w:rsid w:val="00071A19"/>
    <w:rsid w:val="00074502"/>
    <w:rsid w:val="00074A02"/>
    <w:rsid w:val="00075225"/>
    <w:rsid w:val="000776E5"/>
    <w:rsid w:val="0007792B"/>
    <w:rsid w:val="00082E16"/>
    <w:rsid w:val="00084083"/>
    <w:rsid w:val="00085226"/>
    <w:rsid w:val="00086108"/>
    <w:rsid w:val="00092164"/>
    <w:rsid w:val="0009262A"/>
    <w:rsid w:val="00093145"/>
    <w:rsid w:val="000933A1"/>
    <w:rsid w:val="000954D7"/>
    <w:rsid w:val="000A6DAC"/>
    <w:rsid w:val="000C06C9"/>
    <w:rsid w:val="000C4534"/>
    <w:rsid w:val="000C5FEC"/>
    <w:rsid w:val="000C691A"/>
    <w:rsid w:val="000D2119"/>
    <w:rsid w:val="000D277D"/>
    <w:rsid w:val="000D32CE"/>
    <w:rsid w:val="000D34E3"/>
    <w:rsid w:val="000D45A0"/>
    <w:rsid w:val="000D5071"/>
    <w:rsid w:val="000E5968"/>
    <w:rsid w:val="000E68E9"/>
    <w:rsid w:val="000F3D56"/>
    <w:rsid w:val="000F4BB1"/>
    <w:rsid w:val="000F5486"/>
    <w:rsid w:val="000F69B2"/>
    <w:rsid w:val="0010282D"/>
    <w:rsid w:val="001104A1"/>
    <w:rsid w:val="00110A7D"/>
    <w:rsid w:val="00111FA6"/>
    <w:rsid w:val="001134F8"/>
    <w:rsid w:val="00113981"/>
    <w:rsid w:val="00114AA1"/>
    <w:rsid w:val="00114EFE"/>
    <w:rsid w:val="00115D76"/>
    <w:rsid w:val="00117041"/>
    <w:rsid w:val="001175B1"/>
    <w:rsid w:val="0012411C"/>
    <w:rsid w:val="001260E1"/>
    <w:rsid w:val="001364E6"/>
    <w:rsid w:val="00140129"/>
    <w:rsid w:val="0014097F"/>
    <w:rsid w:val="00140F4F"/>
    <w:rsid w:val="00143FE8"/>
    <w:rsid w:val="00145871"/>
    <w:rsid w:val="00147787"/>
    <w:rsid w:val="001506DC"/>
    <w:rsid w:val="001508ED"/>
    <w:rsid w:val="0015246E"/>
    <w:rsid w:val="00154F00"/>
    <w:rsid w:val="00156566"/>
    <w:rsid w:val="00161B74"/>
    <w:rsid w:val="001646E0"/>
    <w:rsid w:val="00164BD3"/>
    <w:rsid w:val="001669D1"/>
    <w:rsid w:val="00174B79"/>
    <w:rsid w:val="001841F6"/>
    <w:rsid w:val="00185D40"/>
    <w:rsid w:val="001863D0"/>
    <w:rsid w:val="00191B6E"/>
    <w:rsid w:val="00194CED"/>
    <w:rsid w:val="00195885"/>
    <w:rsid w:val="00197BD8"/>
    <w:rsid w:val="00197CD9"/>
    <w:rsid w:val="001A0F4A"/>
    <w:rsid w:val="001A2404"/>
    <w:rsid w:val="001A33A1"/>
    <w:rsid w:val="001B29F8"/>
    <w:rsid w:val="001B33EC"/>
    <w:rsid w:val="001B37A5"/>
    <w:rsid w:val="001B559F"/>
    <w:rsid w:val="001C0A02"/>
    <w:rsid w:val="001C0BA4"/>
    <w:rsid w:val="001C6599"/>
    <w:rsid w:val="001C6889"/>
    <w:rsid w:val="001D149A"/>
    <w:rsid w:val="001D2E06"/>
    <w:rsid w:val="001D4CDE"/>
    <w:rsid w:val="001D5B75"/>
    <w:rsid w:val="001E35F9"/>
    <w:rsid w:val="001F0B96"/>
    <w:rsid w:val="001F7306"/>
    <w:rsid w:val="002001F0"/>
    <w:rsid w:val="00200615"/>
    <w:rsid w:val="00201B09"/>
    <w:rsid w:val="00203F2A"/>
    <w:rsid w:val="00207552"/>
    <w:rsid w:val="00215194"/>
    <w:rsid w:val="00216F3D"/>
    <w:rsid w:val="002171F8"/>
    <w:rsid w:val="00217452"/>
    <w:rsid w:val="0022391E"/>
    <w:rsid w:val="00223F21"/>
    <w:rsid w:val="00224F6A"/>
    <w:rsid w:val="002268B6"/>
    <w:rsid w:val="00226D5F"/>
    <w:rsid w:val="00226E0E"/>
    <w:rsid w:val="00227A73"/>
    <w:rsid w:val="00234948"/>
    <w:rsid w:val="00234EA8"/>
    <w:rsid w:val="00235108"/>
    <w:rsid w:val="00236BBD"/>
    <w:rsid w:val="002405E9"/>
    <w:rsid w:val="00244DA0"/>
    <w:rsid w:val="0024537A"/>
    <w:rsid w:val="002460C4"/>
    <w:rsid w:val="00247703"/>
    <w:rsid w:val="00251D83"/>
    <w:rsid w:val="00253517"/>
    <w:rsid w:val="0025396E"/>
    <w:rsid w:val="002625E8"/>
    <w:rsid w:val="0026682F"/>
    <w:rsid w:val="00266B90"/>
    <w:rsid w:val="00267914"/>
    <w:rsid w:val="002718CD"/>
    <w:rsid w:val="00272E01"/>
    <w:rsid w:val="00273BE7"/>
    <w:rsid w:val="00276A04"/>
    <w:rsid w:val="00276C5F"/>
    <w:rsid w:val="00277CD2"/>
    <w:rsid w:val="0028743D"/>
    <w:rsid w:val="002874BE"/>
    <w:rsid w:val="00290A8B"/>
    <w:rsid w:val="002924BC"/>
    <w:rsid w:val="002928F5"/>
    <w:rsid w:val="00293C68"/>
    <w:rsid w:val="002A0D7B"/>
    <w:rsid w:val="002A144A"/>
    <w:rsid w:val="002A2618"/>
    <w:rsid w:val="002A263F"/>
    <w:rsid w:val="002A3B6A"/>
    <w:rsid w:val="002A448C"/>
    <w:rsid w:val="002A73B1"/>
    <w:rsid w:val="002C2308"/>
    <w:rsid w:val="002C27F2"/>
    <w:rsid w:val="002C27FF"/>
    <w:rsid w:val="002C3792"/>
    <w:rsid w:val="002C4521"/>
    <w:rsid w:val="002C583C"/>
    <w:rsid w:val="002C5A21"/>
    <w:rsid w:val="002C6831"/>
    <w:rsid w:val="002D0270"/>
    <w:rsid w:val="002D0584"/>
    <w:rsid w:val="002D116C"/>
    <w:rsid w:val="002D26F8"/>
    <w:rsid w:val="002D7033"/>
    <w:rsid w:val="002E0184"/>
    <w:rsid w:val="002E130C"/>
    <w:rsid w:val="002E232A"/>
    <w:rsid w:val="002E3EF0"/>
    <w:rsid w:val="002E67F8"/>
    <w:rsid w:val="002F13F3"/>
    <w:rsid w:val="002F2994"/>
    <w:rsid w:val="002F4329"/>
    <w:rsid w:val="002F662D"/>
    <w:rsid w:val="002F7333"/>
    <w:rsid w:val="003019F7"/>
    <w:rsid w:val="00303075"/>
    <w:rsid w:val="00304363"/>
    <w:rsid w:val="00307573"/>
    <w:rsid w:val="00307D7A"/>
    <w:rsid w:val="00311094"/>
    <w:rsid w:val="00313B88"/>
    <w:rsid w:val="00314115"/>
    <w:rsid w:val="003152F0"/>
    <w:rsid w:val="00317E75"/>
    <w:rsid w:val="00327944"/>
    <w:rsid w:val="003329E5"/>
    <w:rsid w:val="0034347E"/>
    <w:rsid w:val="003436F0"/>
    <w:rsid w:val="00346166"/>
    <w:rsid w:val="00351CCB"/>
    <w:rsid w:val="00352654"/>
    <w:rsid w:val="00352B5D"/>
    <w:rsid w:val="0035417D"/>
    <w:rsid w:val="00355496"/>
    <w:rsid w:val="00357347"/>
    <w:rsid w:val="003606B0"/>
    <w:rsid w:val="003607BD"/>
    <w:rsid w:val="00360CE1"/>
    <w:rsid w:val="00362652"/>
    <w:rsid w:val="00362858"/>
    <w:rsid w:val="00364F3E"/>
    <w:rsid w:val="003670E6"/>
    <w:rsid w:val="003701AD"/>
    <w:rsid w:val="003703F2"/>
    <w:rsid w:val="00371013"/>
    <w:rsid w:val="0037460D"/>
    <w:rsid w:val="003765C0"/>
    <w:rsid w:val="003778F6"/>
    <w:rsid w:val="00381B26"/>
    <w:rsid w:val="00381B67"/>
    <w:rsid w:val="0039160D"/>
    <w:rsid w:val="003956B0"/>
    <w:rsid w:val="003A0AC8"/>
    <w:rsid w:val="003A1CA7"/>
    <w:rsid w:val="003A44B8"/>
    <w:rsid w:val="003A5DC1"/>
    <w:rsid w:val="003A7326"/>
    <w:rsid w:val="003A7596"/>
    <w:rsid w:val="003B0005"/>
    <w:rsid w:val="003B1C62"/>
    <w:rsid w:val="003B4B70"/>
    <w:rsid w:val="003B52FA"/>
    <w:rsid w:val="003B5E35"/>
    <w:rsid w:val="003B647D"/>
    <w:rsid w:val="003C126E"/>
    <w:rsid w:val="003C39B4"/>
    <w:rsid w:val="003C3D0B"/>
    <w:rsid w:val="003C463A"/>
    <w:rsid w:val="003C483A"/>
    <w:rsid w:val="003C582E"/>
    <w:rsid w:val="003C60EB"/>
    <w:rsid w:val="003C63FB"/>
    <w:rsid w:val="003C7091"/>
    <w:rsid w:val="003D0D91"/>
    <w:rsid w:val="003D4E89"/>
    <w:rsid w:val="003D6616"/>
    <w:rsid w:val="003E0585"/>
    <w:rsid w:val="003E271A"/>
    <w:rsid w:val="003E3A67"/>
    <w:rsid w:val="003E48D4"/>
    <w:rsid w:val="003E4BBA"/>
    <w:rsid w:val="003E5CB0"/>
    <w:rsid w:val="003E7484"/>
    <w:rsid w:val="003E7CDD"/>
    <w:rsid w:val="003F1AE0"/>
    <w:rsid w:val="003F4BEA"/>
    <w:rsid w:val="003F69F4"/>
    <w:rsid w:val="00403E50"/>
    <w:rsid w:val="0040455D"/>
    <w:rsid w:val="00404A7C"/>
    <w:rsid w:val="004054A7"/>
    <w:rsid w:val="00411EAA"/>
    <w:rsid w:val="0041241D"/>
    <w:rsid w:val="00414407"/>
    <w:rsid w:val="00414A28"/>
    <w:rsid w:val="00414BEF"/>
    <w:rsid w:val="004155AF"/>
    <w:rsid w:val="00416224"/>
    <w:rsid w:val="00425B0B"/>
    <w:rsid w:val="00425D09"/>
    <w:rsid w:val="00426433"/>
    <w:rsid w:val="00434502"/>
    <w:rsid w:val="00435DC8"/>
    <w:rsid w:val="00436147"/>
    <w:rsid w:val="00436B70"/>
    <w:rsid w:val="00436CF1"/>
    <w:rsid w:val="00437B49"/>
    <w:rsid w:val="00437B5E"/>
    <w:rsid w:val="00437F51"/>
    <w:rsid w:val="00446203"/>
    <w:rsid w:val="00446546"/>
    <w:rsid w:val="00451D17"/>
    <w:rsid w:val="00452FC9"/>
    <w:rsid w:val="00453882"/>
    <w:rsid w:val="00456582"/>
    <w:rsid w:val="004566C5"/>
    <w:rsid w:val="00462151"/>
    <w:rsid w:val="00462843"/>
    <w:rsid w:val="00463127"/>
    <w:rsid w:val="00464DD3"/>
    <w:rsid w:val="0046502F"/>
    <w:rsid w:val="0046509D"/>
    <w:rsid w:val="00467E1B"/>
    <w:rsid w:val="00471DAF"/>
    <w:rsid w:val="004722F3"/>
    <w:rsid w:val="00472B6E"/>
    <w:rsid w:val="00476B59"/>
    <w:rsid w:val="00480E4B"/>
    <w:rsid w:val="004816ED"/>
    <w:rsid w:val="004831EE"/>
    <w:rsid w:val="00484932"/>
    <w:rsid w:val="0048617A"/>
    <w:rsid w:val="0048660A"/>
    <w:rsid w:val="004871D8"/>
    <w:rsid w:val="00487DA3"/>
    <w:rsid w:val="00491BB0"/>
    <w:rsid w:val="00491FD9"/>
    <w:rsid w:val="004955DC"/>
    <w:rsid w:val="00495FA4"/>
    <w:rsid w:val="004A0400"/>
    <w:rsid w:val="004A17EF"/>
    <w:rsid w:val="004A31D4"/>
    <w:rsid w:val="004A37E4"/>
    <w:rsid w:val="004A5E3C"/>
    <w:rsid w:val="004B109F"/>
    <w:rsid w:val="004B20FE"/>
    <w:rsid w:val="004B36B7"/>
    <w:rsid w:val="004B3D50"/>
    <w:rsid w:val="004B67FC"/>
    <w:rsid w:val="004C62F8"/>
    <w:rsid w:val="004D29FF"/>
    <w:rsid w:val="004D4D07"/>
    <w:rsid w:val="004D55F1"/>
    <w:rsid w:val="004D7714"/>
    <w:rsid w:val="004E13F2"/>
    <w:rsid w:val="004E2498"/>
    <w:rsid w:val="004E34F5"/>
    <w:rsid w:val="004E4E21"/>
    <w:rsid w:val="004F0077"/>
    <w:rsid w:val="004F217A"/>
    <w:rsid w:val="004F33DC"/>
    <w:rsid w:val="004F50E8"/>
    <w:rsid w:val="004F6EA5"/>
    <w:rsid w:val="004F7597"/>
    <w:rsid w:val="00500892"/>
    <w:rsid w:val="00502115"/>
    <w:rsid w:val="00502C4A"/>
    <w:rsid w:val="00503077"/>
    <w:rsid w:val="00504847"/>
    <w:rsid w:val="00505951"/>
    <w:rsid w:val="00505AD1"/>
    <w:rsid w:val="005071DA"/>
    <w:rsid w:val="00510645"/>
    <w:rsid w:val="00510BF2"/>
    <w:rsid w:val="005117F6"/>
    <w:rsid w:val="00520B19"/>
    <w:rsid w:val="00522F1E"/>
    <w:rsid w:val="0052566D"/>
    <w:rsid w:val="00526D6F"/>
    <w:rsid w:val="00532EED"/>
    <w:rsid w:val="0053655C"/>
    <w:rsid w:val="00537925"/>
    <w:rsid w:val="005437C6"/>
    <w:rsid w:val="005440EE"/>
    <w:rsid w:val="00544E7F"/>
    <w:rsid w:val="005458A8"/>
    <w:rsid w:val="00545E18"/>
    <w:rsid w:val="005463AF"/>
    <w:rsid w:val="00546A68"/>
    <w:rsid w:val="005515BC"/>
    <w:rsid w:val="00554EA5"/>
    <w:rsid w:val="005563B4"/>
    <w:rsid w:val="0056236F"/>
    <w:rsid w:val="00564803"/>
    <w:rsid w:val="00570B9A"/>
    <w:rsid w:val="005734C5"/>
    <w:rsid w:val="00573F67"/>
    <w:rsid w:val="00575AF9"/>
    <w:rsid w:val="005765F8"/>
    <w:rsid w:val="00580245"/>
    <w:rsid w:val="005832F0"/>
    <w:rsid w:val="0058390B"/>
    <w:rsid w:val="0058565F"/>
    <w:rsid w:val="00590E64"/>
    <w:rsid w:val="00591759"/>
    <w:rsid w:val="0059776C"/>
    <w:rsid w:val="005A105A"/>
    <w:rsid w:val="005A4092"/>
    <w:rsid w:val="005A5D9A"/>
    <w:rsid w:val="005A70C4"/>
    <w:rsid w:val="005B2EC3"/>
    <w:rsid w:val="005B461D"/>
    <w:rsid w:val="005B6551"/>
    <w:rsid w:val="005B6CA2"/>
    <w:rsid w:val="005B7718"/>
    <w:rsid w:val="005C73A0"/>
    <w:rsid w:val="005D0E4A"/>
    <w:rsid w:val="005D26FA"/>
    <w:rsid w:val="005D6173"/>
    <w:rsid w:val="005E2B89"/>
    <w:rsid w:val="005E5C7B"/>
    <w:rsid w:val="005F0C13"/>
    <w:rsid w:val="005F0D14"/>
    <w:rsid w:val="005F1977"/>
    <w:rsid w:val="005F22F5"/>
    <w:rsid w:val="005F5E6A"/>
    <w:rsid w:val="005F7148"/>
    <w:rsid w:val="005F7629"/>
    <w:rsid w:val="005F7D29"/>
    <w:rsid w:val="0060123F"/>
    <w:rsid w:val="006014AA"/>
    <w:rsid w:val="00605D21"/>
    <w:rsid w:val="00607B6A"/>
    <w:rsid w:val="00610B15"/>
    <w:rsid w:val="0061244B"/>
    <w:rsid w:val="006132A0"/>
    <w:rsid w:val="00613C5B"/>
    <w:rsid w:val="0062352F"/>
    <w:rsid w:val="00624130"/>
    <w:rsid w:val="00625621"/>
    <w:rsid w:val="00625DEC"/>
    <w:rsid w:val="00626961"/>
    <w:rsid w:val="00635805"/>
    <w:rsid w:val="00637106"/>
    <w:rsid w:val="00641AD4"/>
    <w:rsid w:val="00652F19"/>
    <w:rsid w:val="00660983"/>
    <w:rsid w:val="0067122B"/>
    <w:rsid w:val="00671689"/>
    <w:rsid w:val="0067349A"/>
    <w:rsid w:val="00675043"/>
    <w:rsid w:val="006775DA"/>
    <w:rsid w:val="00681582"/>
    <w:rsid w:val="00682181"/>
    <w:rsid w:val="00682F29"/>
    <w:rsid w:val="0068423B"/>
    <w:rsid w:val="006864BF"/>
    <w:rsid w:val="00687DE7"/>
    <w:rsid w:val="0069170A"/>
    <w:rsid w:val="00695904"/>
    <w:rsid w:val="006962CA"/>
    <w:rsid w:val="006970A7"/>
    <w:rsid w:val="006A13B3"/>
    <w:rsid w:val="006A1C63"/>
    <w:rsid w:val="006A1CD8"/>
    <w:rsid w:val="006A3FE2"/>
    <w:rsid w:val="006A544E"/>
    <w:rsid w:val="006A58F0"/>
    <w:rsid w:val="006B0562"/>
    <w:rsid w:val="006C01AF"/>
    <w:rsid w:val="006C06C9"/>
    <w:rsid w:val="006C3586"/>
    <w:rsid w:val="006C3895"/>
    <w:rsid w:val="006C4B05"/>
    <w:rsid w:val="006C4FA5"/>
    <w:rsid w:val="006C5FF3"/>
    <w:rsid w:val="006D05C4"/>
    <w:rsid w:val="006D3591"/>
    <w:rsid w:val="006D5A4B"/>
    <w:rsid w:val="006D5A70"/>
    <w:rsid w:val="006D6552"/>
    <w:rsid w:val="006D7AEB"/>
    <w:rsid w:val="006E0997"/>
    <w:rsid w:val="006E1A9A"/>
    <w:rsid w:val="006E20B4"/>
    <w:rsid w:val="006E229E"/>
    <w:rsid w:val="006E4C77"/>
    <w:rsid w:val="006E5563"/>
    <w:rsid w:val="006F0329"/>
    <w:rsid w:val="006F1F59"/>
    <w:rsid w:val="007009E2"/>
    <w:rsid w:val="00700C82"/>
    <w:rsid w:val="00700E45"/>
    <w:rsid w:val="00700F8A"/>
    <w:rsid w:val="0070390B"/>
    <w:rsid w:val="00706B30"/>
    <w:rsid w:val="007111A4"/>
    <w:rsid w:val="0071245A"/>
    <w:rsid w:val="0071286E"/>
    <w:rsid w:val="00712C4A"/>
    <w:rsid w:val="00713A72"/>
    <w:rsid w:val="00714070"/>
    <w:rsid w:val="007140CF"/>
    <w:rsid w:val="007146CE"/>
    <w:rsid w:val="00714B78"/>
    <w:rsid w:val="00722D55"/>
    <w:rsid w:val="00724964"/>
    <w:rsid w:val="00727B8D"/>
    <w:rsid w:val="00730C14"/>
    <w:rsid w:val="00731207"/>
    <w:rsid w:val="007333A7"/>
    <w:rsid w:val="007342EF"/>
    <w:rsid w:val="007371D8"/>
    <w:rsid w:val="00740651"/>
    <w:rsid w:val="00740EC6"/>
    <w:rsid w:val="00746DE3"/>
    <w:rsid w:val="00747B24"/>
    <w:rsid w:val="007539A4"/>
    <w:rsid w:val="00766085"/>
    <w:rsid w:val="00772775"/>
    <w:rsid w:val="007779FC"/>
    <w:rsid w:val="007817D2"/>
    <w:rsid w:val="00781B63"/>
    <w:rsid w:val="0078300A"/>
    <w:rsid w:val="0078717C"/>
    <w:rsid w:val="00787AAB"/>
    <w:rsid w:val="00793C57"/>
    <w:rsid w:val="007947B5"/>
    <w:rsid w:val="00794C9F"/>
    <w:rsid w:val="00797CF1"/>
    <w:rsid w:val="007A0080"/>
    <w:rsid w:val="007A2305"/>
    <w:rsid w:val="007A3A52"/>
    <w:rsid w:val="007A4C5A"/>
    <w:rsid w:val="007A4D61"/>
    <w:rsid w:val="007A4FA3"/>
    <w:rsid w:val="007A5217"/>
    <w:rsid w:val="007B0D8B"/>
    <w:rsid w:val="007B1090"/>
    <w:rsid w:val="007B1D38"/>
    <w:rsid w:val="007B41B5"/>
    <w:rsid w:val="007C034A"/>
    <w:rsid w:val="007C202D"/>
    <w:rsid w:val="007C2CE5"/>
    <w:rsid w:val="007C420F"/>
    <w:rsid w:val="007D3A0C"/>
    <w:rsid w:val="007D6F01"/>
    <w:rsid w:val="007E1A08"/>
    <w:rsid w:val="007E2598"/>
    <w:rsid w:val="007E2618"/>
    <w:rsid w:val="007E2811"/>
    <w:rsid w:val="007E52A8"/>
    <w:rsid w:val="007E781F"/>
    <w:rsid w:val="007F19DB"/>
    <w:rsid w:val="007F4920"/>
    <w:rsid w:val="007F7958"/>
    <w:rsid w:val="00810587"/>
    <w:rsid w:val="008140DA"/>
    <w:rsid w:val="00814B2B"/>
    <w:rsid w:val="00817B5F"/>
    <w:rsid w:val="00817CF2"/>
    <w:rsid w:val="00820664"/>
    <w:rsid w:val="00822CF8"/>
    <w:rsid w:val="00827363"/>
    <w:rsid w:val="008302D9"/>
    <w:rsid w:val="00833C35"/>
    <w:rsid w:val="00833D73"/>
    <w:rsid w:val="0083451B"/>
    <w:rsid w:val="00834E03"/>
    <w:rsid w:val="00834FED"/>
    <w:rsid w:val="0083582F"/>
    <w:rsid w:val="00836F09"/>
    <w:rsid w:val="00837BE1"/>
    <w:rsid w:val="008407BB"/>
    <w:rsid w:val="00840C41"/>
    <w:rsid w:val="00841697"/>
    <w:rsid w:val="00843039"/>
    <w:rsid w:val="008442A5"/>
    <w:rsid w:val="00846B1B"/>
    <w:rsid w:val="008544FC"/>
    <w:rsid w:val="00860F53"/>
    <w:rsid w:val="00863183"/>
    <w:rsid w:val="00866D55"/>
    <w:rsid w:val="00867D3E"/>
    <w:rsid w:val="00871FDB"/>
    <w:rsid w:val="00880788"/>
    <w:rsid w:val="00882495"/>
    <w:rsid w:val="00887E28"/>
    <w:rsid w:val="00890462"/>
    <w:rsid w:val="0089106C"/>
    <w:rsid w:val="008A0D9F"/>
    <w:rsid w:val="008A3CED"/>
    <w:rsid w:val="008A4E6F"/>
    <w:rsid w:val="008B0C7D"/>
    <w:rsid w:val="008B0E43"/>
    <w:rsid w:val="008B1A36"/>
    <w:rsid w:val="008B2027"/>
    <w:rsid w:val="008B3AC3"/>
    <w:rsid w:val="008B406B"/>
    <w:rsid w:val="008B500B"/>
    <w:rsid w:val="008B51AF"/>
    <w:rsid w:val="008B5CA3"/>
    <w:rsid w:val="008C43AE"/>
    <w:rsid w:val="008C5CD2"/>
    <w:rsid w:val="008D4261"/>
    <w:rsid w:val="008D51F9"/>
    <w:rsid w:val="008D5276"/>
    <w:rsid w:val="008D6023"/>
    <w:rsid w:val="008D7323"/>
    <w:rsid w:val="008E0599"/>
    <w:rsid w:val="008F01CF"/>
    <w:rsid w:val="008F2F79"/>
    <w:rsid w:val="008F58D5"/>
    <w:rsid w:val="008F6601"/>
    <w:rsid w:val="008F6648"/>
    <w:rsid w:val="008F6D42"/>
    <w:rsid w:val="009002BF"/>
    <w:rsid w:val="00900BEA"/>
    <w:rsid w:val="00900F9C"/>
    <w:rsid w:val="00904B00"/>
    <w:rsid w:val="00906895"/>
    <w:rsid w:val="00912881"/>
    <w:rsid w:val="00913A0D"/>
    <w:rsid w:val="0091596C"/>
    <w:rsid w:val="00915B8F"/>
    <w:rsid w:val="009166A6"/>
    <w:rsid w:val="00920652"/>
    <w:rsid w:val="00920A49"/>
    <w:rsid w:val="00920C1C"/>
    <w:rsid w:val="0092337E"/>
    <w:rsid w:val="0092506A"/>
    <w:rsid w:val="00927F1A"/>
    <w:rsid w:val="00931C80"/>
    <w:rsid w:val="00932B68"/>
    <w:rsid w:val="00932BB8"/>
    <w:rsid w:val="00933D4D"/>
    <w:rsid w:val="00934EDE"/>
    <w:rsid w:val="00936400"/>
    <w:rsid w:val="009374AA"/>
    <w:rsid w:val="009403B3"/>
    <w:rsid w:val="009408B4"/>
    <w:rsid w:val="0094125E"/>
    <w:rsid w:val="009433D3"/>
    <w:rsid w:val="009439F4"/>
    <w:rsid w:val="00950B93"/>
    <w:rsid w:val="00951D64"/>
    <w:rsid w:val="009549DA"/>
    <w:rsid w:val="00954E63"/>
    <w:rsid w:val="0095508A"/>
    <w:rsid w:val="009570F5"/>
    <w:rsid w:val="009615B2"/>
    <w:rsid w:val="00961B15"/>
    <w:rsid w:val="00961D11"/>
    <w:rsid w:val="009628F3"/>
    <w:rsid w:val="009647D5"/>
    <w:rsid w:val="00966156"/>
    <w:rsid w:val="0096749A"/>
    <w:rsid w:val="00967776"/>
    <w:rsid w:val="00970C47"/>
    <w:rsid w:val="0097151C"/>
    <w:rsid w:val="00971DC4"/>
    <w:rsid w:val="009736A1"/>
    <w:rsid w:val="00974960"/>
    <w:rsid w:val="00975EFF"/>
    <w:rsid w:val="00977B49"/>
    <w:rsid w:val="00981E24"/>
    <w:rsid w:val="00983B17"/>
    <w:rsid w:val="009900CA"/>
    <w:rsid w:val="00991F25"/>
    <w:rsid w:val="00993915"/>
    <w:rsid w:val="009978B5"/>
    <w:rsid w:val="009A2F55"/>
    <w:rsid w:val="009A366E"/>
    <w:rsid w:val="009A4E08"/>
    <w:rsid w:val="009A5E41"/>
    <w:rsid w:val="009A6B3A"/>
    <w:rsid w:val="009B026F"/>
    <w:rsid w:val="009B1173"/>
    <w:rsid w:val="009B1995"/>
    <w:rsid w:val="009B296B"/>
    <w:rsid w:val="009B5E35"/>
    <w:rsid w:val="009C1E6C"/>
    <w:rsid w:val="009C327F"/>
    <w:rsid w:val="009C4990"/>
    <w:rsid w:val="009C4B29"/>
    <w:rsid w:val="009C5751"/>
    <w:rsid w:val="009C6E82"/>
    <w:rsid w:val="009D0385"/>
    <w:rsid w:val="009D1F42"/>
    <w:rsid w:val="009D3453"/>
    <w:rsid w:val="009D3EDA"/>
    <w:rsid w:val="009D4596"/>
    <w:rsid w:val="009D56DE"/>
    <w:rsid w:val="009D7D4F"/>
    <w:rsid w:val="009D7F07"/>
    <w:rsid w:val="009E34BD"/>
    <w:rsid w:val="009F08F6"/>
    <w:rsid w:val="009F0F5D"/>
    <w:rsid w:val="009F210B"/>
    <w:rsid w:val="009F2653"/>
    <w:rsid w:val="009F4981"/>
    <w:rsid w:val="009F764E"/>
    <w:rsid w:val="009F7F33"/>
    <w:rsid w:val="00A013E6"/>
    <w:rsid w:val="00A03031"/>
    <w:rsid w:val="00A0460D"/>
    <w:rsid w:val="00A04ED6"/>
    <w:rsid w:val="00A05E52"/>
    <w:rsid w:val="00A11B7D"/>
    <w:rsid w:val="00A139FE"/>
    <w:rsid w:val="00A144FE"/>
    <w:rsid w:val="00A14C52"/>
    <w:rsid w:val="00A15EB8"/>
    <w:rsid w:val="00A239A8"/>
    <w:rsid w:val="00A24E41"/>
    <w:rsid w:val="00A27CA6"/>
    <w:rsid w:val="00A37E80"/>
    <w:rsid w:val="00A424E3"/>
    <w:rsid w:val="00A43916"/>
    <w:rsid w:val="00A44DAD"/>
    <w:rsid w:val="00A45123"/>
    <w:rsid w:val="00A47DD9"/>
    <w:rsid w:val="00A54FC6"/>
    <w:rsid w:val="00A554A3"/>
    <w:rsid w:val="00A55675"/>
    <w:rsid w:val="00A56DF7"/>
    <w:rsid w:val="00A57BF3"/>
    <w:rsid w:val="00A62B32"/>
    <w:rsid w:val="00A65825"/>
    <w:rsid w:val="00A665CA"/>
    <w:rsid w:val="00A677C6"/>
    <w:rsid w:val="00A714F2"/>
    <w:rsid w:val="00A72139"/>
    <w:rsid w:val="00A770A3"/>
    <w:rsid w:val="00A86FAE"/>
    <w:rsid w:val="00A92CB1"/>
    <w:rsid w:val="00A977DD"/>
    <w:rsid w:val="00AA079F"/>
    <w:rsid w:val="00AA0D80"/>
    <w:rsid w:val="00AA15FE"/>
    <w:rsid w:val="00AA18DA"/>
    <w:rsid w:val="00AA2638"/>
    <w:rsid w:val="00AA36EA"/>
    <w:rsid w:val="00AA441B"/>
    <w:rsid w:val="00AA4BB9"/>
    <w:rsid w:val="00AA6783"/>
    <w:rsid w:val="00AB0B51"/>
    <w:rsid w:val="00AB61BB"/>
    <w:rsid w:val="00AB737F"/>
    <w:rsid w:val="00AC0744"/>
    <w:rsid w:val="00AC09EB"/>
    <w:rsid w:val="00AC0F6A"/>
    <w:rsid w:val="00AC503F"/>
    <w:rsid w:val="00AC6AD7"/>
    <w:rsid w:val="00AC7E21"/>
    <w:rsid w:val="00AD1B44"/>
    <w:rsid w:val="00AD52E1"/>
    <w:rsid w:val="00AE01C6"/>
    <w:rsid w:val="00AE0CF0"/>
    <w:rsid w:val="00AE149B"/>
    <w:rsid w:val="00AE1F30"/>
    <w:rsid w:val="00AE3313"/>
    <w:rsid w:val="00AE4820"/>
    <w:rsid w:val="00AE7BDA"/>
    <w:rsid w:val="00AE7EA8"/>
    <w:rsid w:val="00AF16C4"/>
    <w:rsid w:val="00AF1C2F"/>
    <w:rsid w:val="00AF3E00"/>
    <w:rsid w:val="00B03341"/>
    <w:rsid w:val="00B043F7"/>
    <w:rsid w:val="00B051C3"/>
    <w:rsid w:val="00B0722E"/>
    <w:rsid w:val="00B073FE"/>
    <w:rsid w:val="00B07B92"/>
    <w:rsid w:val="00B07F71"/>
    <w:rsid w:val="00B110E7"/>
    <w:rsid w:val="00B11111"/>
    <w:rsid w:val="00B1403E"/>
    <w:rsid w:val="00B16A23"/>
    <w:rsid w:val="00B23F58"/>
    <w:rsid w:val="00B249BE"/>
    <w:rsid w:val="00B24F8F"/>
    <w:rsid w:val="00B32BE2"/>
    <w:rsid w:val="00B3728D"/>
    <w:rsid w:val="00B434E0"/>
    <w:rsid w:val="00B50842"/>
    <w:rsid w:val="00B514EF"/>
    <w:rsid w:val="00B52961"/>
    <w:rsid w:val="00B52BD6"/>
    <w:rsid w:val="00B5314F"/>
    <w:rsid w:val="00B53331"/>
    <w:rsid w:val="00B56BDF"/>
    <w:rsid w:val="00B62719"/>
    <w:rsid w:val="00B632BF"/>
    <w:rsid w:val="00B67897"/>
    <w:rsid w:val="00B67A2F"/>
    <w:rsid w:val="00B7553F"/>
    <w:rsid w:val="00B76EC1"/>
    <w:rsid w:val="00B8003C"/>
    <w:rsid w:val="00B815A9"/>
    <w:rsid w:val="00B84834"/>
    <w:rsid w:val="00B84E4C"/>
    <w:rsid w:val="00B85E4B"/>
    <w:rsid w:val="00B9418F"/>
    <w:rsid w:val="00B94BF5"/>
    <w:rsid w:val="00B9590C"/>
    <w:rsid w:val="00B959B7"/>
    <w:rsid w:val="00B978E8"/>
    <w:rsid w:val="00BA2133"/>
    <w:rsid w:val="00BA2B6C"/>
    <w:rsid w:val="00BB19C3"/>
    <w:rsid w:val="00BB1BDD"/>
    <w:rsid w:val="00BB49EF"/>
    <w:rsid w:val="00BB59B7"/>
    <w:rsid w:val="00BC0954"/>
    <w:rsid w:val="00BC0AE5"/>
    <w:rsid w:val="00BC23FB"/>
    <w:rsid w:val="00BC5CD7"/>
    <w:rsid w:val="00BC7CDA"/>
    <w:rsid w:val="00BD0E3A"/>
    <w:rsid w:val="00BD158A"/>
    <w:rsid w:val="00BD5F47"/>
    <w:rsid w:val="00BE0198"/>
    <w:rsid w:val="00BE05FB"/>
    <w:rsid w:val="00BE18ED"/>
    <w:rsid w:val="00BE5263"/>
    <w:rsid w:val="00BE67EE"/>
    <w:rsid w:val="00BE7D11"/>
    <w:rsid w:val="00BE7EFF"/>
    <w:rsid w:val="00BF1179"/>
    <w:rsid w:val="00BF28A1"/>
    <w:rsid w:val="00BF4F50"/>
    <w:rsid w:val="00BF5BD2"/>
    <w:rsid w:val="00C0010D"/>
    <w:rsid w:val="00C01A98"/>
    <w:rsid w:val="00C01F73"/>
    <w:rsid w:val="00C03CD0"/>
    <w:rsid w:val="00C10562"/>
    <w:rsid w:val="00C11005"/>
    <w:rsid w:val="00C11FEA"/>
    <w:rsid w:val="00C13B94"/>
    <w:rsid w:val="00C1549A"/>
    <w:rsid w:val="00C167D7"/>
    <w:rsid w:val="00C21230"/>
    <w:rsid w:val="00C2387D"/>
    <w:rsid w:val="00C25377"/>
    <w:rsid w:val="00C25492"/>
    <w:rsid w:val="00C26BA6"/>
    <w:rsid w:val="00C339C4"/>
    <w:rsid w:val="00C33C48"/>
    <w:rsid w:val="00C4491A"/>
    <w:rsid w:val="00C45A19"/>
    <w:rsid w:val="00C51B8E"/>
    <w:rsid w:val="00C55195"/>
    <w:rsid w:val="00C6217C"/>
    <w:rsid w:val="00C63E13"/>
    <w:rsid w:val="00C656B8"/>
    <w:rsid w:val="00C660AC"/>
    <w:rsid w:val="00C66A88"/>
    <w:rsid w:val="00C66E9B"/>
    <w:rsid w:val="00C71BA9"/>
    <w:rsid w:val="00C72375"/>
    <w:rsid w:val="00C73B1E"/>
    <w:rsid w:val="00C774E6"/>
    <w:rsid w:val="00C803B0"/>
    <w:rsid w:val="00C81AC3"/>
    <w:rsid w:val="00C87230"/>
    <w:rsid w:val="00C87B12"/>
    <w:rsid w:val="00C90635"/>
    <w:rsid w:val="00C90B56"/>
    <w:rsid w:val="00C9243F"/>
    <w:rsid w:val="00C925B4"/>
    <w:rsid w:val="00C95D3C"/>
    <w:rsid w:val="00C96A06"/>
    <w:rsid w:val="00CA0106"/>
    <w:rsid w:val="00CA0F9D"/>
    <w:rsid w:val="00CA3531"/>
    <w:rsid w:val="00CB07D6"/>
    <w:rsid w:val="00CB1221"/>
    <w:rsid w:val="00CB1A09"/>
    <w:rsid w:val="00CB1D1A"/>
    <w:rsid w:val="00CB30E6"/>
    <w:rsid w:val="00CB35C3"/>
    <w:rsid w:val="00CB3729"/>
    <w:rsid w:val="00CB3D67"/>
    <w:rsid w:val="00CB6D2E"/>
    <w:rsid w:val="00CC2E93"/>
    <w:rsid w:val="00CC2FA0"/>
    <w:rsid w:val="00CC788D"/>
    <w:rsid w:val="00CD0FBE"/>
    <w:rsid w:val="00CD1132"/>
    <w:rsid w:val="00CD3BED"/>
    <w:rsid w:val="00CE641F"/>
    <w:rsid w:val="00CE64EB"/>
    <w:rsid w:val="00CF2E8E"/>
    <w:rsid w:val="00CF46CF"/>
    <w:rsid w:val="00CF4734"/>
    <w:rsid w:val="00CF56F0"/>
    <w:rsid w:val="00CF6B3E"/>
    <w:rsid w:val="00D01C4A"/>
    <w:rsid w:val="00D03E23"/>
    <w:rsid w:val="00D0422E"/>
    <w:rsid w:val="00D06010"/>
    <w:rsid w:val="00D101B6"/>
    <w:rsid w:val="00D103CE"/>
    <w:rsid w:val="00D10D61"/>
    <w:rsid w:val="00D16F88"/>
    <w:rsid w:val="00D17575"/>
    <w:rsid w:val="00D17649"/>
    <w:rsid w:val="00D220DF"/>
    <w:rsid w:val="00D23AF9"/>
    <w:rsid w:val="00D26751"/>
    <w:rsid w:val="00D329B3"/>
    <w:rsid w:val="00D32FCA"/>
    <w:rsid w:val="00D35197"/>
    <w:rsid w:val="00D4046B"/>
    <w:rsid w:val="00D407B9"/>
    <w:rsid w:val="00D40E4E"/>
    <w:rsid w:val="00D423F2"/>
    <w:rsid w:val="00D451A0"/>
    <w:rsid w:val="00D451ED"/>
    <w:rsid w:val="00D457F8"/>
    <w:rsid w:val="00D52269"/>
    <w:rsid w:val="00D54A37"/>
    <w:rsid w:val="00D5673F"/>
    <w:rsid w:val="00D577C5"/>
    <w:rsid w:val="00D60B6B"/>
    <w:rsid w:val="00D6238C"/>
    <w:rsid w:val="00D63FE9"/>
    <w:rsid w:val="00D672CD"/>
    <w:rsid w:val="00D74304"/>
    <w:rsid w:val="00D75C51"/>
    <w:rsid w:val="00D77394"/>
    <w:rsid w:val="00D91080"/>
    <w:rsid w:val="00D945F8"/>
    <w:rsid w:val="00D94D4B"/>
    <w:rsid w:val="00D97765"/>
    <w:rsid w:val="00DA59E1"/>
    <w:rsid w:val="00DA5C28"/>
    <w:rsid w:val="00DA6CA8"/>
    <w:rsid w:val="00DA7C11"/>
    <w:rsid w:val="00DB0CAA"/>
    <w:rsid w:val="00DB3E5A"/>
    <w:rsid w:val="00DB7940"/>
    <w:rsid w:val="00DC0D4D"/>
    <w:rsid w:val="00DC0E69"/>
    <w:rsid w:val="00DC1652"/>
    <w:rsid w:val="00DC6AFA"/>
    <w:rsid w:val="00DD045E"/>
    <w:rsid w:val="00DD36B9"/>
    <w:rsid w:val="00DD65B4"/>
    <w:rsid w:val="00DD747A"/>
    <w:rsid w:val="00DD768D"/>
    <w:rsid w:val="00DE18A7"/>
    <w:rsid w:val="00DE408D"/>
    <w:rsid w:val="00DE43E7"/>
    <w:rsid w:val="00DE5800"/>
    <w:rsid w:val="00DF0232"/>
    <w:rsid w:val="00DF14B1"/>
    <w:rsid w:val="00DF2298"/>
    <w:rsid w:val="00DF6143"/>
    <w:rsid w:val="00DF6A52"/>
    <w:rsid w:val="00E01CE4"/>
    <w:rsid w:val="00E01E14"/>
    <w:rsid w:val="00E01E19"/>
    <w:rsid w:val="00E02A27"/>
    <w:rsid w:val="00E033AC"/>
    <w:rsid w:val="00E06864"/>
    <w:rsid w:val="00E140F6"/>
    <w:rsid w:val="00E17556"/>
    <w:rsid w:val="00E17EEA"/>
    <w:rsid w:val="00E25F1A"/>
    <w:rsid w:val="00E26E98"/>
    <w:rsid w:val="00E308D1"/>
    <w:rsid w:val="00E32E15"/>
    <w:rsid w:val="00E35F90"/>
    <w:rsid w:val="00E41079"/>
    <w:rsid w:val="00E42557"/>
    <w:rsid w:val="00E432E9"/>
    <w:rsid w:val="00E4457B"/>
    <w:rsid w:val="00E5133E"/>
    <w:rsid w:val="00E601C0"/>
    <w:rsid w:val="00E6050E"/>
    <w:rsid w:val="00E611C5"/>
    <w:rsid w:val="00E61F24"/>
    <w:rsid w:val="00E62749"/>
    <w:rsid w:val="00E66E82"/>
    <w:rsid w:val="00E671D0"/>
    <w:rsid w:val="00E703F2"/>
    <w:rsid w:val="00E71492"/>
    <w:rsid w:val="00E72564"/>
    <w:rsid w:val="00E81360"/>
    <w:rsid w:val="00E8181B"/>
    <w:rsid w:val="00E81D0D"/>
    <w:rsid w:val="00E83E89"/>
    <w:rsid w:val="00E85428"/>
    <w:rsid w:val="00E8794C"/>
    <w:rsid w:val="00E87C7B"/>
    <w:rsid w:val="00E913F1"/>
    <w:rsid w:val="00E91C14"/>
    <w:rsid w:val="00E955E5"/>
    <w:rsid w:val="00E95B62"/>
    <w:rsid w:val="00E963A6"/>
    <w:rsid w:val="00EB5AAD"/>
    <w:rsid w:val="00EB77D4"/>
    <w:rsid w:val="00EC232D"/>
    <w:rsid w:val="00ED1A2E"/>
    <w:rsid w:val="00ED1C28"/>
    <w:rsid w:val="00ED2832"/>
    <w:rsid w:val="00ED559B"/>
    <w:rsid w:val="00ED697D"/>
    <w:rsid w:val="00EE04A5"/>
    <w:rsid w:val="00EE365F"/>
    <w:rsid w:val="00EE3AA5"/>
    <w:rsid w:val="00EE5593"/>
    <w:rsid w:val="00EE6B53"/>
    <w:rsid w:val="00EF1F00"/>
    <w:rsid w:val="00EF404F"/>
    <w:rsid w:val="00F01021"/>
    <w:rsid w:val="00F03E8C"/>
    <w:rsid w:val="00F03EEE"/>
    <w:rsid w:val="00F10964"/>
    <w:rsid w:val="00F117C9"/>
    <w:rsid w:val="00F12542"/>
    <w:rsid w:val="00F12666"/>
    <w:rsid w:val="00F138FC"/>
    <w:rsid w:val="00F15BFB"/>
    <w:rsid w:val="00F15D23"/>
    <w:rsid w:val="00F16FCF"/>
    <w:rsid w:val="00F1726D"/>
    <w:rsid w:val="00F17794"/>
    <w:rsid w:val="00F20120"/>
    <w:rsid w:val="00F22340"/>
    <w:rsid w:val="00F2483B"/>
    <w:rsid w:val="00F2520C"/>
    <w:rsid w:val="00F25EFA"/>
    <w:rsid w:val="00F3097A"/>
    <w:rsid w:val="00F313B9"/>
    <w:rsid w:val="00F3257C"/>
    <w:rsid w:val="00F35CB9"/>
    <w:rsid w:val="00F41AC3"/>
    <w:rsid w:val="00F423C2"/>
    <w:rsid w:val="00F429A2"/>
    <w:rsid w:val="00F4322C"/>
    <w:rsid w:val="00F45485"/>
    <w:rsid w:val="00F45512"/>
    <w:rsid w:val="00F45646"/>
    <w:rsid w:val="00F45851"/>
    <w:rsid w:val="00F45D1F"/>
    <w:rsid w:val="00F47179"/>
    <w:rsid w:val="00F471E3"/>
    <w:rsid w:val="00F53778"/>
    <w:rsid w:val="00F5461D"/>
    <w:rsid w:val="00F55102"/>
    <w:rsid w:val="00F562CF"/>
    <w:rsid w:val="00F5676C"/>
    <w:rsid w:val="00F569AB"/>
    <w:rsid w:val="00F67C56"/>
    <w:rsid w:val="00F67F6F"/>
    <w:rsid w:val="00F76463"/>
    <w:rsid w:val="00F80BC9"/>
    <w:rsid w:val="00F813EF"/>
    <w:rsid w:val="00F81A97"/>
    <w:rsid w:val="00F82691"/>
    <w:rsid w:val="00F84CA3"/>
    <w:rsid w:val="00F90A47"/>
    <w:rsid w:val="00F911B9"/>
    <w:rsid w:val="00F91A6D"/>
    <w:rsid w:val="00F92CA1"/>
    <w:rsid w:val="00F9647C"/>
    <w:rsid w:val="00F97001"/>
    <w:rsid w:val="00FA059B"/>
    <w:rsid w:val="00FA17C3"/>
    <w:rsid w:val="00FA2009"/>
    <w:rsid w:val="00FA4B88"/>
    <w:rsid w:val="00FB1579"/>
    <w:rsid w:val="00FB27D3"/>
    <w:rsid w:val="00FB7268"/>
    <w:rsid w:val="00FB7A38"/>
    <w:rsid w:val="00FC06FA"/>
    <w:rsid w:val="00FC25C6"/>
    <w:rsid w:val="00FC4DE4"/>
    <w:rsid w:val="00FC5F23"/>
    <w:rsid w:val="00FC6189"/>
    <w:rsid w:val="00FC7FD9"/>
    <w:rsid w:val="00FD5B6A"/>
    <w:rsid w:val="00FD6E2E"/>
    <w:rsid w:val="00FD765B"/>
    <w:rsid w:val="00FE0963"/>
    <w:rsid w:val="00FE1812"/>
    <w:rsid w:val="00FE444F"/>
    <w:rsid w:val="00FE5EAF"/>
    <w:rsid w:val="00FE63A1"/>
    <w:rsid w:val="00FE6967"/>
    <w:rsid w:val="00FF0034"/>
    <w:rsid w:val="00FF4C0E"/>
    <w:rsid w:val="00FF623E"/>
    <w:rsid w:val="37534078"/>
    <w:rsid w:val="767A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unhideWhenUsed="0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 w:qFormat="1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Document Map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B1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semiHidden/>
    <w:unhideWhenUsed/>
    <w:qFormat/>
    <w:rsid w:val="00C73B1E"/>
    <w:rPr>
      <w:rFonts w:ascii="宋体"/>
      <w:sz w:val="18"/>
      <w:szCs w:val="18"/>
    </w:rPr>
  </w:style>
  <w:style w:type="paragraph" w:styleId="a4">
    <w:name w:val="annotation text"/>
    <w:basedOn w:val="a"/>
    <w:semiHidden/>
    <w:qFormat/>
    <w:rsid w:val="00C73B1E"/>
    <w:pPr>
      <w:jc w:val="left"/>
    </w:pPr>
  </w:style>
  <w:style w:type="paragraph" w:styleId="a5">
    <w:name w:val="Date"/>
    <w:basedOn w:val="a"/>
    <w:next w:val="a"/>
    <w:link w:val="Char0"/>
    <w:qFormat/>
    <w:rsid w:val="00C73B1E"/>
    <w:pPr>
      <w:ind w:leftChars="2500" w:left="100"/>
    </w:pPr>
    <w:rPr>
      <w:rFonts w:ascii="宋体" w:hAnsi="宋体"/>
      <w:b/>
      <w:bCs/>
      <w:sz w:val="24"/>
    </w:rPr>
  </w:style>
  <w:style w:type="paragraph" w:styleId="a6">
    <w:name w:val="Balloon Text"/>
    <w:basedOn w:val="a"/>
    <w:semiHidden/>
    <w:qFormat/>
    <w:rsid w:val="00C73B1E"/>
    <w:rPr>
      <w:sz w:val="18"/>
      <w:szCs w:val="18"/>
    </w:rPr>
  </w:style>
  <w:style w:type="paragraph" w:styleId="a7">
    <w:name w:val="footer"/>
    <w:basedOn w:val="a"/>
    <w:qFormat/>
    <w:rsid w:val="00C73B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C73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4"/>
    <w:next w:val="a4"/>
    <w:semiHidden/>
    <w:qFormat/>
    <w:rsid w:val="00C73B1E"/>
    <w:rPr>
      <w:b/>
      <w:bCs/>
    </w:rPr>
  </w:style>
  <w:style w:type="table" w:styleId="aa">
    <w:name w:val="Table Grid"/>
    <w:basedOn w:val="a1"/>
    <w:qFormat/>
    <w:rsid w:val="00C73B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uiPriority w:val="22"/>
    <w:qFormat/>
    <w:rsid w:val="00C73B1E"/>
    <w:rPr>
      <w:b/>
      <w:bCs/>
    </w:rPr>
  </w:style>
  <w:style w:type="character" w:styleId="ac">
    <w:name w:val="page number"/>
    <w:basedOn w:val="a0"/>
    <w:qFormat/>
    <w:rsid w:val="00C73B1E"/>
  </w:style>
  <w:style w:type="character" w:styleId="ad">
    <w:name w:val="annotation reference"/>
    <w:basedOn w:val="a0"/>
    <w:semiHidden/>
    <w:qFormat/>
    <w:rsid w:val="00C73B1E"/>
    <w:rPr>
      <w:sz w:val="21"/>
      <w:szCs w:val="21"/>
    </w:rPr>
  </w:style>
  <w:style w:type="character" w:customStyle="1" w:styleId="apple-style-span">
    <w:name w:val="apple-style-span"/>
    <w:basedOn w:val="a0"/>
    <w:qFormat/>
    <w:rsid w:val="00C73B1E"/>
  </w:style>
  <w:style w:type="paragraph" w:customStyle="1" w:styleId="cs2654ae3a">
    <w:name w:val="cs2654ae3a"/>
    <w:basedOn w:val="a"/>
    <w:qFormat/>
    <w:rsid w:val="00C73B1E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cs25e5e7c71">
    <w:name w:val="cs25e5e7c71"/>
    <w:basedOn w:val="a0"/>
    <w:qFormat/>
    <w:rsid w:val="00C73B1E"/>
    <w:rPr>
      <w:rFonts w:ascii="Arial Unicode MS" w:eastAsia="Arial Unicode MS" w:hAnsi="Arial Unicode MS" w:cs="Arial Unicode MS" w:hint="eastAsia"/>
      <w:color w:val="000000"/>
      <w:sz w:val="24"/>
      <w:szCs w:val="24"/>
    </w:rPr>
  </w:style>
  <w:style w:type="character" w:customStyle="1" w:styleId="cs429262331">
    <w:name w:val="cs429262331"/>
    <w:basedOn w:val="a0"/>
    <w:qFormat/>
    <w:rsid w:val="00C73B1E"/>
    <w:rPr>
      <w:rFonts w:ascii="Microsoft Sans Serif" w:hAnsi="Microsoft Sans Serif" w:cs="Microsoft Sans Serif" w:hint="default"/>
      <w:b/>
      <w:bCs/>
      <w:color w:val="000000"/>
      <w:sz w:val="24"/>
      <w:szCs w:val="24"/>
    </w:rPr>
  </w:style>
  <w:style w:type="character" w:customStyle="1" w:styleId="cs2ee006611">
    <w:name w:val="cs2ee006611"/>
    <w:basedOn w:val="a0"/>
    <w:qFormat/>
    <w:rsid w:val="00C73B1E"/>
    <w:rPr>
      <w:rFonts w:ascii="Arial Unicode MS" w:eastAsia="Arial Unicode MS" w:hAnsi="Arial Unicode MS" w:cs="Arial Unicode MS" w:hint="eastAsia"/>
      <w:b/>
      <w:bCs/>
      <w:color w:val="000000"/>
      <w:sz w:val="24"/>
      <w:szCs w:val="24"/>
    </w:rPr>
  </w:style>
  <w:style w:type="paragraph" w:customStyle="1" w:styleId="Default">
    <w:name w:val="Default"/>
    <w:qFormat/>
    <w:rsid w:val="00C73B1E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sz w:val="24"/>
      <w:szCs w:val="24"/>
    </w:rPr>
  </w:style>
  <w:style w:type="paragraph" w:customStyle="1" w:styleId="1">
    <w:name w:val="修订1"/>
    <w:hidden/>
    <w:uiPriority w:val="99"/>
    <w:semiHidden/>
    <w:qFormat/>
    <w:rsid w:val="00C73B1E"/>
    <w:rPr>
      <w:rFonts w:ascii="Times New Roman" w:eastAsia="宋体" w:hAnsi="Times New Roman" w:cs="Times New Roman"/>
      <w:kern w:val="2"/>
      <w:sz w:val="21"/>
      <w:szCs w:val="24"/>
    </w:rPr>
  </w:style>
  <w:style w:type="paragraph" w:styleId="ae">
    <w:name w:val="No Spacing"/>
    <w:uiPriority w:val="1"/>
    <w:qFormat/>
    <w:rsid w:val="00C73B1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">
    <w:name w:val="文档结构图 Char"/>
    <w:basedOn w:val="a0"/>
    <w:link w:val="a3"/>
    <w:semiHidden/>
    <w:qFormat/>
    <w:rsid w:val="00C73B1E"/>
    <w:rPr>
      <w:rFonts w:ascii="宋体"/>
      <w:kern w:val="2"/>
      <w:sz w:val="18"/>
      <w:szCs w:val="18"/>
    </w:rPr>
  </w:style>
  <w:style w:type="character" w:customStyle="1" w:styleId="Char0">
    <w:name w:val="日期 Char"/>
    <w:basedOn w:val="a0"/>
    <w:link w:val="a5"/>
    <w:qFormat/>
    <w:rsid w:val="00C73B1E"/>
    <w:rPr>
      <w:rFonts w:ascii="宋体" w:hAnsi="宋体"/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F138FC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785ECE-0A99-48F2-AF4C-D12991C56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4</DocSecurity>
  <Lines>5</Lines>
  <Paragraphs>1</Paragraphs>
  <ScaleCrop>false</ScaleCrop>
  <Company>CHINAAMC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2014-09-22T08:14:00Z</cp:lastPrinted>
  <dcterms:created xsi:type="dcterms:W3CDTF">2025-09-29T16:04:00Z</dcterms:created>
  <dcterms:modified xsi:type="dcterms:W3CDTF">2025-09-29T16:04:00Z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2052-11.1.0.9986</vt:lpwstr>
  </property>
</Properties>
</file>