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31" w:rsidRDefault="00585889">
      <w:pPr>
        <w:spacing w:line="560" w:lineRule="exact"/>
        <w:jc w:val="center"/>
        <w:rPr>
          <w:bCs/>
          <w:color w:val="000000"/>
          <w:sz w:val="36"/>
          <w:szCs w:val="36"/>
        </w:rPr>
      </w:pPr>
      <w:bookmarkStart w:id="0" w:name="_GoBack"/>
      <w:bookmarkEnd w:id="0"/>
      <w:r>
        <w:rPr>
          <w:rFonts w:hint="eastAsia"/>
          <w:bCs/>
          <w:color w:val="000000"/>
          <w:sz w:val="36"/>
          <w:szCs w:val="36"/>
        </w:rPr>
        <w:t>华泰紫金苏州恒泰租赁住房封闭式基础设施证券投资基金收益分配的公告</w:t>
      </w:r>
    </w:p>
    <w:p w:rsidR="00046C31" w:rsidRDefault="00585889">
      <w:pPr>
        <w:spacing w:line="560" w:lineRule="exact"/>
        <w:jc w:val="center"/>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公告送出日期：</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30</w:t>
      </w:r>
      <w:r>
        <w:rPr>
          <w:rFonts w:ascii="方正仿宋简体" w:hAnsi="方正仿宋简体" w:cs="方正仿宋简体" w:hint="eastAsia"/>
          <w:color w:val="000000"/>
          <w:sz w:val="24"/>
          <w:szCs w:val="24"/>
        </w:rPr>
        <w:t>日</w:t>
      </w:r>
    </w:p>
    <w:p w:rsidR="00046C31" w:rsidRDefault="00046C31">
      <w:pPr>
        <w:spacing w:line="560" w:lineRule="exact"/>
        <w:jc w:val="center"/>
        <w:rPr>
          <w:rFonts w:ascii="方正仿宋简体" w:hAnsi="方正仿宋简体" w:cs="方正仿宋简体"/>
          <w:color w:val="000000"/>
          <w:sz w:val="24"/>
          <w:szCs w:val="24"/>
        </w:rPr>
      </w:pPr>
    </w:p>
    <w:p w:rsidR="00046C31" w:rsidRDefault="00585889">
      <w:pPr>
        <w:pStyle w:val="Heading2"/>
        <w:spacing w:line="560" w:lineRule="exact"/>
        <w:rPr>
          <w:rFonts w:ascii="方正仿宋简体" w:hAnsi="方正仿宋简体" w:cs="方正仿宋简体" w:hint="eastAsia"/>
          <w:bCs w:val="0"/>
          <w:color w:val="000000"/>
          <w:sz w:val="24"/>
          <w:szCs w:val="24"/>
        </w:rPr>
      </w:pPr>
      <w:bookmarkStart w:id="1" w:name="_Toc275961418"/>
      <w:r>
        <w:rPr>
          <w:rFonts w:ascii="方正仿宋简体" w:hAnsi="方正仿宋简体" w:cs="方正仿宋简体" w:hint="eastAsia"/>
          <w:bCs w:val="0"/>
          <w:color w:val="000000"/>
          <w:sz w:val="24"/>
          <w:szCs w:val="24"/>
        </w:rPr>
        <w:t>一、公募</w:t>
      </w:r>
      <w:r>
        <w:rPr>
          <w:rFonts w:ascii="方正仿宋简体" w:hAnsi="方正仿宋简体" w:cs="方正仿宋简体" w:hint="eastAsia"/>
          <w:bCs w:val="0"/>
          <w:color w:val="000000"/>
          <w:sz w:val="24"/>
          <w:szCs w:val="24"/>
        </w:rPr>
        <w:t>R</w:t>
      </w:r>
      <w:r>
        <w:rPr>
          <w:rFonts w:ascii="方正仿宋简体" w:hAnsi="方正仿宋简体" w:cs="方正仿宋简体"/>
          <w:bCs w:val="0"/>
          <w:color w:val="000000"/>
          <w:sz w:val="24"/>
          <w:szCs w:val="24"/>
        </w:rPr>
        <w:t>EIT</w:t>
      </w:r>
      <w:r>
        <w:rPr>
          <w:rFonts w:ascii="方正仿宋简体" w:hAnsi="方正仿宋简体" w:cs="方正仿宋简体" w:hint="eastAsia"/>
          <w:bCs w:val="0"/>
          <w:color w:val="000000"/>
          <w:sz w:val="24"/>
          <w:szCs w:val="24"/>
        </w:rPr>
        <w:t>s</w:t>
      </w:r>
      <w:r>
        <w:rPr>
          <w:rFonts w:ascii="方正仿宋简体" w:hAnsi="方正仿宋简体" w:cs="方正仿宋简体" w:hint="eastAsia"/>
          <w:bCs w:val="0"/>
          <w:color w:val="000000"/>
          <w:sz w:val="24"/>
          <w:szCs w:val="24"/>
        </w:rPr>
        <w:t>基本信息</w:t>
      </w:r>
      <w:bookmarkEnd w:id="1"/>
    </w:p>
    <w:tbl>
      <w:tblPr>
        <w:tblOverlap w:val="neve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655"/>
        <w:gridCol w:w="4791"/>
      </w:tblGrid>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名称</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华泰紫金苏州恒泰租赁住房封闭式基础设施证券投资基金</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简称</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华泰苏州恒泰租赁住房</w:t>
            </w:r>
            <w:r>
              <w:rPr>
                <w:rFonts w:ascii="方正仿宋简体" w:hAnsi="方正仿宋简体" w:cs="方正仿宋简体" w:hint="eastAsia"/>
                <w:color w:val="000000"/>
                <w:sz w:val="24"/>
                <w:szCs w:val="24"/>
              </w:rPr>
              <w:t>REIT</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主代码</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508085</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合同生效日</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2025-04-25</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基金管理人名称</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华泰证券</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上海</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资产管理有限公司</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基金托管人名称</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中信银行股份有限公司</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公告依据</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中华人民共和国证券投资基金法》《公开募集证券投资基金信息披露管理办法》《公开募集证券投资基金运作管理办法》《公开募集基础设施证券投资基金指引（试行）》《华泰紫金苏州恒泰租赁住房封闭式基础设施证券投资基金基金合同》《华泰紫金苏州恒泰租赁住房封闭式基础设施证券投资基金招募说明书》及其更新等</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收益分配基准日</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6</w:t>
            </w:r>
            <w:r>
              <w:rPr>
                <w:rFonts w:ascii="方正仿宋简体" w:hAnsi="方正仿宋简体" w:cs="方正仿宋简体" w:hint="eastAsia"/>
                <w:color w:val="000000"/>
                <w:sz w:val="24"/>
                <w:szCs w:val="24"/>
              </w:rPr>
              <w:t>月</w:t>
            </w:r>
            <w:r>
              <w:rPr>
                <w:rFonts w:ascii="方正仿宋简体" w:hAnsi="方正仿宋简体" w:cs="方正仿宋简体" w:hint="eastAsia"/>
                <w:color w:val="000000"/>
                <w:sz w:val="24"/>
                <w:szCs w:val="24"/>
              </w:rPr>
              <w:t>30</w:t>
            </w:r>
            <w:r>
              <w:rPr>
                <w:rFonts w:ascii="方正仿宋简体" w:hAnsi="方正仿宋简体" w:cs="方正仿宋简体" w:hint="eastAsia"/>
                <w:color w:val="000000"/>
                <w:sz w:val="24"/>
                <w:szCs w:val="24"/>
              </w:rPr>
              <w:t>日</w:t>
            </w:r>
          </w:p>
        </w:tc>
      </w:tr>
      <w:tr w:rsidR="00046C31">
        <w:trPr>
          <w:jc w:val="center"/>
        </w:trPr>
        <w:tc>
          <w:tcPr>
            <w:tcW w:w="2160" w:type="dxa"/>
            <w:vMerge w:val="restar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截止收益分配基准日的相关指标</w:t>
            </w:r>
          </w:p>
        </w:tc>
        <w:tc>
          <w:tcPr>
            <w:tcW w:w="2655"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基准日公募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份额净值（单位：元）</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color w:val="000000"/>
                <w:sz w:val="24"/>
                <w:szCs w:val="24"/>
              </w:rPr>
              <w:t>2.7429</w:t>
            </w:r>
          </w:p>
        </w:tc>
      </w:tr>
      <w:tr w:rsidR="00046C31">
        <w:trPr>
          <w:jc w:val="center"/>
        </w:trPr>
        <w:tc>
          <w:tcPr>
            <w:tcW w:w="2160" w:type="dxa"/>
            <w:vMerge/>
          </w:tcPr>
          <w:p w:rsidR="00046C31" w:rsidRDefault="00046C31">
            <w:pPr>
              <w:spacing w:line="560" w:lineRule="exact"/>
              <w:rPr>
                <w:rFonts w:ascii="方正仿宋简体" w:hAnsi="方正仿宋简体" w:cs="方正仿宋简体"/>
                <w:color w:val="000000"/>
                <w:sz w:val="24"/>
                <w:szCs w:val="24"/>
              </w:rPr>
            </w:pPr>
          </w:p>
        </w:tc>
        <w:tc>
          <w:tcPr>
            <w:tcW w:w="2655"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基准日公募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可供分配金额（单位：元）</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color w:val="000000"/>
                <w:sz w:val="24"/>
                <w:szCs w:val="24"/>
              </w:rPr>
              <w:t>16,189,138.58</w:t>
            </w:r>
          </w:p>
        </w:tc>
      </w:tr>
      <w:tr w:rsidR="00046C31">
        <w:trPr>
          <w:jc w:val="center"/>
        </w:trPr>
        <w:tc>
          <w:tcPr>
            <w:tcW w:w="2160" w:type="dxa"/>
            <w:vMerge/>
          </w:tcPr>
          <w:p w:rsidR="00046C31" w:rsidRDefault="00046C31">
            <w:pPr>
              <w:spacing w:line="560" w:lineRule="exact"/>
              <w:rPr>
                <w:rFonts w:ascii="方正仿宋简体" w:hAnsi="方正仿宋简体" w:cs="方正仿宋简体"/>
                <w:color w:val="000000"/>
                <w:sz w:val="24"/>
                <w:szCs w:val="24"/>
              </w:rPr>
            </w:pPr>
          </w:p>
        </w:tc>
        <w:tc>
          <w:tcPr>
            <w:tcW w:w="2655"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截止基准日</w:t>
            </w: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按照合同约定的分红比例计算的应分配金额（单位：元）</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分红方案（单位：元</w:t>
            </w:r>
            <w:r>
              <w:rPr>
                <w:rFonts w:ascii="方正仿宋简体" w:hAnsi="方正仿宋简体" w:cs="方正仿宋简体" w:hint="eastAsia"/>
                <w:color w:val="000000"/>
                <w:sz w:val="24"/>
                <w:szCs w:val="24"/>
              </w:rPr>
              <w:t>/10</w:t>
            </w:r>
            <w:r>
              <w:rPr>
                <w:rFonts w:ascii="方正仿宋简体" w:hAnsi="方正仿宋简体" w:cs="方正仿宋简体" w:hint="eastAsia"/>
                <w:color w:val="000000"/>
                <w:sz w:val="24"/>
                <w:szCs w:val="24"/>
              </w:rPr>
              <w:t>份公募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份额）</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color w:val="000000"/>
                <w:sz w:val="24"/>
                <w:szCs w:val="24"/>
              </w:rPr>
              <w:t>0.3237</w:t>
            </w:r>
          </w:p>
        </w:tc>
      </w:tr>
      <w:tr w:rsidR="00046C31">
        <w:trPr>
          <w:jc w:val="center"/>
        </w:trPr>
        <w:tc>
          <w:tcPr>
            <w:tcW w:w="4815" w:type="dxa"/>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有关年度分红次数的说明</w:t>
            </w:r>
          </w:p>
        </w:tc>
        <w:tc>
          <w:tcPr>
            <w:tcW w:w="4791" w:type="dxa"/>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本次分红为本基金</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年度第</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次分红</w:t>
            </w:r>
          </w:p>
        </w:tc>
      </w:tr>
    </w:tbl>
    <w:p w:rsidR="00046C31" w:rsidRDefault="00585889">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注：（</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）本次收益分配方案已经基金托管人复核。</w:t>
      </w:r>
    </w:p>
    <w:p w:rsidR="00046C31" w:rsidRDefault="00585889">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2</w:t>
      </w:r>
      <w:r>
        <w:rPr>
          <w:rFonts w:ascii="方正仿宋简体" w:hAnsi="方正仿宋简体" w:cs="方正仿宋简体" w:hint="eastAsia"/>
          <w:color w:val="000000"/>
          <w:sz w:val="24"/>
          <w:szCs w:val="24"/>
        </w:rPr>
        <w:t>）根据《华泰紫金苏州恒泰租赁住房封闭式基础设施证券投资基金合同》约定，本基金应当将</w:t>
      </w:r>
      <w:r>
        <w:rPr>
          <w:rFonts w:ascii="方正仿宋简体" w:hAnsi="方正仿宋简体" w:cs="方正仿宋简体" w:hint="eastAsia"/>
          <w:color w:val="000000"/>
          <w:sz w:val="24"/>
          <w:szCs w:val="24"/>
        </w:rPr>
        <w:t>90%</w:t>
      </w:r>
      <w:r>
        <w:rPr>
          <w:rFonts w:ascii="方正仿宋简体" w:hAnsi="方正仿宋简体" w:cs="方正仿宋简体" w:hint="eastAsia"/>
          <w:color w:val="000000"/>
          <w:sz w:val="24"/>
          <w:szCs w:val="24"/>
        </w:rPr>
        <w:t>以上合并后年度可供分配金额以现金形式分配给投资者。本基金的收益分配在符合分配条件的情况下每年不得少于</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次。本次拟分配金额为人民币</w:t>
      </w:r>
      <w:r>
        <w:rPr>
          <w:rFonts w:ascii="方正仿宋简体" w:hAnsi="方正仿宋简体" w:cs="方正仿宋简体"/>
          <w:color w:val="000000"/>
          <w:sz w:val="24"/>
          <w:szCs w:val="24"/>
        </w:rPr>
        <w:t>16</w:t>
      </w:r>
      <w:r>
        <w:rPr>
          <w:rFonts w:ascii="方正仿宋简体" w:hAnsi="方正仿宋简体" w:cs="方正仿宋简体" w:hint="eastAsia"/>
          <w:color w:val="000000"/>
          <w:sz w:val="24"/>
          <w:szCs w:val="24"/>
        </w:rPr>
        <w:t>,1</w:t>
      </w:r>
      <w:r>
        <w:rPr>
          <w:rFonts w:ascii="方正仿宋简体" w:hAnsi="方正仿宋简体" w:cs="方正仿宋简体"/>
          <w:color w:val="000000"/>
          <w:sz w:val="24"/>
          <w:szCs w:val="24"/>
        </w:rPr>
        <w:t>85</w:t>
      </w:r>
      <w:r>
        <w:rPr>
          <w:rFonts w:ascii="方正仿宋简体" w:hAnsi="方正仿宋简体" w:cs="方正仿宋简体" w:hint="eastAsia"/>
          <w:color w:val="000000"/>
          <w:sz w:val="24"/>
          <w:szCs w:val="24"/>
        </w:rPr>
        <w:t>,000.00</w:t>
      </w:r>
      <w:r>
        <w:rPr>
          <w:rFonts w:ascii="方正仿宋简体" w:hAnsi="方正仿宋简体" w:cs="方正仿宋简体" w:hint="eastAsia"/>
          <w:color w:val="000000"/>
          <w:sz w:val="24"/>
          <w:szCs w:val="24"/>
        </w:rPr>
        <w:t>元，占前述截止本次收益分配基准日可供分配金额的</w:t>
      </w:r>
      <w:r>
        <w:rPr>
          <w:rFonts w:ascii="方正仿宋简体" w:hAnsi="方正仿宋简体" w:cs="方正仿宋简体" w:hint="eastAsia"/>
          <w:color w:val="000000"/>
          <w:sz w:val="24"/>
          <w:szCs w:val="24"/>
        </w:rPr>
        <w:t>99.9</w:t>
      </w:r>
      <w:r>
        <w:rPr>
          <w:rFonts w:ascii="方正仿宋简体" w:hAnsi="方正仿宋简体" w:cs="方正仿宋简体"/>
          <w:color w:val="000000"/>
          <w:sz w:val="24"/>
          <w:szCs w:val="24"/>
        </w:rPr>
        <w:t>74</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。截止本次收益分配基准日，按照本次分红比例计算的分配金额与实际分配金额间可能存在尾差，具体以注册登记机构的规则为准。</w:t>
      </w:r>
    </w:p>
    <w:p w:rsidR="00046C31" w:rsidRDefault="00585889">
      <w:pPr>
        <w:pStyle w:val="Heading2"/>
        <w:spacing w:line="560" w:lineRule="exact"/>
        <w:rPr>
          <w:rFonts w:ascii="方正仿宋简体" w:hAnsi="方正仿宋简体" w:cs="方正仿宋简体" w:hint="eastAsia"/>
          <w:bCs w:val="0"/>
          <w:color w:val="000000"/>
          <w:sz w:val="24"/>
          <w:szCs w:val="24"/>
        </w:rPr>
      </w:pPr>
      <w:bookmarkStart w:id="2" w:name="_Toc275961419"/>
      <w:r>
        <w:rPr>
          <w:rFonts w:ascii="方正仿宋简体" w:hAnsi="方正仿宋简体" w:cs="方正仿宋简体" w:hint="eastAsia"/>
          <w:bCs w:val="0"/>
          <w:color w:val="000000"/>
          <w:sz w:val="24"/>
          <w:szCs w:val="24"/>
        </w:rPr>
        <w:t>二、与分红相关的其他信息</w:t>
      </w:r>
      <w:bookmarkEnd w:id="2"/>
    </w:p>
    <w:tbl>
      <w:tblPr>
        <w:tblOverlap w:val="neve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4"/>
        <w:gridCol w:w="3057"/>
        <w:gridCol w:w="2919"/>
      </w:tblGrid>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权益登记日</w:t>
            </w:r>
          </w:p>
        </w:tc>
        <w:tc>
          <w:tcPr>
            <w:tcW w:w="3206" w:type="pct"/>
            <w:gridSpan w:val="2"/>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hint="eastAsia"/>
                <w:color w:val="000000"/>
                <w:sz w:val="24"/>
                <w:szCs w:val="24"/>
              </w:rPr>
              <w:t>1</w:t>
            </w:r>
            <w:r>
              <w:rPr>
                <w:rFonts w:ascii="方正仿宋简体" w:hAnsi="方正仿宋简体" w:cs="方正仿宋简体"/>
                <w:color w:val="000000"/>
                <w:sz w:val="24"/>
                <w:szCs w:val="24"/>
              </w:rPr>
              <w:t>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日</w:t>
            </w:r>
          </w:p>
        </w:tc>
      </w:tr>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除息日</w:t>
            </w:r>
          </w:p>
        </w:tc>
        <w:tc>
          <w:tcPr>
            <w:tcW w:w="1640"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13</w:t>
            </w:r>
            <w:r>
              <w:rPr>
                <w:rFonts w:ascii="方正仿宋简体" w:hAnsi="方正仿宋简体" w:cs="方正仿宋简体" w:hint="eastAsia"/>
                <w:color w:val="000000"/>
                <w:sz w:val="24"/>
                <w:szCs w:val="24"/>
              </w:rPr>
              <w:t>日（场内）</w:t>
            </w:r>
          </w:p>
        </w:tc>
        <w:tc>
          <w:tcPr>
            <w:tcW w:w="1566"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日（场外）</w:t>
            </w:r>
          </w:p>
        </w:tc>
      </w:tr>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现金红利发放日</w:t>
            </w:r>
          </w:p>
        </w:tc>
        <w:tc>
          <w:tcPr>
            <w:tcW w:w="1640"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16</w:t>
            </w:r>
            <w:r>
              <w:rPr>
                <w:rFonts w:ascii="方正仿宋简体" w:hAnsi="方正仿宋简体" w:cs="方正仿宋简体" w:hint="eastAsia"/>
                <w:color w:val="000000"/>
                <w:sz w:val="24"/>
                <w:szCs w:val="24"/>
              </w:rPr>
              <w:t>日（场内）</w:t>
            </w:r>
          </w:p>
        </w:tc>
        <w:tc>
          <w:tcPr>
            <w:tcW w:w="1566"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14</w:t>
            </w:r>
            <w:r>
              <w:rPr>
                <w:rFonts w:ascii="方正仿宋简体" w:hAnsi="方正仿宋简体" w:cs="方正仿宋简体" w:hint="eastAsia"/>
                <w:color w:val="000000"/>
                <w:sz w:val="24"/>
                <w:szCs w:val="24"/>
              </w:rPr>
              <w:t>日（场外）</w:t>
            </w:r>
          </w:p>
        </w:tc>
      </w:tr>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分红对象</w:t>
            </w:r>
          </w:p>
        </w:tc>
        <w:tc>
          <w:tcPr>
            <w:tcW w:w="3206" w:type="pct"/>
            <w:gridSpan w:val="2"/>
            <w:shd w:val="clear" w:color="auto" w:fill="auto"/>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权益登记日登记在册的本基金基金份额持有人</w:t>
            </w:r>
          </w:p>
        </w:tc>
      </w:tr>
      <w:tr w:rsidR="00046C31">
        <w:trPr>
          <w:jc w:val="center"/>
        </w:trPr>
        <w:tc>
          <w:tcPr>
            <w:tcW w:w="1794" w:type="pct"/>
            <w:shd w:val="clear" w:color="auto" w:fill="auto"/>
            <w:vAlign w:val="center"/>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红利再投资相关事项的说明</w:t>
            </w:r>
          </w:p>
        </w:tc>
        <w:tc>
          <w:tcPr>
            <w:tcW w:w="3206" w:type="pct"/>
            <w:gridSpan w:val="2"/>
            <w:shd w:val="clear" w:color="auto" w:fill="auto"/>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本基金收益分配采取现金分红方式，不支持红利再投资</w:t>
            </w:r>
          </w:p>
        </w:tc>
      </w:tr>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税收相关事项的说明</w:t>
            </w:r>
          </w:p>
        </w:tc>
        <w:tc>
          <w:tcPr>
            <w:tcW w:w="3206" w:type="pct"/>
            <w:gridSpan w:val="2"/>
            <w:shd w:val="clear" w:color="auto" w:fill="auto"/>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根据财政部、国家税务总局相关规定，基金向投资者分</w:t>
            </w:r>
            <w:r>
              <w:rPr>
                <w:rFonts w:ascii="方正仿宋简体" w:hAnsi="方正仿宋简体" w:cs="方正仿宋简体" w:hint="eastAsia"/>
                <w:color w:val="000000"/>
                <w:sz w:val="24"/>
                <w:szCs w:val="24"/>
              </w:rPr>
              <w:lastRenderedPageBreak/>
              <w:t>配的基金收益，暂免征收所得税</w:t>
            </w:r>
          </w:p>
        </w:tc>
      </w:tr>
      <w:tr w:rsidR="00046C31">
        <w:trPr>
          <w:jc w:val="center"/>
        </w:trPr>
        <w:tc>
          <w:tcPr>
            <w:tcW w:w="1794" w:type="pct"/>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lastRenderedPageBreak/>
              <w:t>费用相关事项的说明</w:t>
            </w:r>
          </w:p>
        </w:tc>
        <w:tc>
          <w:tcPr>
            <w:tcW w:w="3206" w:type="pct"/>
            <w:gridSpan w:val="2"/>
            <w:shd w:val="clear" w:color="auto" w:fill="auto"/>
          </w:tcPr>
          <w:p w:rsidR="00046C31" w:rsidRDefault="00585889">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本次分红免收分红手续费</w:t>
            </w:r>
          </w:p>
        </w:tc>
      </w:tr>
    </w:tbl>
    <w:p w:rsidR="00046C31" w:rsidRDefault="00585889">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注：（</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）本基金的分配方式为现金分红。</w:t>
      </w:r>
    </w:p>
    <w:p w:rsidR="00046C31" w:rsidRDefault="00585889">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2</w:t>
      </w:r>
      <w:r>
        <w:rPr>
          <w:rFonts w:ascii="方正仿宋简体" w:hAnsi="方正仿宋简体" w:cs="方正仿宋简体" w:hint="eastAsia"/>
          <w:color w:val="000000"/>
          <w:sz w:val="24"/>
          <w:szCs w:val="24"/>
        </w:rPr>
        <w:t>）现金红利款将于</w:t>
      </w: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14</w:t>
      </w:r>
      <w:r>
        <w:rPr>
          <w:rFonts w:ascii="方正仿宋简体" w:hAnsi="方正仿宋简体" w:cs="方正仿宋简体" w:hint="eastAsia"/>
          <w:color w:val="000000"/>
          <w:sz w:val="24"/>
          <w:szCs w:val="24"/>
        </w:rPr>
        <w:t>日自本基金托管账户划出。</w:t>
      </w:r>
    </w:p>
    <w:p w:rsidR="00046C31" w:rsidRDefault="00585889">
      <w:pPr>
        <w:pStyle w:val="Heading2"/>
        <w:spacing w:line="560" w:lineRule="exact"/>
        <w:rPr>
          <w:rFonts w:ascii="方正仿宋简体" w:hAnsi="方正仿宋简体" w:cs="方正仿宋简体" w:hint="eastAsia"/>
          <w:bCs w:val="0"/>
          <w:color w:val="000000"/>
          <w:sz w:val="24"/>
          <w:szCs w:val="24"/>
        </w:rPr>
      </w:pPr>
      <w:bookmarkStart w:id="3" w:name="_Toc275961420"/>
      <w:r>
        <w:rPr>
          <w:rFonts w:ascii="方正仿宋简体" w:hAnsi="方正仿宋简体" w:cs="方正仿宋简体" w:hint="eastAsia"/>
          <w:bCs w:val="0"/>
          <w:color w:val="000000"/>
          <w:sz w:val="24"/>
          <w:szCs w:val="24"/>
        </w:rPr>
        <w:t>三、其他需要提示的事项</w:t>
      </w:r>
      <w:bookmarkEnd w:id="3"/>
    </w:p>
    <w:p w:rsidR="00046C31" w:rsidRDefault="00585889">
      <w:pPr>
        <w:numPr>
          <w:ilvl w:val="0"/>
          <w:numId w:val="1"/>
        </w:num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权益分派期间（</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30</w:t>
      </w:r>
      <w:r>
        <w:rPr>
          <w:rFonts w:ascii="方正仿宋简体" w:hAnsi="方正仿宋简体" w:cs="方正仿宋简体" w:hint="eastAsia"/>
          <w:color w:val="000000"/>
          <w:sz w:val="24"/>
          <w:szCs w:val="24"/>
        </w:rPr>
        <w:t>日至</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10</w:t>
      </w:r>
      <w:r>
        <w:rPr>
          <w:rFonts w:ascii="方正仿宋简体" w:hAnsi="方正仿宋简体" w:cs="方正仿宋简体" w:hint="eastAsia"/>
          <w:color w:val="000000"/>
          <w:sz w:val="24"/>
          <w:szCs w:val="24"/>
        </w:rPr>
        <w:t>日）暂停跨系统转托管业务。</w:t>
      </w:r>
    </w:p>
    <w:p w:rsidR="00046C31" w:rsidRDefault="00585889">
      <w:pPr>
        <w:numPr>
          <w:ilvl w:val="0"/>
          <w:numId w:val="1"/>
        </w:num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本基金可供分配金额是指在基金合并净利润基础上进行合理调整后的金额。在计算可供分配金额过程中，应当先将合并净利润调整为税息折旧及摊销前利润（</w:t>
      </w:r>
      <w:r>
        <w:rPr>
          <w:rFonts w:ascii="方正仿宋简体" w:hAnsi="方正仿宋简体" w:cs="方正仿宋简体" w:hint="eastAsia"/>
          <w:color w:val="000000"/>
          <w:sz w:val="24"/>
          <w:szCs w:val="24"/>
        </w:rPr>
        <w:t>EBITDA</w:t>
      </w:r>
      <w:r>
        <w:rPr>
          <w:rFonts w:ascii="方正仿宋简体" w:hAnsi="方正仿宋简体" w:cs="方正仿宋简体" w:hint="eastAsia"/>
          <w:color w:val="000000"/>
          <w:sz w:val="24"/>
          <w:szCs w:val="24"/>
        </w:rPr>
        <w:t>），并在此基础上综合考虑项目公司持续发展、项目公司偿债能力、经营现金流等因素后确定可供分配金额计算调整项。</w:t>
      </w:r>
    </w:p>
    <w:p w:rsidR="00046C31" w:rsidRDefault="00585889">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本次可供分配金额计算调整项如下：期初现金余额、应收和应付项目的变动、未来合理的相关支出预留等。</w:t>
      </w:r>
    </w:p>
    <w:p w:rsidR="00046C31" w:rsidRDefault="00585889">
      <w:pPr>
        <w:numPr>
          <w:ilvl w:val="0"/>
          <w:numId w:val="1"/>
        </w:num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具体的可供分配金额详见《华泰紫金苏州恒泰租赁住房封闭式基础设施证券投资基金</w:t>
      </w:r>
      <w:r>
        <w:rPr>
          <w:rFonts w:ascii="方正仿宋简体" w:hAnsi="方正仿宋简体" w:cs="方正仿宋简体"/>
          <w:color w:val="000000"/>
          <w:sz w:val="24"/>
          <w:szCs w:val="24"/>
        </w:rPr>
        <w:t>2025</w:t>
      </w:r>
      <w:r>
        <w:rPr>
          <w:rFonts w:ascii="方正仿宋简体" w:hAnsi="方正仿宋简体" w:cs="方正仿宋简体" w:hint="eastAsia"/>
          <w:color w:val="000000"/>
          <w:sz w:val="24"/>
          <w:szCs w:val="24"/>
        </w:rPr>
        <w:t>年中期报告》。经过上述项目调整后，本基金自</w:t>
      </w:r>
      <w:r>
        <w:rPr>
          <w:rFonts w:ascii="方正仿宋简体" w:hAnsi="方正仿宋简体" w:cs="方正仿宋简体"/>
          <w:color w:val="000000"/>
          <w:sz w:val="24"/>
          <w:szCs w:val="24"/>
        </w:rPr>
        <w:t>2025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4</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日至本次收益分配</w:t>
      </w:r>
      <w:r>
        <w:rPr>
          <w:rFonts w:ascii="方正仿宋简体" w:hAnsi="方正仿宋简体" w:cs="方正仿宋简体" w:hint="eastAsia"/>
          <w:color w:val="000000"/>
          <w:sz w:val="24"/>
          <w:szCs w:val="24"/>
        </w:rPr>
        <w:t>基准日</w:t>
      </w:r>
      <w:r>
        <w:rPr>
          <w:rFonts w:ascii="方正仿宋简体" w:hAnsi="方正仿宋简体" w:cs="方正仿宋简体"/>
          <w:color w:val="000000"/>
          <w:sz w:val="24"/>
          <w:szCs w:val="24"/>
        </w:rPr>
        <w:t>2025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6</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30</w:t>
      </w:r>
      <w:r>
        <w:rPr>
          <w:rFonts w:ascii="方正仿宋简体" w:hAnsi="方正仿宋简体" w:cs="方正仿宋简体" w:hint="eastAsia"/>
          <w:color w:val="000000"/>
          <w:sz w:val="24"/>
          <w:szCs w:val="24"/>
        </w:rPr>
        <w:t>日期间可供分配金额为人民币</w:t>
      </w:r>
      <w:r>
        <w:rPr>
          <w:rFonts w:ascii="方正仿宋简体" w:hAnsi="方正仿宋简体" w:cs="方正仿宋简体"/>
          <w:color w:val="000000"/>
          <w:sz w:val="24"/>
          <w:szCs w:val="24"/>
        </w:rPr>
        <w:t>16,189,138.58</w:t>
      </w:r>
      <w:r>
        <w:rPr>
          <w:rFonts w:ascii="方正仿宋简体" w:hAnsi="方正仿宋简体" w:cs="方正仿宋简体" w:hint="eastAsia"/>
          <w:color w:val="000000"/>
          <w:sz w:val="24"/>
          <w:szCs w:val="24"/>
        </w:rPr>
        <w:t>元。权益登记日当天买入的基金份额享有本次分红权益，权益登记日当天卖出的基金份额不享有本次分红权益。</w:t>
      </w:r>
    </w:p>
    <w:p w:rsidR="00046C31" w:rsidRDefault="00585889">
      <w:pPr>
        <w:pStyle w:val="Heading2"/>
        <w:spacing w:line="560" w:lineRule="exact"/>
        <w:rPr>
          <w:rFonts w:ascii="方正仿宋简体" w:hAnsi="方正仿宋简体" w:cs="方正仿宋简体" w:hint="eastAsia"/>
          <w:bCs w:val="0"/>
          <w:color w:val="000000"/>
          <w:sz w:val="24"/>
          <w:szCs w:val="24"/>
        </w:rPr>
      </w:pPr>
      <w:r>
        <w:rPr>
          <w:rFonts w:ascii="方正仿宋简体" w:hAnsi="方正仿宋简体" w:cs="方正仿宋简体" w:hint="eastAsia"/>
          <w:bCs w:val="0"/>
          <w:color w:val="000000"/>
          <w:sz w:val="24"/>
          <w:szCs w:val="24"/>
        </w:rPr>
        <w:t>四、相关机构联系方式</w:t>
      </w:r>
    </w:p>
    <w:p w:rsidR="00046C31" w:rsidRDefault="00585889">
      <w:pPr>
        <w:pStyle w:val="af1"/>
        <w:widowControl/>
        <w:shd w:val="clear" w:color="FFFFFF" w:fill="FFFFFF"/>
        <w:spacing w:before="240" w:beforeAutospacing="0" w:afterAutospacing="0" w:line="420" w:lineRule="atLeast"/>
        <w:ind w:firstLineChars="200" w:firstLine="480"/>
        <w:rPr>
          <w:rFonts w:ascii="方正仿宋简体" w:hAnsi="方正仿宋简体" w:cs="方正仿宋简体"/>
          <w:color w:val="333333"/>
          <w:szCs w:val="24"/>
        </w:rPr>
      </w:pPr>
      <w:r>
        <w:rPr>
          <w:rFonts w:ascii="方正仿宋简体" w:hAnsi="方正仿宋简体" w:cs="方正仿宋简体" w:hint="eastAsia"/>
          <w:color w:val="333333"/>
          <w:szCs w:val="24"/>
          <w:shd w:val="clear" w:color="FFFFFF" w:fill="FFFFFF"/>
        </w:rPr>
        <w:t>投资者可访问本基金管理人的网站（</w:t>
      </w:r>
      <w:r>
        <w:rPr>
          <w:rFonts w:ascii="方正仿宋简体" w:hAnsi="方正仿宋简体" w:cs="方正仿宋简体"/>
          <w:color w:val="333333"/>
          <w:szCs w:val="24"/>
          <w:shd w:val="clear" w:color="FFFFFF" w:fill="FFFFFF"/>
        </w:rPr>
        <w:t>https://www.htscamc.com/)</w:t>
      </w:r>
      <w:r>
        <w:rPr>
          <w:rFonts w:ascii="方正仿宋简体" w:hAnsi="方正仿宋简体" w:cs="方正仿宋简体" w:hint="eastAsia"/>
          <w:color w:val="333333"/>
          <w:szCs w:val="24"/>
          <w:shd w:val="clear" w:color="FFFFFF" w:fill="FFFFFF"/>
        </w:rPr>
        <w:t>或拨打客户服务电话（</w:t>
      </w:r>
      <w:r>
        <w:rPr>
          <w:rFonts w:ascii="方正仿宋简体" w:hAnsi="方正仿宋简体" w:cs="方正仿宋简体"/>
          <w:color w:val="333333"/>
          <w:szCs w:val="24"/>
          <w:shd w:val="clear" w:color="FFFFFF" w:fill="FFFFFF"/>
        </w:rPr>
        <w:t>4008895597/95597</w:t>
      </w:r>
      <w:r>
        <w:rPr>
          <w:rFonts w:ascii="方正仿宋简体" w:hAnsi="方正仿宋简体" w:cs="方正仿宋简体" w:hint="eastAsia"/>
          <w:color w:val="333333"/>
          <w:szCs w:val="24"/>
          <w:shd w:val="clear" w:color="FFFFFF" w:fill="FFFFFF"/>
        </w:rPr>
        <w:t>）咨询相关情况。</w:t>
      </w:r>
    </w:p>
    <w:p w:rsidR="00046C31" w:rsidRDefault="00585889">
      <w:pPr>
        <w:pStyle w:val="Heading2"/>
        <w:spacing w:line="560" w:lineRule="exact"/>
        <w:rPr>
          <w:rFonts w:ascii="方正仿宋简体" w:hAnsi="方正仿宋简体" w:cs="方正仿宋简体" w:hint="eastAsia"/>
          <w:bCs w:val="0"/>
          <w:color w:val="000000"/>
          <w:sz w:val="24"/>
          <w:szCs w:val="24"/>
        </w:rPr>
      </w:pPr>
      <w:r>
        <w:rPr>
          <w:rFonts w:ascii="方正仿宋简体" w:hAnsi="方正仿宋简体" w:cs="方正仿宋简体" w:hint="eastAsia"/>
          <w:bCs w:val="0"/>
          <w:color w:val="000000"/>
          <w:sz w:val="24"/>
          <w:szCs w:val="24"/>
        </w:rPr>
        <w:t>五、风险提示</w:t>
      </w:r>
    </w:p>
    <w:p w:rsidR="00046C31" w:rsidRDefault="00585889" w:rsidP="00585889">
      <w:pPr>
        <w:pStyle w:val="af1"/>
        <w:widowControl/>
        <w:shd w:val="clear" w:color="FFFFFF" w:fill="FFFFFF"/>
        <w:spacing w:before="240" w:beforeAutospacing="0" w:afterAutospacing="0" w:line="420" w:lineRule="atLeast"/>
        <w:ind w:firstLineChars="200" w:firstLine="482"/>
        <w:rPr>
          <w:rFonts w:ascii="方正仿宋简体" w:hAnsi="方正仿宋简体" w:cs="方正仿宋简体"/>
          <w:b/>
          <w:bCs/>
          <w:color w:val="333333"/>
          <w:szCs w:val="24"/>
        </w:rPr>
      </w:pPr>
      <w:r>
        <w:rPr>
          <w:rFonts w:ascii="方正仿宋简体" w:hAnsi="方正仿宋简体" w:cs="方正仿宋简体" w:hint="eastAsia"/>
          <w:b/>
          <w:bCs/>
          <w:color w:val="333333"/>
          <w:szCs w:val="24"/>
          <w:shd w:val="clear" w:color="FFFFFF" w:fill="FFFFFF"/>
        </w:rPr>
        <w:t>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方正仿宋简体" w:hAnsi="方正仿宋简体" w:cs="方正仿宋简体" w:hint="cs"/>
          <w:b/>
          <w:bCs/>
          <w:color w:val="333333"/>
          <w:szCs w:val="24"/>
          <w:shd w:val="clear" w:color="FFFFFF" w:fill="FFFFFF"/>
        </w:rPr>
        <w:t>“</w:t>
      </w:r>
      <w:r>
        <w:rPr>
          <w:rFonts w:ascii="方正仿宋简体" w:hAnsi="方正仿宋简体" w:cs="方正仿宋简体" w:hint="eastAsia"/>
          <w:b/>
          <w:bCs/>
          <w:color w:val="333333"/>
          <w:szCs w:val="24"/>
          <w:shd w:val="clear" w:color="FFFFFF" w:fill="FFFFFF"/>
        </w:rPr>
        <w:t>买者自负</w:t>
      </w:r>
      <w:r>
        <w:rPr>
          <w:rFonts w:ascii="方正仿宋简体" w:hAnsi="方正仿宋简体" w:cs="方正仿宋简体" w:hint="cs"/>
          <w:b/>
          <w:bCs/>
          <w:color w:val="333333"/>
          <w:szCs w:val="24"/>
          <w:shd w:val="clear" w:color="FFFFFF" w:fill="FFFFFF"/>
        </w:rPr>
        <w:t>”</w:t>
      </w:r>
      <w:r>
        <w:rPr>
          <w:rFonts w:ascii="方正仿宋简体" w:hAnsi="方正仿宋简体" w:cs="方正仿宋简体" w:hint="eastAsia"/>
          <w:b/>
          <w:bCs/>
          <w:color w:val="333333"/>
          <w:szCs w:val="24"/>
          <w:shd w:val="clear" w:color="FFFFFF" w:fill="FFFFFF"/>
        </w:rPr>
        <w:t>原则，在做出投资决策后，基金运营状况与基金净值变化引致的投资风险，由投资者自行负担。销售机构根据法规要求对投资者类别、风险承受能力和基金的风险等级进行划分，并提出适当性匹配意见。投资者在投资本基金前，应当认真阅读本基金基金合同、招募说明书、基金产品资料概要等法律文件，全面认识本基金的风险收益特征和产品特性，在了解产品情</w:t>
      </w:r>
      <w:r>
        <w:rPr>
          <w:rFonts w:ascii="方正仿宋简体" w:hAnsi="方正仿宋简体" w:cs="方正仿宋简体" w:hint="eastAsia"/>
          <w:b/>
          <w:bCs/>
          <w:color w:val="333333"/>
          <w:szCs w:val="24"/>
          <w:shd w:val="clear" w:color="FFFFFF" w:fill="FFFFFF"/>
        </w:rPr>
        <w:t>况及销售机构适当性意见的基础上，根据自身的投资目标、投资期限、投资经验、资产状况等判断基金是否和自身风险承受能力相适应，理性判断市场，自主判断基金投资价值，自主、谨慎做出投资决策，并自行承担投资风险。</w:t>
      </w:r>
    </w:p>
    <w:p w:rsidR="00046C31" w:rsidRDefault="00585889">
      <w:pPr>
        <w:pStyle w:val="af1"/>
        <w:widowControl/>
        <w:shd w:val="clear" w:color="FFFFFF" w:fill="FFFFFF"/>
        <w:spacing w:before="540" w:beforeAutospacing="0" w:afterAutospacing="0" w:line="420" w:lineRule="atLeast"/>
        <w:ind w:firstLineChars="200" w:firstLine="480"/>
        <w:rPr>
          <w:rFonts w:ascii="方正仿宋简体" w:hAnsi="方正仿宋简体" w:cs="方正仿宋简体"/>
          <w:color w:val="333333"/>
          <w:szCs w:val="24"/>
        </w:rPr>
      </w:pPr>
      <w:r>
        <w:rPr>
          <w:rFonts w:ascii="方正仿宋简体" w:hAnsi="方正仿宋简体" w:cs="方正仿宋简体" w:hint="eastAsia"/>
          <w:color w:val="333333"/>
          <w:szCs w:val="24"/>
          <w:shd w:val="clear" w:color="FFFFFF" w:fill="FFFFFF"/>
        </w:rPr>
        <w:t>特此公告！</w:t>
      </w:r>
    </w:p>
    <w:p w:rsidR="00046C31" w:rsidRDefault="00585889">
      <w:pPr>
        <w:jc w:val="righ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华泰证券</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上海</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资产管理有限公司</w:t>
      </w:r>
    </w:p>
    <w:p w:rsidR="00046C31" w:rsidRDefault="00585889">
      <w:pPr>
        <w:jc w:val="right"/>
        <w:rPr>
          <w:rFonts w:ascii="方正仿宋简体" w:hAnsi="方正仿宋简体" w:cs="方正仿宋简体"/>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30</w:t>
      </w:r>
      <w:r>
        <w:rPr>
          <w:rFonts w:ascii="方正仿宋简体" w:hAnsi="方正仿宋简体" w:cs="方正仿宋简体" w:hint="eastAsia"/>
          <w:color w:val="000000"/>
          <w:sz w:val="24"/>
          <w:szCs w:val="24"/>
        </w:rPr>
        <w:t>日</w:t>
      </w:r>
    </w:p>
    <w:sectPr w:rsidR="00046C31" w:rsidSect="00046C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31" w:rsidRDefault="00585889">
      <w:r>
        <w:separator/>
      </w:r>
    </w:p>
  </w:endnote>
  <w:endnote w:type="continuationSeparator" w:id="0">
    <w:p w:rsidR="00046C31" w:rsidRDefault="0058588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Trebuchet MS"/>
    <w:charset w:val="00"/>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00"/>
    <w:family w:val="auto"/>
    <w:pitch w:val="default"/>
    <w:sig w:usb0="00000000" w:usb1="00000000" w:usb2="00000000" w:usb3="00000000" w:csb0="00000000" w:csb1="00000000"/>
  </w:font>
  <w:font w:name="方正仿宋简体">
    <w:altName w:val="Trebuchet MS"/>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31" w:rsidRDefault="00585889">
      <w:r>
        <w:separator/>
      </w:r>
    </w:p>
  </w:footnote>
  <w:footnote w:type="continuationSeparator" w:id="0">
    <w:p w:rsidR="00046C31" w:rsidRDefault="00585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D6AFD"/>
    <w:multiLevelType w:val="hybridMultilevel"/>
    <w:tmpl w:val="04DEF49C"/>
    <w:lvl w:ilvl="0" w:tplc="BDE0DD30">
      <w:start w:val="1"/>
      <w:numFmt w:val="decimal"/>
      <w:suff w:val="nothing"/>
      <w:lvlText w:val="（%1）"/>
      <w:lvlJc w:val="left"/>
      <w:pPr>
        <w:snapToGrid/>
      </w:pPr>
    </w:lvl>
    <w:lvl w:ilvl="1" w:tplc="0CFC93AA">
      <w:start w:val="1"/>
      <w:numFmt w:val="bullet"/>
      <w:lvlText w:val="o"/>
      <w:lvlJc w:val="left"/>
      <w:pPr>
        <w:snapToGrid/>
        <w:ind w:left="840" w:hanging="420"/>
      </w:pPr>
      <w:rPr>
        <w:rFonts w:ascii="Courier New" w:eastAsia="Courier New" w:hAnsi="Courier New" w:cs="Courier New" w:hint="default"/>
      </w:rPr>
    </w:lvl>
    <w:lvl w:ilvl="2" w:tplc="4804223A">
      <w:start w:val="1"/>
      <w:numFmt w:val="bullet"/>
      <w:lvlText w:val="§"/>
      <w:lvlJc w:val="left"/>
      <w:pPr>
        <w:snapToGrid/>
        <w:ind w:left="1260" w:hanging="420"/>
      </w:pPr>
      <w:rPr>
        <w:rFonts w:ascii="Wingdings" w:eastAsia="Wingdings" w:hAnsi="Wingdings" w:cs="Wingdings" w:hint="default"/>
      </w:rPr>
    </w:lvl>
    <w:lvl w:ilvl="3" w:tplc="595EC266">
      <w:start w:val="1"/>
      <w:numFmt w:val="bullet"/>
      <w:lvlText w:val="·"/>
      <w:lvlJc w:val="left"/>
      <w:pPr>
        <w:snapToGrid/>
        <w:ind w:left="1680" w:hanging="420"/>
      </w:pPr>
      <w:rPr>
        <w:rFonts w:ascii="Symbol" w:eastAsia="Symbol" w:hAnsi="Symbol" w:cs="Symbol" w:hint="default"/>
      </w:rPr>
    </w:lvl>
    <w:lvl w:ilvl="4" w:tplc="39303194">
      <w:start w:val="1"/>
      <w:numFmt w:val="bullet"/>
      <w:lvlText w:val="o"/>
      <w:lvlJc w:val="left"/>
      <w:pPr>
        <w:snapToGrid/>
        <w:ind w:left="2100" w:hanging="420"/>
      </w:pPr>
      <w:rPr>
        <w:rFonts w:ascii="Courier New" w:eastAsia="Courier New" w:hAnsi="Courier New" w:cs="Courier New" w:hint="default"/>
      </w:rPr>
    </w:lvl>
    <w:lvl w:ilvl="5" w:tplc="7E1C7C82">
      <w:start w:val="1"/>
      <w:numFmt w:val="bullet"/>
      <w:lvlText w:val="§"/>
      <w:lvlJc w:val="left"/>
      <w:pPr>
        <w:snapToGrid/>
        <w:ind w:left="2520" w:hanging="420"/>
      </w:pPr>
      <w:rPr>
        <w:rFonts w:ascii="Wingdings" w:eastAsia="Wingdings" w:hAnsi="Wingdings" w:cs="Wingdings" w:hint="default"/>
      </w:rPr>
    </w:lvl>
    <w:lvl w:ilvl="6" w:tplc="FBA2FFE2">
      <w:start w:val="1"/>
      <w:numFmt w:val="bullet"/>
      <w:lvlText w:val="·"/>
      <w:lvlJc w:val="left"/>
      <w:pPr>
        <w:snapToGrid/>
        <w:ind w:left="2940" w:hanging="420"/>
      </w:pPr>
      <w:rPr>
        <w:rFonts w:ascii="Symbol" w:eastAsia="Symbol" w:hAnsi="Symbol" w:cs="Symbol" w:hint="default"/>
      </w:rPr>
    </w:lvl>
    <w:lvl w:ilvl="7" w:tplc="2D207504">
      <w:start w:val="1"/>
      <w:numFmt w:val="bullet"/>
      <w:lvlText w:val="o"/>
      <w:lvlJc w:val="left"/>
      <w:pPr>
        <w:snapToGrid/>
        <w:ind w:left="3360" w:hanging="420"/>
      </w:pPr>
      <w:rPr>
        <w:rFonts w:ascii="Courier New" w:eastAsia="Courier New" w:hAnsi="Courier New" w:cs="Courier New" w:hint="default"/>
      </w:rPr>
    </w:lvl>
    <w:lvl w:ilvl="8" w:tplc="A4D06836">
      <w:start w:val="1"/>
      <w:numFmt w:val="bullet"/>
      <w:lvlText w:val="§"/>
      <w:lvlJc w:val="left"/>
      <w:pPr>
        <w:snapToGrid/>
        <w:ind w:left="3780" w:hanging="42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046C31"/>
    <w:rsid w:val="00046C31"/>
    <w:rsid w:val="00585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C31"/>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046C31"/>
    <w:rPr>
      <w:rFonts w:ascii="Arial" w:eastAsia="Arial" w:hAnsi="Arial" w:cs="Arial"/>
      <w:sz w:val="40"/>
      <w:szCs w:val="40"/>
    </w:rPr>
  </w:style>
  <w:style w:type="character" w:customStyle="1" w:styleId="Heading2Char">
    <w:name w:val="Heading 2 Char"/>
    <w:basedOn w:val="a0"/>
    <w:link w:val="Heading2"/>
    <w:uiPriority w:val="9"/>
    <w:rsid w:val="00046C31"/>
    <w:rPr>
      <w:rFonts w:ascii="Arial" w:eastAsia="Arial" w:hAnsi="Arial" w:cs="Arial"/>
      <w:sz w:val="34"/>
    </w:rPr>
  </w:style>
  <w:style w:type="paragraph" w:customStyle="1" w:styleId="Heading3">
    <w:name w:val="Heading 3"/>
    <w:basedOn w:val="a"/>
    <w:next w:val="a"/>
    <w:link w:val="Heading3Char"/>
    <w:uiPriority w:val="9"/>
    <w:unhideWhenUsed/>
    <w:qFormat/>
    <w:rsid w:val="00046C31"/>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46C31"/>
    <w:rPr>
      <w:rFonts w:ascii="Arial" w:eastAsia="Arial" w:hAnsi="Arial" w:cs="Arial"/>
      <w:sz w:val="30"/>
      <w:szCs w:val="30"/>
    </w:rPr>
  </w:style>
  <w:style w:type="paragraph" w:customStyle="1" w:styleId="Heading4">
    <w:name w:val="Heading 4"/>
    <w:basedOn w:val="a"/>
    <w:next w:val="a"/>
    <w:link w:val="Heading4Char"/>
    <w:uiPriority w:val="9"/>
    <w:unhideWhenUsed/>
    <w:qFormat/>
    <w:rsid w:val="00046C3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46C3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46C3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046C3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46C31"/>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Heading6"/>
    <w:uiPriority w:val="9"/>
    <w:rsid w:val="00046C3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46C31"/>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046C3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46C31"/>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046C3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46C3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46C31"/>
    <w:rPr>
      <w:rFonts w:ascii="Arial" w:eastAsia="Arial" w:hAnsi="Arial" w:cs="Arial"/>
      <w:i/>
      <w:iCs/>
      <w:sz w:val="21"/>
      <w:szCs w:val="21"/>
    </w:rPr>
  </w:style>
  <w:style w:type="paragraph" w:styleId="a3">
    <w:name w:val="No Spacing"/>
    <w:uiPriority w:val="1"/>
    <w:qFormat/>
    <w:rsid w:val="00046C31"/>
  </w:style>
  <w:style w:type="paragraph" w:styleId="a4">
    <w:name w:val="Title"/>
    <w:basedOn w:val="a"/>
    <w:next w:val="a"/>
    <w:link w:val="Char"/>
    <w:uiPriority w:val="10"/>
    <w:qFormat/>
    <w:rsid w:val="00046C31"/>
    <w:pPr>
      <w:spacing w:before="300" w:after="200"/>
      <w:contextualSpacing/>
    </w:pPr>
    <w:rPr>
      <w:sz w:val="48"/>
      <w:szCs w:val="48"/>
    </w:rPr>
  </w:style>
  <w:style w:type="character" w:customStyle="1" w:styleId="Char">
    <w:name w:val="标题 Char"/>
    <w:basedOn w:val="a0"/>
    <w:link w:val="a4"/>
    <w:uiPriority w:val="10"/>
    <w:rsid w:val="00046C31"/>
    <w:rPr>
      <w:sz w:val="48"/>
      <w:szCs w:val="48"/>
    </w:rPr>
  </w:style>
  <w:style w:type="paragraph" w:styleId="a5">
    <w:name w:val="Subtitle"/>
    <w:basedOn w:val="a"/>
    <w:next w:val="a"/>
    <w:link w:val="Char0"/>
    <w:uiPriority w:val="11"/>
    <w:qFormat/>
    <w:rsid w:val="00046C31"/>
    <w:pPr>
      <w:spacing w:before="200" w:after="200"/>
    </w:pPr>
    <w:rPr>
      <w:sz w:val="24"/>
      <w:szCs w:val="24"/>
    </w:rPr>
  </w:style>
  <w:style w:type="character" w:customStyle="1" w:styleId="Char0">
    <w:name w:val="副标题 Char"/>
    <w:basedOn w:val="a0"/>
    <w:link w:val="a5"/>
    <w:uiPriority w:val="11"/>
    <w:rsid w:val="00046C31"/>
    <w:rPr>
      <w:sz w:val="24"/>
      <w:szCs w:val="24"/>
    </w:rPr>
  </w:style>
  <w:style w:type="paragraph" w:styleId="a6">
    <w:name w:val="Quote"/>
    <w:basedOn w:val="a"/>
    <w:next w:val="a"/>
    <w:link w:val="Char1"/>
    <w:uiPriority w:val="29"/>
    <w:qFormat/>
    <w:rsid w:val="00046C31"/>
    <w:pPr>
      <w:ind w:left="720" w:right="720"/>
    </w:pPr>
    <w:rPr>
      <w:i/>
    </w:rPr>
  </w:style>
  <w:style w:type="character" w:customStyle="1" w:styleId="Char1">
    <w:name w:val="引用 Char"/>
    <w:link w:val="a6"/>
    <w:uiPriority w:val="29"/>
    <w:rsid w:val="00046C31"/>
    <w:rPr>
      <w:i/>
    </w:rPr>
  </w:style>
  <w:style w:type="paragraph" w:styleId="a7">
    <w:name w:val="Intense Quote"/>
    <w:basedOn w:val="a"/>
    <w:next w:val="a"/>
    <w:link w:val="Char2"/>
    <w:uiPriority w:val="30"/>
    <w:qFormat/>
    <w:rsid w:val="00046C3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046C31"/>
    <w:rPr>
      <w:i/>
    </w:rPr>
  </w:style>
  <w:style w:type="character" w:customStyle="1" w:styleId="HeaderChar">
    <w:name w:val="Header Char"/>
    <w:basedOn w:val="a0"/>
    <w:link w:val="Header"/>
    <w:uiPriority w:val="99"/>
    <w:rsid w:val="00046C31"/>
  </w:style>
  <w:style w:type="character" w:customStyle="1" w:styleId="FooterChar">
    <w:name w:val="Footer Char"/>
    <w:basedOn w:val="a0"/>
    <w:link w:val="Footer"/>
    <w:uiPriority w:val="99"/>
    <w:rsid w:val="00046C31"/>
  </w:style>
  <w:style w:type="paragraph" w:customStyle="1" w:styleId="Caption">
    <w:name w:val="Caption"/>
    <w:basedOn w:val="a"/>
    <w:next w:val="a"/>
    <w:uiPriority w:val="35"/>
    <w:semiHidden/>
    <w:unhideWhenUsed/>
    <w:qFormat/>
    <w:rsid w:val="00046C31"/>
    <w:pPr>
      <w:spacing w:line="276" w:lineRule="auto"/>
    </w:pPr>
    <w:rPr>
      <w:b/>
      <w:bCs/>
      <w:color w:val="5B9BD5" w:themeColor="accent1"/>
      <w:sz w:val="18"/>
      <w:szCs w:val="18"/>
    </w:rPr>
  </w:style>
  <w:style w:type="character" w:customStyle="1" w:styleId="CaptionChar">
    <w:name w:val="Caption Char"/>
    <w:link w:val="Footer"/>
    <w:uiPriority w:val="99"/>
    <w:rsid w:val="00046C31"/>
  </w:style>
  <w:style w:type="table" w:styleId="a8">
    <w:name w:val="Table Grid"/>
    <w:basedOn w:val="a1"/>
    <w:uiPriority w:val="59"/>
    <w:rsid w:val="00046C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046C3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046C3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046C3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046C3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046C3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046C3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046C3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046C3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046C3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046C3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046C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046C3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046C3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046C3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046C3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046C3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046C3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046C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046C3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046C3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046C3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046C3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046C3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046C3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046C3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046C3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046C3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046C3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046C3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046C3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046C3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046C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046C3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046C31"/>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046C3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046C31"/>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046C3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046C31"/>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046C31"/>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046C3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046C31"/>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046C31"/>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046C31"/>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046C31"/>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046C31"/>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046C31"/>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046C3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046C3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046C31"/>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046C31"/>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046C31"/>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046C31"/>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046C31"/>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046C31"/>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046C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046C31"/>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046C3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046C31"/>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046C3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046C31"/>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046C31"/>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046C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046C3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046C3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046C3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046C3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046C3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046C3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046C3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046C31"/>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046C31"/>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046C31"/>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046C31"/>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046C31"/>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046C31"/>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046C3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046C31"/>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046C31"/>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046C31"/>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046C31"/>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046C31"/>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046C31"/>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046C3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046C31"/>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046C31"/>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046C31"/>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046C31"/>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046C31"/>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046C31"/>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046C31"/>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046C31"/>
    <w:rPr>
      <w:color w:val="404040"/>
      <w:sz w:val="20"/>
      <w:szCs w:val="20"/>
      <w:lang w:eastAsia="zh-C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046C31"/>
    <w:rPr>
      <w:color w:val="404040"/>
      <w:sz w:val="20"/>
      <w:szCs w:val="20"/>
      <w:lang w:eastAsia="zh-CN"/>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046C31"/>
    <w:rPr>
      <w:color w:val="404040"/>
      <w:sz w:val="20"/>
      <w:szCs w:val="20"/>
      <w:lang w:eastAsia="zh-CN"/>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046C31"/>
    <w:rPr>
      <w:color w:val="404040"/>
      <w:sz w:val="20"/>
      <w:szCs w:val="20"/>
      <w:lang w:eastAsia="zh-CN"/>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046C31"/>
    <w:rPr>
      <w:color w:val="404040"/>
      <w:sz w:val="20"/>
      <w:szCs w:val="20"/>
      <w:lang w:eastAsia="zh-CN"/>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046C31"/>
    <w:rPr>
      <w:color w:val="404040"/>
      <w:sz w:val="20"/>
      <w:szCs w:val="20"/>
      <w:lang w:eastAsia="zh-CN"/>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046C31"/>
    <w:rPr>
      <w:color w:val="404040"/>
      <w:sz w:val="20"/>
      <w:szCs w:val="20"/>
      <w:lang w:eastAsia="zh-CN"/>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046C3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046C3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046C3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046C3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046C3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046C3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046C3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9">
    <w:name w:val="Hyperlink"/>
    <w:uiPriority w:val="99"/>
    <w:unhideWhenUsed/>
    <w:rsid w:val="00046C31"/>
    <w:rPr>
      <w:color w:val="0563C1" w:themeColor="hyperlink"/>
      <w:u w:val="single"/>
    </w:rPr>
  </w:style>
  <w:style w:type="character" w:customStyle="1" w:styleId="FootnoteTextChar">
    <w:name w:val="Footnote Text Char"/>
    <w:link w:val="aa"/>
    <w:uiPriority w:val="99"/>
    <w:rsid w:val="00046C31"/>
    <w:rPr>
      <w:sz w:val="18"/>
    </w:rPr>
  </w:style>
  <w:style w:type="paragraph" w:styleId="ab">
    <w:name w:val="endnote text"/>
    <w:basedOn w:val="a"/>
    <w:link w:val="Char3"/>
    <w:uiPriority w:val="99"/>
    <w:semiHidden/>
    <w:unhideWhenUsed/>
    <w:rsid w:val="00046C31"/>
    <w:rPr>
      <w:sz w:val="20"/>
    </w:rPr>
  </w:style>
  <w:style w:type="character" w:customStyle="1" w:styleId="Char3">
    <w:name w:val="尾注文本 Char"/>
    <w:link w:val="ab"/>
    <w:uiPriority w:val="99"/>
    <w:rsid w:val="00046C31"/>
    <w:rPr>
      <w:sz w:val="20"/>
    </w:rPr>
  </w:style>
  <w:style w:type="character" w:styleId="ac">
    <w:name w:val="endnote reference"/>
    <w:basedOn w:val="a0"/>
    <w:uiPriority w:val="99"/>
    <w:semiHidden/>
    <w:unhideWhenUsed/>
    <w:rsid w:val="00046C31"/>
    <w:rPr>
      <w:vertAlign w:val="superscript"/>
    </w:rPr>
  </w:style>
  <w:style w:type="paragraph" w:styleId="1">
    <w:name w:val="toc 1"/>
    <w:basedOn w:val="a"/>
    <w:next w:val="a"/>
    <w:uiPriority w:val="39"/>
    <w:unhideWhenUsed/>
    <w:rsid w:val="00046C31"/>
    <w:pPr>
      <w:spacing w:after="57"/>
    </w:pPr>
  </w:style>
  <w:style w:type="paragraph" w:styleId="2">
    <w:name w:val="toc 2"/>
    <w:basedOn w:val="a"/>
    <w:next w:val="a"/>
    <w:uiPriority w:val="39"/>
    <w:unhideWhenUsed/>
    <w:rsid w:val="00046C31"/>
    <w:pPr>
      <w:spacing w:after="57"/>
      <w:ind w:left="283"/>
    </w:pPr>
  </w:style>
  <w:style w:type="paragraph" w:styleId="3">
    <w:name w:val="toc 3"/>
    <w:basedOn w:val="a"/>
    <w:next w:val="a"/>
    <w:uiPriority w:val="39"/>
    <w:unhideWhenUsed/>
    <w:rsid w:val="00046C31"/>
    <w:pPr>
      <w:spacing w:after="57"/>
      <w:ind w:left="567"/>
    </w:pPr>
  </w:style>
  <w:style w:type="paragraph" w:styleId="4">
    <w:name w:val="toc 4"/>
    <w:basedOn w:val="a"/>
    <w:next w:val="a"/>
    <w:uiPriority w:val="39"/>
    <w:unhideWhenUsed/>
    <w:rsid w:val="00046C31"/>
    <w:pPr>
      <w:spacing w:after="57"/>
      <w:ind w:left="850"/>
    </w:pPr>
  </w:style>
  <w:style w:type="paragraph" w:styleId="5">
    <w:name w:val="toc 5"/>
    <w:basedOn w:val="a"/>
    <w:next w:val="a"/>
    <w:uiPriority w:val="39"/>
    <w:unhideWhenUsed/>
    <w:rsid w:val="00046C31"/>
    <w:pPr>
      <w:spacing w:after="57"/>
      <w:ind w:left="1134"/>
    </w:pPr>
  </w:style>
  <w:style w:type="paragraph" w:styleId="6">
    <w:name w:val="toc 6"/>
    <w:basedOn w:val="a"/>
    <w:next w:val="a"/>
    <w:uiPriority w:val="39"/>
    <w:unhideWhenUsed/>
    <w:rsid w:val="00046C31"/>
    <w:pPr>
      <w:spacing w:after="57"/>
      <w:ind w:left="1417"/>
    </w:pPr>
  </w:style>
  <w:style w:type="paragraph" w:styleId="7">
    <w:name w:val="toc 7"/>
    <w:basedOn w:val="a"/>
    <w:next w:val="a"/>
    <w:uiPriority w:val="39"/>
    <w:unhideWhenUsed/>
    <w:rsid w:val="00046C31"/>
    <w:pPr>
      <w:spacing w:after="57"/>
      <w:ind w:left="1701"/>
    </w:pPr>
  </w:style>
  <w:style w:type="paragraph" w:styleId="8">
    <w:name w:val="toc 8"/>
    <w:basedOn w:val="a"/>
    <w:next w:val="a"/>
    <w:uiPriority w:val="39"/>
    <w:unhideWhenUsed/>
    <w:rsid w:val="00046C31"/>
    <w:pPr>
      <w:spacing w:after="57"/>
      <w:ind w:left="1984"/>
    </w:pPr>
  </w:style>
  <w:style w:type="paragraph" w:styleId="9">
    <w:name w:val="toc 9"/>
    <w:basedOn w:val="a"/>
    <w:next w:val="a"/>
    <w:uiPriority w:val="39"/>
    <w:unhideWhenUsed/>
    <w:rsid w:val="00046C31"/>
    <w:pPr>
      <w:spacing w:after="57"/>
      <w:ind w:left="2268"/>
    </w:pPr>
  </w:style>
  <w:style w:type="paragraph" w:styleId="TOC">
    <w:name w:val="TOC Heading"/>
    <w:uiPriority w:val="39"/>
    <w:unhideWhenUsed/>
    <w:rsid w:val="00046C31"/>
  </w:style>
  <w:style w:type="paragraph" w:styleId="ad">
    <w:name w:val="table of figures"/>
    <w:basedOn w:val="a"/>
    <w:next w:val="a"/>
    <w:uiPriority w:val="99"/>
    <w:unhideWhenUsed/>
    <w:rsid w:val="00046C31"/>
  </w:style>
  <w:style w:type="paragraph" w:customStyle="1" w:styleId="Heading1">
    <w:name w:val="Heading 1"/>
    <w:basedOn w:val="a"/>
    <w:next w:val="a"/>
    <w:link w:val="10"/>
    <w:qFormat/>
    <w:rsid w:val="00046C31"/>
    <w:pPr>
      <w:keepNext/>
      <w:keepLines/>
      <w:spacing w:before="340" w:after="330" w:line="578" w:lineRule="auto"/>
      <w:outlineLvl w:val="0"/>
    </w:pPr>
    <w:rPr>
      <w:rFonts w:eastAsia="宋体"/>
      <w:b/>
      <w:bCs/>
      <w:sz w:val="44"/>
      <w:szCs w:val="44"/>
    </w:rPr>
  </w:style>
  <w:style w:type="paragraph" w:customStyle="1" w:styleId="Heading2">
    <w:name w:val="Heading 2"/>
    <w:basedOn w:val="a"/>
    <w:next w:val="a"/>
    <w:link w:val="21"/>
    <w:qFormat/>
    <w:rsid w:val="00046C31"/>
    <w:pPr>
      <w:keepNext/>
      <w:keepLines/>
      <w:spacing w:before="260" w:after="260" w:line="416" w:lineRule="auto"/>
      <w:outlineLvl w:val="1"/>
    </w:pPr>
    <w:rPr>
      <w:rFonts w:ascii="Arial" w:eastAsia="黑体" w:hAnsi="Arial"/>
      <w:b/>
      <w:bCs/>
      <w:szCs w:val="32"/>
    </w:rPr>
  </w:style>
  <w:style w:type="paragraph" w:styleId="ae">
    <w:name w:val="annotation text"/>
    <w:basedOn w:val="a"/>
    <w:link w:val="Char4"/>
    <w:uiPriority w:val="99"/>
    <w:semiHidden/>
    <w:unhideWhenUsed/>
    <w:qFormat/>
    <w:rsid w:val="00046C31"/>
    <w:pPr>
      <w:jc w:val="left"/>
    </w:pPr>
  </w:style>
  <w:style w:type="paragraph" w:customStyle="1" w:styleId="Footer">
    <w:name w:val="Footer"/>
    <w:basedOn w:val="a"/>
    <w:link w:val="af"/>
    <w:uiPriority w:val="99"/>
    <w:unhideWhenUsed/>
    <w:qFormat/>
    <w:rsid w:val="00046C31"/>
    <w:pPr>
      <w:tabs>
        <w:tab w:val="center" w:pos="4153"/>
        <w:tab w:val="right" w:pos="8306"/>
      </w:tabs>
      <w:snapToGrid w:val="0"/>
      <w:jc w:val="left"/>
    </w:pPr>
    <w:rPr>
      <w:rFonts w:ascii="等线" w:hAnsi="等线" w:cs="等线"/>
      <w:sz w:val="18"/>
      <w:szCs w:val="18"/>
    </w:rPr>
  </w:style>
  <w:style w:type="paragraph" w:customStyle="1" w:styleId="Header">
    <w:name w:val="Header"/>
    <w:basedOn w:val="a"/>
    <w:link w:val="af0"/>
    <w:uiPriority w:val="99"/>
    <w:unhideWhenUsed/>
    <w:qFormat/>
    <w:rsid w:val="00046C31"/>
    <w:pPr>
      <w:pBdr>
        <w:bottom w:val="single" w:sz="6" w:space="1" w:color="auto"/>
      </w:pBdr>
      <w:tabs>
        <w:tab w:val="center" w:pos="4153"/>
        <w:tab w:val="right" w:pos="8306"/>
      </w:tabs>
      <w:snapToGrid w:val="0"/>
      <w:jc w:val="center"/>
    </w:pPr>
    <w:rPr>
      <w:rFonts w:ascii="等线" w:hAnsi="等线" w:cs="等线"/>
      <w:sz w:val="18"/>
      <w:szCs w:val="18"/>
    </w:rPr>
  </w:style>
  <w:style w:type="paragraph" w:styleId="aa">
    <w:name w:val="footnote text"/>
    <w:basedOn w:val="a"/>
    <w:link w:val="Char5"/>
    <w:qFormat/>
    <w:rsid w:val="00046C31"/>
    <w:pPr>
      <w:snapToGrid w:val="0"/>
      <w:jc w:val="left"/>
    </w:pPr>
    <w:rPr>
      <w:rFonts w:eastAsia="宋体"/>
      <w:sz w:val="18"/>
    </w:rPr>
  </w:style>
  <w:style w:type="paragraph" w:styleId="af1">
    <w:name w:val="Normal (Web)"/>
    <w:basedOn w:val="a"/>
    <w:uiPriority w:val="99"/>
    <w:semiHidden/>
    <w:unhideWhenUsed/>
    <w:qFormat/>
    <w:rsid w:val="00046C31"/>
    <w:pPr>
      <w:spacing w:beforeAutospacing="1" w:afterAutospacing="1"/>
      <w:jc w:val="left"/>
    </w:pPr>
    <w:rPr>
      <w:sz w:val="24"/>
    </w:rPr>
  </w:style>
  <w:style w:type="paragraph" w:styleId="af2">
    <w:name w:val="annotation subject"/>
    <w:basedOn w:val="ae"/>
    <w:next w:val="ae"/>
    <w:link w:val="Char6"/>
    <w:uiPriority w:val="99"/>
    <w:semiHidden/>
    <w:unhideWhenUsed/>
    <w:qFormat/>
    <w:rsid w:val="00046C31"/>
    <w:rPr>
      <w:b/>
      <w:bCs/>
    </w:rPr>
  </w:style>
  <w:style w:type="character" w:styleId="af3">
    <w:name w:val="annotation reference"/>
    <w:basedOn w:val="a0"/>
    <w:uiPriority w:val="99"/>
    <w:semiHidden/>
    <w:unhideWhenUsed/>
    <w:qFormat/>
    <w:rsid w:val="00046C31"/>
    <w:rPr>
      <w:sz w:val="21"/>
      <w:szCs w:val="21"/>
    </w:rPr>
  </w:style>
  <w:style w:type="character" w:styleId="af4">
    <w:name w:val="footnote reference"/>
    <w:qFormat/>
    <w:rsid w:val="00046C31"/>
    <w:rPr>
      <w:vertAlign w:val="superscript"/>
    </w:rPr>
  </w:style>
  <w:style w:type="character" w:customStyle="1" w:styleId="af0">
    <w:name w:val="页眉 字符"/>
    <w:basedOn w:val="a0"/>
    <w:link w:val="Header"/>
    <w:uiPriority w:val="99"/>
    <w:qFormat/>
    <w:rsid w:val="00046C31"/>
    <w:rPr>
      <w:sz w:val="18"/>
      <w:szCs w:val="18"/>
    </w:rPr>
  </w:style>
  <w:style w:type="character" w:customStyle="1" w:styleId="af">
    <w:name w:val="页脚 字符"/>
    <w:basedOn w:val="a0"/>
    <w:link w:val="Footer"/>
    <w:uiPriority w:val="99"/>
    <w:qFormat/>
    <w:rsid w:val="00046C31"/>
    <w:rPr>
      <w:sz w:val="18"/>
      <w:szCs w:val="18"/>
    </w:rPr>
  </w:style>
  <w:style w:type="character" w:customStyle="1" w:styleId="10">
    <w:name w:val="标题 1 字符"/>
    <w:basedOn w:val="a0"/>
    <w:link w:val="Heading1"/>
    <w:qFormat/>
    <w:rsid w:val="00046C31"/>
    <w:rPr>
      <w:rFonts w:ascii="Times New Roman" w:eastAsia="宋体" w:hAnsi="Times New Roman" w:cs="Times New Roman"/>
      <w:b/>
      <w:bCs/>
      <w:sz w:val="44"/>
      <w:szCs w:val="44"/>
    </w:rPr>
  </w:style>
  <w:style w:type="character" w:customStyle="1" w:styleId="20">
    <w:name w:val="标题 2 字符"/>
    <w:basedOn w:val="a0"/>
    <w:uiPriority w:val="9"/>
    <w:semiHidden/>
    <w:qFormat/>
    <w:rsid w:val="00046C31"/>
    <w:rPr>
      <w:rFonts w:ascii="等线 light" w:hAnsi="等线 light" w:cs="等线 light"/>
      <w:b/>
      <w:bCs/>
      <w:sz w:val="32"/>
      <w:szCs w:val="32"/>
    </w:rPr>
  </w:style>
  <w:style w:type="character" w:customStyle="1" w:styleId="21">
    <w:name w:val="标题 2 字符1"/>
    <w:link w:val="Heading2"/>
    <w:qFormat/>
    <w:rsid w:val="00046C31"/>
    <w:rPr>
      <w:rFonts w:ascii="Arial" w:eastAsia="黑体" w:hAnsi="Arial" w:cs="Times New Roman"/>
      <w:b/>
      <w:bCs/>
      <w:sz w:val="32"/>
      <w:szCs w:val="32"/>
    </w:rPr>
  </w:style>
  <w:style w:type="character" w:customStyle="1" w:styleId="Char5">
    <w:name w:val="脚注文本 Char"/>
    <w:basedOn w:val="a0"/>
    <w:link w:val="aa"/>
    <w:qFormat/>
    <w:rsid w:val="00046C31"/>
    <w:rPr>
      <w:rFonts w:ascii="Times New Roman" w:eastAsia="宋体" w:hAnsi="Times New Roman" w:cs="Times New Roman"/>
      <w:sz w:val="18"/>
      <w:szCs w:val="20"/>
    </w:rPr>
  </w:style>
  <w:style w:type="character" w:customStyle="1" w:styleId="font21">
    <w:name w:val="font21"/>
    <w:basedOn w:val="a0"/>
    <w:qFormat/>
    <w:rsid w:val="00046C31"/>
    <w:rPr>
      <w:rFonts w:ascii="Times New Roman" w:hAnsi="Times New Roman" w:cs="Times New Roman" w:hint="default"/>
      <w:color w:val="000000"/>
      <w:sz w:val="18"/>
      <w:szCs w:val="18"/>
      <w:u w:val="none"/>
    </w:rPr>
  </w:style>
  <w:style w:type="character" w:customStyle="1" w:styleId="font31">
    <w:name w:val="font31"/>
    <w:basedOn w:val="a0"/>
    <w:qFormat/>
    <w:rsid w:val="00046C31"/>
    <w:rPr>
      <w:rFonts w:ascii="宋体" w:eastAsia="宋体" w:hAnsi="宋体" w:cs="宋体" w:hint="eastAsia"/>
      <w:color w:val="000000"/>
      <w:sz w:val="18"/>
      <w:szCs w:val="18"/>
      <w:u w:val="none"/>
    </w:rPr>
  </w:style>
  <w:style w:type="paragraph" w:customStyle="1" w:styleId="11">
    <w:name w:val="修订1"/>
    <w:hidden/>
    <w:uiPriority w:val="99"/>
    <w:semiHidden/>
    <w:qFormat/>
    <w:rsid w:val="00046C31"/>
    <w:rPr>
      <w:sz w:val="32"/>
    </w:rPr>
  </w:style>
  <w:style w:type="character" w:customStyle="1" w:styleId="Char4">
    <w:name w:val="批注文字 Char"/>
    <w:basedOn w:val="a0"/>
    <w:link w:val="ae"/>
    <w:uiPriority w:val="99"/>
    <w:semiHidden/>
    <w:qFormat/>
    <w:rsid w:val="00046C31"/>
    <w:rPr>
      <w:sz w:val="32"/>
    </w:rPr>
  </w:style>
  <w:style w:type="character" w:customStyle="1" w:styleId="Char6">
    <w:name w:val="批注主题 Char"/>
    <w:basedOn w:val="Char4"/>
    <w:link w:val="af2"/>
    <w:uiPriority w:val="99"/>
    <w:semiHidden/>
    <w:qFormat/>
    <w:rsid w:val="00046C31"/>
    <w:rPr>
      <w:b/>
      <w:bCs/>
      <w:sz w:val="32"/>
    </w:rPr>
  </w:style>
  <w:style w:type="paragraph" w:styleId="af5">
    <w:name w:val="List Paragraph"/>
    <w:basedOn w:val="a"/>
    <w:uiPriority w:val="99"/>
    <w:qFormat/>
    <w:rsid w:val="00046C31"/>
    <w:pPr>
      <w:ind w:firstLineChars="200" w:firstLine="420"/>
    </w:pPr>
  </w:style>
  <w:style w:type="paragraph" w:styleId="af6">
    <w:name w:val="Revision"/>
    <w:hidden/>
    <w:uiPriority w:val="99"/>
    <w:unhideWhenUsed/>
    <w:rsid w:val="00046C31"/>
    <w:rPr>
      <w:sz w:val="32"/>
    </w:rPr>
  </w:style>
  <w:style w:type="paragraph" w:styleId="af7">
    <w:name w:val="Balloon Text"/>
    <w:basedOn w:val="a"/>
    <w:link w:val="Char7"/>
    <w:uiPriority w:val="99"/>
    <w:semiHidden/>
    <w:unhideWhenUsed/>
    <w:rsid w:val="00046C31"/>
    <w:rPr>
      <w:sz w:val="18"/>
      <w:szCs w:val="18"/>
    </w:rPr>
  </w:style>
  <w:style w:type="character" w:customStyle="1" w:styleId="Char7">
    <w:name w:val="批注框文本 Char"/>
    <w:basedOn w:val="a0"/>
    <w:link w:val="af7"/>
    <w:uiPriority w:val="99"/>
    <w:semiHidden/>
    <w:rsid w:val="00046C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1710</Characters>
  <Application>Microsoft Office Word</Application>
  <DocSecurity>4</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夏碎慧</dc:creator>
  <cp:lastModifiedBy>ZHONGM</cp:lastModifiedBy>
  <cp:revision>2</cp:revision>
  <dcterms:created xsi:type="dcterms:W3CDTF">2025-09-29T16:01:00Z</dcterms:created>
  <dcterms:modified xsi:type="dcterms:W3CDTF">2025-09-29T16:01:00Z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0E125DFAF04D46BDA01AA132CCA13892</vt:lpwstr>
  </property>
</Properties>
</file>