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99A" w:rsidRDefault="004D099A">
      <w:pPr>
        <w:spacing w:after="280"/>
        <w:rPr>
          <w:rFonts w:eastAsia="Times New Roman"/>
          <w:lang w:val="en-US" w:eastAsia="zh-CN" w:bidi="ar-SA"/>
        </w:rPr>
      </w:pPr>
      <w:r>
        <w:rPr>
          <w:rFonts w:ascii="宋体" w:cs="宋体" w:hint="eastAsia"/>
          <w:lang w:val="en-US" w:eastAsia="zh-CN" w:bidi="ar-SA"/>
        </w:rPr>
        <w:t> </w:t>
      </w:r>
    </w:p>
    <w:p w:rsidR="004D099A" w:rsidRDefault="004D099A">
      <w:pPr>
        <w:spacing w:before="280" w:after="280"/>
        <w:rPr>
          <w:rFonts w:eastAsia="Times New Roman"/>
          <w:lang w:val="en-US" w:eastAsia="zh-CN" w:bidi="ar-SA"/>
        </w:rPr>
      </w:pPr>
    </w:p>
    <w:p w:rsidR="004D099A" w:rsidRDefault="004D099A">
      <w:pPr>
        <w:spacing w:before="280" w:after="280"/>
        <w:jc w:val="center"/>
        <w:rPr>
          <w:rFonts w:eastAsia="Times New Roman"/>
          <w:sz w:val="48"/>
          <w:szCs w:val="48"/>
          <w:lang w:val="en-US" w:eastAsia="zh-CN" w:bidi="ar-SA"/>
        </w:rPr>
      </w:pPr>
      <w:bookmarkStart w:id="0" w:name="t_3_0_table"/>
      <w:bookmarkStart w:id="1" w:name="t_3_0_0002_a2_fm1"/>
      <w:bookmarkEnd w:id="0"/>
      <w:bookmarkEnd w:id="1"/>
      <w:r>
        <w:rPr>
          <w:rFonts w:ascii="宋体" w:cs="宋体" w:hint="eastAsia"/>
          <w:b/>
          <w:bCs/>
          <w:sz w:val="48"/>
          <w:szCs w:val="48"/>
          <w:lang w:val="en-US" w:eastAsia="zh-CN" w:bidi="ar-SA"/>
        </w:rPr>
        <w:t>鹏华中证同业存单AAA指数7天持有期证券投资基金调整大额申购和定期定额投资业务的公告</w:t>
      </w:r>
    </w:p>
    <w:p w:rsidR="004D099A" w:rsidRDefault="004D099A">
      <w:pPr>
        <w:spacing w:before="280" w:after="280"/>
        <w:jc w:val="center"/>
        <w:rPr>
          <w:rFonts w:eastAsia="Times New Roman"/>
          <w:sz w:val="30"/>
          <w:szCs w:val="30"/>
          <w:lang w:val="en-US" w:eastAsia="zh-CN" w:bidi="ar-SA"/>
        </w:rPr>
      </w:pPr>
      <w:r>
        <w:rPr>
          <w:rFonts w:ascii="宋体" w:cs="宋体" w:hint="eastAsia"/>
          <w:sz w:val="30"/>
          <w:szCs w:val="30"/>
          <w:lang w:val="en-US" w:eastAsia="zh-CN" w:bidi="ar-SA"/>
        </w:rPr>
        <w:t> </w:t>
      </w:r>
    </w:p>
    <w:p w:rsidR="004D099A" w:rsidRDefault="004D099A">
      <w:pPr>
        <w:spacing w:before="280" w:after="280"/>
        <w:jc w:val="center"/>
        <w:rPr>
          <w:rFonts w:eastAsia="Times New Roman"/>
          <w:sz w:val="30"/>
          <w:szCs w:val="30"/>
          <w:lang w:val="en-US" w:eastAsia="zh-CN" w:bidi="ar-SA"/>
        </w:rPr>
      </w:pPr>
      <w:r>
        <w:rPr>
          <w:rFonts w:ascii="宋体" w:cs="宋体" w:hint="eastAsia"/>
          <w:sz w:val="30"/>
          <w:szCs w:val="30"/>
          <w:lang w:val="en-US" w:eastAsia="zh-CN" w:bidi="ar-SA"/>
        </w:rPr>
        <w:t> </w:t>
      </w:r>
    </w:p>
    <w:p w:rsidR="004D099A" w:rsidRDefault="004D099A">
      <w:pPr>
        <w:spacing w:before="280" w:after="280"/>
        <w:jc w:val="center"/>
        <w:rPr>
          <w:rFonts w:ascii="宋体" w:cs="宋体" w:hint="eastAsia"/>
          <w:sz w:val="30"/>
          <w:szCs w:val="30"/>
          <w:lang w:val="en-US" w:eastAsia="zh-CN" w:bidi="ar-SA"/>
        </w:rPr>
      </w:pPr>
    </w:p>
    <w:p w:rsidR="004D099A" w:rsidRDefault="004D099A">
      <w:pPr>
        <w:spacing w:before="280" w:after="280"/>
        <w:jc w:val="center"/>
        <w:rPr>
          <w:rFonts w:ascii="宋体" w:cs="宋体" w:hint="eastAsia"/>
          <w:sz w:val="30"/>
          <w:szCs w:val="30"/>
          <w:lang w:val="en-US" w:eastAsia="zh-CN" w:bidi="ar-SA"/>
        </w:rPr>
      </w:pPr>
    </w:p>
    <w:p w:rsidR="004D099A" w:rsidRDefault="004D099A">
      <w:pPr>
        <w:spacing w:before="280" w:after="280"/>
        <w:jc w:val="center"/>
        <w:rPr>
          <w:rFonts w:ascii="宋体" w:cs="宋体" w:hint="eastAsia"/>
          <w:sz w:val="30"/>
          <w:szCs w:val="30"/>
          <w:lang w:val="en-US" w:eastAsia="zh-CN" w:bidi="ar-SA"/>
        </w:rPr>
      </w:pPr>
    </w:p>
    <w:p w:rsidR="004D099A" w:rsidRDefault="004D099A">
      <w:pPr>
        <w:spacing w:before="280" w:after="280"/>
        <w:jc w:val="center"/>
        <w:rPr>
          <w:rFonts w:ascii="宋体" w:cs="宋体" w:hint="eastAsia"/>
          <w:sz w:val="30"/>
          <w:szCs w:val="30"/>
          <w:lang w:val="en-US" w:eastAsia="zh-CN" w:bidi="ar-SA"/>
        </w:rPr>
      </w:pPr>
    </w:p>
    <w:p w:rsidR="004D099A" w:rsidRDefault="004D099A">
      <w:pPr>
        <w:spacing w:before="280" w:after="280"/>
        <w:jc w:val="center"/>
        <w:rPr>
          <w:rFonts w:eastAsia="Times New Roman"/>
          <w:sz w:val="30"/>
          <w:szCs w:val="30"/>
          <w:lang w:val="en-US" w:eastAsia="zh-CN" w:bidi="ar-SA"/>
        </w:rPr>
      </w:pPr>
      <w:r>
        <w:rPr>
          <w:rFonts w:ascii="宋体" w:cs="宋体" w:hint="eastAsia"/>
          <w:sz w:val="30"/>
          <w:szCs w:val="30"/>
          <w:lang w:val="en-US" w:eastAsia="zh-CN" w:bidi="ar-SA"/>
        </w:rPr>
        <w:t> </w:t>
      </w:r>
    </w:p>
    <w:p w:rsidR="004D099A" w:rsidRDefault="004D099A">
      <w:pPr>
        <w:spacing w:before="280" w:after="280"/>
        <w:jc w:val="center"/>
        <w:rPr>
          <w:rFonts w:eastAsia="Times New Roman"/>
          <w:sz w:val="30"/>
          <w:szCs w:val="30"/>
          <w:lang w:val="en-US" w:eastAsia="zh-CN" w:bidi="ar-SA"/>
        </w:rPr>
      </w:pPr>
      <w:r>
        <w:rPr>
          <w:rFonts w:ascii="宋体" w:cs="宋体" w:hint="eastAsia"/>
          <w:sz w:val="30"/>
          <w:szCs w:val="30"/>
          <w:lang w:val="en-US" w:eastAsia="zh-CN" w:bidi="ar-SA"/>
        </w:rPr>
        <w:t> </w:t>
      </w:r>
    </w:p>
    <w:p w:rsidR="004D099A" w:rsidRDefault="004D099A">
      <w:pPr>
        <w:spacing w:before="280" w:after="280"/>
        <w:jc w:val="center"/>
        <w:rPr>
          <w:rFonts w:eastAsia="Times New Roman"/>
          <w:sz w:val="30"/>
          <w:szCs w:val="30"/>
          <w:lang w:val="en-US" w:eastAsia="zh-CN" w:bidi="ar-SA"/>
        </w:rPr>
      </w:pPr>
      <w:r>
        <w:rPr>
          <w:rFonts w:ascii="宋体" w:cs="宋体" w:hint="eastAsia"/>
          <w:sz w:val="30"/>
          <w:szCs w:val="30"/>
          <w:lang w:val="en-US" w:eastAsia="zh-CN" w:bidi="ar-SA"/>
        </w:rPr>
        <w:t> </w:t>
      </w:r>
    </w:p>
    <w:p w:rsidR="004D099A" w:rsidRDefault="004D099A">
      <w:pPr>
        <w:spacing w:before="280" w:after="280"/>
        <w:rPr>
          <w:rFonts w:ascii="宋体" w:cs="宋体" w:hint="eastAsia"/>
          <w:lang w:val="en-US" w:eastAsia="zh-CN" w:bidi="ar-SA"/>
        </w:rPr>
      </w:pPr>
      <w:r>
        <w:rPr>
          <w:rFonts w:ascii="宋体" w:cs="宋体" w:hint="eastAsia"/>
          <w:lang w:val="en-US" w:eastAsia="zh-CN" w:bidi="ar-SA"/>
        </w:rPr>
        <w:t> </w:t>
      </w:r>
    </w:p>
    <w:p w:rsidR="004D099A" w:rsidRDefault="004D099A">
      <w:pPr>
        <w:spacing w:before="280" w:after="280"/>
        <w:rPr>
          <w:rFonts w:eastAsia="Times New Roman"/>
          <w:lang w:val="en-US" w:eastAsia="zh-CN" w:bidi="ar-SA"/>
        </w:rPr>
      </w:pPr>
    </w:p>
    <w:p w:rsidR="004D099A" w:rsidRDefault="004D099A">
      <w:pPr>
        <w:spacing w:before="280" w:after="280"/>
        <w:rPr>
          <w:rFonts w:eastAsia="Times New Roman"/>
          <w:lang w:val="en-US" w:eastAsia="zh-CN" w:bidi="ar-SA"/>
        </w:rPr>
      </w:pPr>
      <w:r>
        <w:rPr>
          <w:rFonts w:ascii="宋体" w:cs="宋体" w:hint="eastAsia"/>
          <w:lang w:val="en-US" w:eastAsia="zh-CN" w:bidi="ar-SA"/>
        </w:rPr>
        <w:t> </w:t>
      </w:r>
    </w:p>
    <w:p w:rsidR="004D099A" w:rsidRDefault="004D099A">
      <w:pPr>
        <w:spacing w:before="280" w:after="280"/>
        <w:ind w:left="2100" w:firstLine="420"/>
        <w:rPr>
          <w:rFonts w:hint="eastAsia"/>
          <w:sz w:val="28"/>
          <w:szCs w:val="28"/>
          <w:lang w:val="en-US" w:bidi="ar-SA"/>
        </w:rPr>
      </w:pPr>
      <w:r>
        <w:rPr>
          <w:rFonts w:ascii="宋体" w:cs="宋体" w:hint="eastAsia"/>
          <w:b/>
          <w:bCs/>
          <w:sz w:val="28"/>
          <w:szCs w:val="28"/>
          <w:lang w:val="en-US" w:eastAsia="zh-CN" w:bidi="ar-SA"/>
        </w:rPr>
        <w:t>公告送出日期：</w:t>
      </w:r>
      <w:bookmarkStart w:id="2" w:name="t_3_0_0003_a1_fm1"/>
      <w:bookmarkEnd w:id="2"/>
      <w:r>
        <w:rPr>
          <w:rFonts w:ascii="宋体" w:cs="宋体" w:hint="eastAsia"/>
          <w:b/>
          <w:bCs/>
          <w:sz w:val="28"/>
          <w:szCs w:val="28"/>
          <w:lang w:val="en-US" w:bidi="ar-SA"/>
        </w:rPr>
        <w:t>2025年</w:t>
      </w:r>
      <w:r w:rsidR="00E00EDD">
        <w:rPr>
          <w:rFonts w:ascii="宋体" w:cs="宋体"/>
          <w:b/>
          <w:bCs/>
          <w:sz w:val="28"/>
          <w:szCs w:val="28"/>
          <w:lang w:val="en-US" w:bidi="ar-SA"/>
        </w:rPr>
        <w:t>9</w:t>
      </w:r>
      <w:r>
        <w:rPr>
          <w:rFonts w:ascii="宋体" w:cs="宋体" w:hint="eastAsia"/>
          <w:b/>
          <w:bCs/>
          <w:sz w:val="28"/>
          <w:szCs w:val="28"/>
          <w:lang w:val="en-US" w:bidi="ar-SA"/>
        </w:rPr>
        <w:t>月2</w:t>
      </w:r>
      <w:r w:rsidR="00E00EDD">
        <w:rPr>
          <w:rFonts w:ascii="宋体" w:cs="宋体"/>
          <w:b/>
          <w:bCs/>
          <w:sz w:val="28"/>
          <w:szCs w:val="28"/>
          <w:lang w:val="en-US" w:bidi="ar-SA"/>
        </w:rPr>
        <w:t>7</w:t>
      </w:r>
      <w:r>
        <w:rPr>
          <w:rFonts w:ascii="宋体" w:cs="宋体" w:hint="eastAsia"/>
          <w:b/>
          <w:bCs/>
          <w:sz w:val="28"/>
          <w:szCs w:val="28"/>
          <w:lang w:val="en-US" w:bidi="ar-SA"/>
        </w:rPr>
        <w:t>日</w:t>
      </w:r>
    </w:p>
    <w:p w:rsidR="004D099A" w:rsidRDefault="004D099A">
      <w:pPr>
        <w:spacing w:before="280" w:after="280"/>
        <w:rPr>
          <w:rFonts w:ascii="宋体" w:cs="宋体" w:hint="eastAsia"/>
          <w:lang w:val="en-US" w:eastAsia="zh-CN" w:bidi="ar-SA"/>
        </w:rPr>
      </w:pPr>
      <w:r>
        <w:rPr>
          <w:rFonts w:ascii="宋体" w:cs="宋体" w:hint="eastAsia"/>
          <w:lang w:val="en-US" w:eastAsia="zh-CN" w:bidi="ar-SA"/>
        </w:rPr>
        <w:t> </w:t>
      </w:r>
    </w:p>
    <w:p w:rsidR="004D099A" w:rsidRDefault="004D099A">
      <w:pPr>
        <w:spacing w:before="280" w:after="280"/>
        <w:rPr>
          <w:rFonts w:ascii="宋体" w:cs="宋体" w:hint="eastAsia"/>
          <w:lang w:val="en-US" w:eastAsia="zh-CN" w:bidi="ar-SA"/>
        </w:rPr>
      </w:pPr>
    </w:p>
    <w:p w:rsidR="004D099A" w:rsidRDefault="004D099A">
      <w:pPr>
        <w:spacing w:before="280" w:after="280"/>
        <w:rPr>
          <w:rFonts w:eastAsia="Times New Roman"/>
          <w:lang w:val="en-US" w:eastAsia="zh-CN" w:bidi="ar-SA"/>
        </w:rPr>
      </w:pPr>
    </w:p>
    <w:p w:rsidR="004D099A" w:rsidRDefault="004D099A">
      <w:pPr>
        <w:keepNext/>
        <w:spacing w:before="156" w:after="156"/>
        <w:rPr>
          <w:rFonts w:eastAsia="Times New Roman"/>
          <w:lang w:val="en-US" w:eastAsia="zh-CN" w:bidi="ar-SA"/>
        </w:rPr>
      </w:pPr>
      <w:r>
        <w:rPr>
          <w:rFonts w:ascii="宋体" w:cs="宋体" w:hint="eastAsia"/>
          <w:b/>
          <w:bCs/>
          <w:lang w:val="en-US" w:eastAsia="zh-CN" w:bidi="ar-SA"/>
        </w:rPr>
        <w:lastRenderedPageBreak/>
        <w:t>1</w:t>
      </w:r>
      <w:bookmarkStart w:id="3" w:name="t_3_1_1_table"/>
      <w:bookmarkEnd w:id="3"/>
      <w:r>
        <w:rPr>
          <w:rFonts w:ascii="宋体" w:cs="宋体" w:hint="eastAsia"/>
          <w:b/>
          <w:bCs/>
          <w:lang w:val="en-US" w:eastAsia="zh-CN" w:bidi="ar-SA"/>
        </w:rPr>
        <w:t xml:space="preserve"> 公告基本信息</w:t>
      </w:r>
    </w:p>
    <w:tbl>
      <w:tblPr>
        <w:tblW w:w="0" w:type="auto"/>
        <w:tblInd w:w="334"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000"/>
      </w:tblPr>
      <w:tblGrid>
        <w:gridCol w:w="3401"/>
        <w:gridCol w:w="4777"/>
      </w:tblGrid>
      <w:tr w:rsidR="004D099A">
        <w:tc>
          <w:tcPr>
            <w:tcW w:w="3401" w:type="dxa"/>
            <w:tcBorders>
              <w:bottom w:val="single" w:sz="8" w:space="0" w:color="auto"/>
              <w:right w:val="single" w:sz="8" w:space="0" w:color="auto"/>
            </w:tcBorders>
            <w:tcMar>
              <w:top w:w="10" w:type="dxa"/>
              <w:left w:w="108" w:type="dxa"/>
              <w:bottom w:w="10" w:type="dxa"/>
              <w:right w:w="108" w:type="dxa"/>
            </w:tcMar>
          </w:tcPr>
          <w:p w:rsidR="004D099A" w:rsidRDefault="004D099A">
            <w:pPr>
              <w:rPr>
                <w:rFonts w:eastAsia="Times New Roman"/>
                <w:sz w:val="21"/>
                <w:szCs w:val="21"/>
                <w:lang w:val="en-US" w:eastAsia="zh-CN" w:bidi="ar-SA"/>
              </w:rPr>
            </w:pPr>
            <w:r>
              <w:rPr>
                <w:rFonts w:ascii="宋体" w:cs="宋体" w:hint="eastAsia"/>
                <w:sz w:val="21"/>
                <w:szCs w:val="21"/>
                <w:lang w:val="en-US" w:eastAsia="zh-CN" w:bidi="ar-SA"/>
              </w:rPr>
              <w:t>基金名称</w:t>
            </w:r>
          </w:p>
        </w:tc>
        <w:tc>
          <w:tcPr>
            <w:tcW w:w="4777" w:type="dxa"/>
            <w:tcBorders>
              <w:bottom w:val="single" w:sz="8" w:space="0" w:color="auto"/>
            </w:tcBorders>
            <w:tcMar>
              <w:top w:w="10" w:type="dxa"/>
              <w:left w:w="113" w:type="dxa"/>
              <w:bottom w:w="10" w:type="dxa"/>
              <w:right w:w="108" w:type="dxa"/>
            </w:tcMar>
          </w:tcPr>
          <w:p w:rsidR="004D099A" w:rsidRDefault="004D099A">
            <w:pPr>
              <w:rPr>
                <w:rFonts w:eastAsia="Times New Roman"/>
                <w:sz w:val="21"/>
                <w:szCs w:val="21"/>
                <w:lang w:val="en-US" w:eastAsia="zh-CN" w:bidi="ar-SA"/>
              </w:rPr>
            </w:pPr>
            <w:bookmarkStart w:id="4" w:name="t_3_1_1_0009_a1_fm1"/>
            <w:bookmarkEnd w:id="4"/>
            <w:r>
              <w:rPr>
                <w:rFonts w:ascii="宋体" w:cs="宋体" w:hint="eastAsia"/>
                <w:sz w:val="21"/>
                <w:szCs w:val="21"/>
                <w:lang w:val="en-US" w:eastAsia="zh-CN" w:bidi="ar-SA"/>
              </w:rPr>
              <w:t>鹏华中证同业存单AAA指数7天持有期证券投资基金</w:t>
            </w:r>
          </w:p>
        </w:tc>
      </w:tr>
      <w:tr w:rsidR="004D099A">
        <w:tc>
          <w:tcPr>
            <w:tcW w:w="3401" w:type="dxa"/>
            <w:tcBorders>
              <w:bottom w:val="single" w:sz="8" w:space="0" w:color="auto"/>
              <w:right w:val="single" w:sz="8" w:space="0" w:color="auto"/>
            </w:tcBorders>
            <w:tcMar>
              <w:top w:w="5" w:type="dxa"/>
              <w:left w:w="108" w:type="dxa"/>
              <w:bottom w:w="10" w:type="dxa"/>
              <w:right w:w="108" w:type="dxa"/>
            </w:tcMar>
          </w:tcPr>
          <w:p w:rsidR="004D099A" w:rsidRDefault="004D099A">
            <w:pPr>
              <w:rPr>
                <w:rFonts w:eastAsia="Times New Roman"/>
                <w:sz w:val="21"/>
                <w:szCs w:val="21"/>
                <w:lang w:val="en-US" w:eastAsia="zh-CN" w:bidi="ar-SA"/>
              </w:rPr>
            </w:pPr>
            <w:r>
              <w:rPr>
                <w:rFonts w:ascii="宋体" w:cs="宋体" w:hint="eastAsia"/>
                <w:sz w:val="21"/>
                <w:szCs w:val="21"/>
                <w:lang w:val="en-US" w:eastAsia="zh-CN" w:bidi="ar-SA"/>
              </w:rPr>
              <w:t>基金简称</w:t>
            </w:r>
          </w:p>
        </w:tc>
        <w:tc>
          <w:tcPr>
            <w:tcW w:w="4777" w:type="dxa"/>
            <w:tcBorders>
              <w:bottom w:val="single" w:sz="8" w:space="0" w:color="auto"/>
            </w:tcBorders>
            <w:tcMar>
              <w:top w:w="5" w:type="dxa"/>
              <w:left w:w="113" w:type="dxa"/>
              <w:bottom w:w="10" w:type="dxa"/>
              <w:right w:w="108" w:type="dxa"/>
            </w:tcMar>
          </w:tcPr>
          <w:p w:rsidR="004D099A" w:rsidRDefault="004D099A">
            <w:pPr>
              <w:rPr>
                <w:rFonts w:eastAsia="Times New Roman"/>
                <w:sz w:val="21"/>
                <w:szCs w:val="21"/>
                <w:lang w:val="en-US" w:eastAsia="zh-CN" w:bidi="ar-SA"/>
              </w:rPr>
            </w:pPr>
            <w:bookmarkStart w:id="5" w:name="t_3_1_1_0011_a1_fm1"/>
            <w:bookmarkEnd w:id="5"/>
            <w:r>
              <w:rPr>
                <w:rFonts w:ascii="宋体" w:cs="宋体" w:hint="eastAsia"/>
                <w:sz w:val="21"/>
                <w:szCs w:val="21"/>
                <w:lang w:val="en-US" w:eastAsia="zh-CN" w:bidi="ar-SA"/>
              </w:rPr>
              <w:t>鹏华中证同业存单AAA指数7天持有期</w:t>
            </w:r>
          </w:p>
        </w:tc>
      </w:tr>
      <w:tr w:rsidR="004D099A">
        <w:tc>
          <w:tcPr>
            <w:tcW w:w="3401" w:type="dxa"/>
            <w:tcBorders>
              <w:bottom w:val="single" w:sz="8" w:space="0" w:color="auto"/>
              <w:right w:val="single" w:sz="8" w:space="0" w:color="auto"/>
            </w:tcBorders>
            <w:tcMar>
              <w:top w:w="5" w:type="dxa"/>
              <w:left w:w="108" w:type="dxa"/>
              <w:bottom w:w="10" w:type="dxa"/>
              <w:right w:w="108" w:type="dxa"/>
            </w:tcMar>
          </w:tcPr>
          <w:p w:rsidR="004D099A" w:rsidRDefault="004D099A">
            <w:pPr>
              <w:rPr>
                <w:rFonts w:eastAsia="Times New Roman"/>
                <w:sz w:val="21"/>
                <w:szCs w:val="21"/>
                <w:lang w:val="en-US" w:eastAsia="zh-CN" w:bidi="ar-SA"/>
              </w:rPr>
            </w:pPr>
            <w:r>
              <w:rPr>
                <w:rFonts w:ascii="宋体" w:cs="宋体" w:hint="eastAsia"/>
                <w:sz w:val="21"/>
                <w:szCs w:val="21"/>
                <w:lang w:val="en-US" w:eastAsia="zh-CN" w:bidi="ar-SA"/>
              </w:rPr>
              <w:t>基金主代码</w:t>
            </w:r>
          </w:p>
        </w:tc>
        <w:tc>
          <w:tcPr>
            <w:tcW w:w="4777" w:type="dxa"/>
            <w:tcBorders>
              <w:bottom w:val="single" w:sz="8" w:space="0" w:color="auto"/>
            </w:tcBorders>
            <w:tcMar>
              <w:top w:w="5" w:type="dxa"/>
              <w:left w:w="113" w:type="dxa"/>
              <w:bottom w:w="10" w:type="dxa"/>
              <w:right w:w="108" w:type="dxa"/>
            </w:tcMar>
          </w:tcPr>
          <w:p w:rsidR="004D099A" w:rsidRDefault="004D099A">
            <w:pPr>
              <w:rPr>
                <w:rFonts w:eastAsia="Times New Roman"/>
                <w:sz w:val="21"/>
                <w:szCs w:val="21"/>
                <w:lang w:val="en-US" w:eastAsia="zh-CN" w:bidi="ar-SA"/>
              </w:rPr>
            </w:pPr>
            <w:bookmarkStart w:id="6" w:name="t_1_1_0012_a1_fm1"/>
            <w:bookmarkEnd w:id="6"/>
            <w:r>
              <w:rPr>
                <w:rFonts w:ascii="宋体" w:cs="宋体" w:hint="eastAsia"/>
                <w:sz w:val="21"/>
                <w:szCs w:val="21"/>
                <w:lang w:val="en-US" w:eastAsia="zh-CN" w:bidi="ar-SA"/>
              </w:rPr>
              <w:t>014437</w:t>
            </w:r>
          </w:p>
        </w:tc>
      </w:tr>
      <w:tr w:rsidR="004D099A">
        <w:tc>
          <w:tcPr>
            <w:tcW w:w="3401" w:type="dxa"/>
            <w:tcBorders>
              <w:bottom w:val="single" w:sz="8" w:space="0" w:color="auto"/>
              <w:right w:val="single" w:sz="8" w:space="0" w:color="auto"/>
            </w:tcBorders>
            <w:tcMar>
              <w:top w:w="5" w:type="dxa"/>
              <w:left w:w="108" w:type="dxa"/>
              <w:bottom w:w="10" w:type="dxa"/>
              <w:right w:w="108" w:type="dxa"/>
            </w:tcMar>
          </w:tcPr>
          <w:p w:rsidR="004D099A" w:rsidRDefault="004D099A">
            <w:pPr>
              <w:rPr>
                <w:rFonts w:eastAsia="Times New Roman"/>
                <w:sz w:val="21"/>
                <w:szCs w:val="21"/>
                <w:lang w:val="en-US" w:eastAsia="zh-CN" w:bidi="ar-SA"/>
              </w:rPr>
            </w:pPr>
            <w:r>
              <w:rPr>
                <w:rFonts w:ascii="宋体" w:cs="宋体" w:hint="eastAsia"/>
                <w:sz w:val="21"/>
                <w:szCs w:val="21"/>
                <w:lang w:val="en-US" w:eastAsia="zh-CN" w:bidi="ar-SA"/>
              </w:rPr>
              <w:t>基金管理人名称</w:t>
            </w:r>
          </w:p>
        </w:tc>
        <w:tc>
          <w:tcPr>
            <w:tcW w:w="4777" w:type="dxa"/>
            <w:tcBorders>
              <w:bottom w:val="single" w:sz="8" w:space="0" w:color="auto"/>
            </w:tcBorders>
            <w:tcMar>
              <w:top w:w="5" w:type="dxa"/>
              <w:left w:w="113" w:type="dxa"/>
              <w:bottom w:w="10" w:type="dxa"/>
              <w:right w:w="108" w:type="dxa"/>
            </w:tcMar>
          </w:tcPr>
          <w:p w:rsidR="004D099A" w:rsidRDefault="004D099A">
            <w:pPr>
              <w:rPr>
                <w:rFonts w:eastAsia="Times New Roman"/>
                <w:sz w:val="21"/>
                <w:szCs w:val="21"/>
                <w:lang w:val="en-US" w:eastAsia="zh-CN" w:bidi="ar-SA"/>
              </w:rPr>
            </w:pPr>
            <w:bookmarkStart w:id="7" w:name="t_3_1_1_0186_a1_fm1"/>
            <w:bookmarkEnd w:id="7"/>
            <w:r>
              <w:rPr>
                <w:rFonts w:ascii="宋体" w:cs="宋体" w:hint="eastAsia"/>
                <w:sz w:val="21"/>
                <w:szCs w:val="21"/>
                <w:lang w:val="en-US" w:eastAsia="zh-CN" w:bidi="ar-SA"/>
              </w:rPr>
              <w:t>鹏华基金管理有限公司</w:t>
            </w:r>
          </w:p>
        </w:tc>
      </w:tr>
      <w:tr w:rsidR="004D099A">
        <w:tc>
          <w:tcPr>
            <w:tcW w:w="3401" w:type="dxa"/>
            <w:tcBorders>
              <w:bottom w:val="single" w:sz="8" w:space="0" w:color="auto"/>
              <w:right w:val="single" w:sz="8" w:space="0" w:color="auto"/>
            </w:tcBorders>
            <w:tcMar>
              <w:top w:w="5" w:type="dxa"/>
              <w:left w:w="108" w:type="dxa"/>
              <w:bottom w:w="10" w:type="dxa"/>
              <w:right w:w="108" w:type="dxa"/>
            </w:tcMar>
          </w:tcPr>
          <w:p w:rsidR="004D099A" w:rsidRDefault="004D099A">
            <w:pPr>
              <w:rPr>
                <w:rFonts w:eastAsia="Times New Roman"/>
                <w:sz w:val="21"/>
                <w:szCs w:val="21"/>
                <w:lang w:val="en-US" w:eastAsia="zh-CN" w:bidi="ar-SA"/>
              </w:rPr>
            </w:pPr>
            <w:r>
              <w:rPr>
                <w:rFonts w:ascii="宋体" w:cs="宋体" w:hint="eastAsia"/>
                <w:sz w:val="21"/>
                <w:szCs w:val="21"/>
                <w:lang w:val="en-US" w:eastAsia="zh-CN" w:bidi="ar-SA"/>
              </w:rPr>
              <w:t>公告依据</w:t>
            </w:r>
          </w:p>
        </w:tc>
        <w:tc>
          <w:tcPr>
            <w:tcW w:w="4777" w:type="dxa"/>
            <w:tcBorders>
              <w:bottom w:val="single" w:sz="8" w:space="0" w:color="auto"/>
            </w:tcBorders>
            <w:tcMar>
              <w:top w:w="5" w:type="dxa"/>
              <w:left w:w="113" w:type="dxa"/>
              <w:bottom w:w="10" w:type="dxa"/>
              <w:right w:w="108" w:type="dxa"/>
            </w:tcMar>
          </w:tcPr>
          <w:p w:rsidR="004D099A" w:rsidRDefault="004D099A">
            <w:pPr>
              <w:rPr>
                <w:rFonts w:eastAsia="Times New Roman"/>
                <w:sz w:val="21"/>
                <w:szCs w:val="21"/>
                <w:lang w:val="en-US" w:eastAsia="zh-CN" w:bidi="ar-SA"/>
              </w:rPr>
            </w:pPr>
            <w:bookmarkStart w:id="8" w:name="t_3_1_1_2631_a1_fm1"/>
            <w:bookmarkEnd w:id="8"/>
            <w:r>
              <w:rPr>
                <w:rFonts w:ascii="宋体" w:cs="宋体" w:hint="eastAsia"/>
                <w:sz w:val="21"/>
                <w:szCs w:val="21"/>
                <w:lang w:val="en-US" w:eastAsia="zh-CN" w:bidi="ar-SA"/>
              </w:rPr>
              <w:t>《鹏华中证同业存单AAA指数7天持有期证券投资基金基金合同》（以下简称“基金合同”）、《鹏华中证同业存单AAA指数7天持有期证券投资基金招募说明书》及更新（以下简称“招募说明书”）</w:t>
            </w:r>
          </w:p>
        </w:tc>
      </w:tr>
      <w:tr w:rsidR="004D099A">
        <w:tc>
          <w:tcPr>
            <w:tcW w:w="3401" w:type="dxa"/>
            <w:tcBorders>
              <w:bottom w:val="single" w:sz="8" w:space="0" w:color="auto"/>
              <w:right w:val="single" w:sz="8" w:space="0" w:color="auto"/>
            </w:tcBorders>
            <w:tcMar>
              <w:top w:w="5" w:type="dxa"/>
              <w:left w:w="108" w:type="dxa"/>
              <w:bottom w:w="10" w:type="dxa"/>
              <w:right w:w="108" w:type="dxa"/>
            </w:tcMar>
          </w:tcPr>
          <w:p w:rsidR="004D099A" w:rsidRDefault="004D099A">
            <w:pPr>
              <w:rPr>
                <w:rFonts w:eastAsia="Times New Roman"/>
                <w:sz w:val="21"/>
                <w:szCs w:val="21"/>
                <w:lang w:val="en-US" w:eastAsia="zh-CN" w:bidi="ar-SA"/>
              </w:rPr>
            </w:pPr>
            <w:r>
              <w:rPr>
                <w:rFonts w:ascii="宋体" w:cs="宋体" w:hint="eastAsia"/>
                <w:sz w:val="21"/>
                <w:szCs w:val="21"/>
                <w:lang w:val="en-US" w:eastAsia="zh-CN" w:bidi="ar-SA"/>
              </w:rPr>
              <w:t>调整大额申购起始日</w:t>
            </w:r>
          </w:p>
        </w:tc>
        <w:tc>
          <w:tcPr>
            <w:tcW w:w="4777" w:type="dxa"/>
            <w:tcBorders>
              <w:bottom w:val="single" w:sz="8" w:space="0" w:color="auto"/>
            </w:tcBorders>
            <w:tcMar>
              <w:top w:w="5" w:type="dxa"/>
              <w:left w:w="113" w:type="dxa"/>
              <w:bottom w:w="10" w:type="dxa"/>
              <w:right w:w="108" w:type="dxa"/>
            </w:tcMar>
          </w:tcPr>
          <w:p w:rsidR="004D099A" w:rsidRDefault="004D099A">
            <w:pPr>
              <w:rPr>
                <w:rFonts w:hint="eastAsia"/>
                <w:sz w:val="21"/>
                <w:szCs w:val="21"/>
                <w:lang w:val="en-US" w:bidi="ar-SA"/>
              </w:rPr>
            </w:pPr>
            <w:r>
              <w:rPr>
                <w:rFonts w:ascii="宋体" w:cs="宋体" w:hint="eastAsia"/>
                <w:sz w:val="21"/>
                <w:szCs w:val="21"/>
                <w:lang w:val="en-US" w:bidi="ar-SA"/>
              </w:rPr>
              <w:t>2025年</w:t>
            </w:r>
            <w:r w:rsidR="00E00EDD">
              <w:rPr>
                <w:rFonts w:ascii="宋体" w:cs="宋体"/>
                <w:sz w:val="21"/>
                <w:szCs w:val="21"/>
                <w:lang w:val="en-US" w:bidi="ar-SA"/>
              </w:rPr>
              <w:t>9</w:t>
            </w:r>
            <w:r>
              <w:rPr>
                <w:rFonts w:ascii="宋体" w:cs="宋体" w:hint="eastAsia"/>
                <w:sz w:val="21"/>
                <w:szCs w:val="21"/>
                <w:lang w:val="en-US" w:bidi="ar-SA"/>
              </w:rPr>
              <w:t>月29日</w:t>
            </w:r>
          </w:p>
        </w:tc>
      </w:tr>
      <w:tr w:rsidR="004D099A">
        <w:tc>
          <w:tcPr>
            <w:tcW w:w="3401" w:type="dxa"/>
            <w:tcBorders>
              <w:bottom w:val="single" w:sz="8" w:space="0" w:color="auto"/>
              <w:right w:val="single" w:sz="8" w:space="0" w:color="auto"/>
            </w:tcBorders>
            <w:tcMar>
              <w:top w:w="5" w:type="dxa"/>
              <w:left w:w="108" w:type="dxa"/>
              <w:bottom w:w="10" w:type="dxa"/>
              <w:right w:w="108" w:type="dxa"/>
            </w:tcMar>
          </w:tcPr>
          <w:p w:rsidR="004D099A" w:rsidRDefault="004D099A">
            <w:pPr>
              <w:rPr>
                <w:rFonts w:eastAsia="Times New Roman"/>
                <w:sz w:val="21"/>
                <w:szCs w:val="21"/>
                <w:lang w:val="en-US" w:eastAsia="zh-CN" w:bidi="ar-SA"/>
              </w:rPr>
            </w:pPr>
            <w:r>
              <w:rPr>
                <w:rFonts w:ascii="宋体" w:cs="宋体" w:hint="eastAsia"/>
                <w:sz w:val="21"/>
                <w:szCs w:val="21"/>
                <w:lang w:val="en-US" w:eastAsia="zh-CN" w:bidi="ar-SA"/>
              </w:rPr>
              <w:t>调整大额定期定额投资起始日</w:t>
            </w:r>
          </w:p>
        </w:tc>
        <w:tc>
          <w:tcPr>
            <w:tcW w:w="4777" w:type="dxa"/>
            <w:tcBorders>
              <w:bottom w:val="single" w:sz="8" w:space="0" w:color="auto"/>
            </w:tcBorders>
            <w:tcMar>
              <w:top w:w="5" w:type="dxa"/>
              <w:left w:w="113" w:type="dxa"/>
              <w:bottom w:w="10" w:type="dxa"/>
              <w:right w:w="108" w:type="dxa"/>
            </w:tcMar>
          </w:tcPr>
          <w:p w:rsidR="004D099A" w:rsidRDefault="004D099A">
            <w:pPr>
              <w:rPr>
                <w:rFonts w:hint="eastAsia"/>
                <w:sz w:val="21"/>
                <w:szCs w:val="21"/>
                <w:lang w:val="en-US" w:bidi="ar-SA"/>
              </w:rPr>
            </w:pPr>
            <w:r>
              <w:rPr>
                <w:rFonts w:ascii="宋体" w:cs="宋体" w:hint="eastAsia"/>
                <w:sz w:val="21"/>
                <w:szCs w:val="21"/>
                <w:lang w:val="en-US" w:bidi="ar-SA"/>
              </w:rPr>
              <w:t>2025年</w:t>
            </w:r>
            <w:r w:rsidR="00E00EDD">
              <w:rPr>
                <w:rFonts w:ascii="宋体" w:cs="宋体" w:hint="eastAsia"/>
                <w:sz w:val="21"/>
                <w:szCs w:val="21"/>
                <w:lang w:val="en-US" w:bidi="ar-SA"/>
              </w:rPr>
              <w:t>9</w:t>
            </w:r>
            <w:r>
              <w:rPr>
                <w:rFonts w:ascii="宋体" w:cs="宋体" w:hint="eastAsia"/>
                <w:sz w:val="21"/>
                <w:szCs w:val="21"/>
                <w:lang w:val="en-US" w:bidi="ar-SA"/>
              </w:rPr>
              <w:t>月29日</w:t>
            </w:r>
          </w:p>
        </w:tc>
      </w:tr>
      <w:tr w:rsidR="004D099A">
        <w:tc>
          <w:tcPr>
            <w:tcW w:w="3401" w:type="dxa"/>
            <w:tcBorders>
              <w:bottom w:val="single" w:sz="4" w:space="0" w:color="auto"/>
              <w:right w:val="single" w:sz="8" w:space="0" w:color="auto"/>
            </w:tcBorders>
            <w:tcMar>
              <w:top w:w="5" w:type="dxa"/>
              <w:left w:w="108" w:type="dxa"/>
              <w:bottom w:w="10" w:type="dxa"/>
              <w:right w:w="108" w:type="dxa"/>
            </w:tcMar>
          </w:tcPr>
          <w:p w:rsidR="004D099A" w:rsidRDefault="004D099A">
            <w:pPr>
              <w:rPr>
                <w:rFonts w:eastAsia="Times New Roman"/>
                <w:sz w:val="21"/>
                <w:szCs w:val="21"/>
                <w:lang w:val="en-US" w:eastAsia="zh-CN" w:bidi="ar-SA"/>
              </w:rPr>
            </w:pPr>
            <w:r>
              <w:rPr>
                <w:rFonts w:ascii="宋体" w:cs="宋体" w:hint="eastAsia"/>
                <w:sz w:val="21"/>
                <w:szCs w:val="21"/>
                <w:lang w:val="en-US" w:eastAsia="zh-CN" w:bidi="ar-SA"/>
              </w:rPr>
              <w:t>限制申购金额（单位：人民币元）</w:t>
            </w:r>
          </w:p>
        </w:tc>
        <w:tc>
          <w:tcPr>
            <w:tcW w:w="4777" w:type="dxa"/>
            <w:tcBorders>
              <w:bottom w:val="single" w:sz="4" w:space="0" w:color="auto"/>
            </w:tcBorders>
            <w:tcMar>
              <w:top w:w="5" w:type="dxa"/>
              <w:left w:w="113" w:type="dxa"/>
              <w:bottom w:w="10" w:type="dxa"/>
              <w:right w:w="108" w:type="dxa"/>
            </w:tcMar>
          </w:tcPr>
          <w:p w:rsidR="004D099A" w:rsidRDefault="004D099A">
            <w:pPr>
              <w:rPr>
                <w:rFonts w:eastAsia="Times New Roman"/>
                <w:sz w:val="21"/>
                <w:szCs w:val="21"/>
                <w:lang w:val="en-US" w:eastAsia="zh-CN" w:bidi="ar-SA"/>
              </w:rPr>
            </w:pPr>
            <w:r>
              <w:rPr>
                <w:rFonts w:ascii="宋体" w:cs="宋体" w:hint="eastAsia"/>
                <w:sz w:val="21"/>
                <w:szCs w:val="21"/>
                <w:lang w:val="en-US" w:eastAsia="zh-CN" w:bidi="ar-SA"/>
              </w:rPr>
              <w:t>50,000</w:t>
            </w:r>
          </w:p>
        </w:tc>
      </w:tr>
      <w:tr w:rsidR="004D099A">
        <w:tc>
          <w:tcPr>
            <w:tcW w:w="3401" w:type="dxa"/>
            <w:tcBorders>
              <w:top w:val="single" w:sz="4" w:space="0" w:color="auto"/>
              <w:left w:val="single" w:sz="4" w:space="0" w:color="auto"/>
              <w:bottom w:val="single" w:sz="4" w:space="0" w:color="auto"/>
              <w:right w:val="single" w:sz="4" w:space="0" w:color="auto"/>
            </w:tcBorders>
            <w:tcMar>
              <w:top w:w="5" w:type="dxa"/>
              <w:left w:w="108" w:type="dxa"/>
              <w:bottom w:w="10" w:type="dxa"/>
              <w:right w:w="108" w:type="dxa"/>
            </w:tcMar>
          </w:tcPr>
          <w:p w:rsidR="004D099A" w:rsidRDefault="004D099A">
            <w:pPr>
              <w:rPr>
                <w:rFonts w:eastAsia="Times New Roman"/>
                <w:sz w:val="21"/>
                <w:szCs w:val="21"/>
                <w:lang w:val="en-US" w:eastAsia="zh-CN" w:bidi="ar-SA"/>
              </w:rPr>
            </w:pPr>
            <w:r>
              <w:rPr>
                <w:rFonts w:ascii="宋体" w:cs="宋体" w:hint="eastAsia"/>
                <w:sz w:val="21"/>
                <w:szCs w:val="21"/>
                <w:lang w:val="en-US" w:eastAsia="zh-CN" w:bidi="ar-SA"/>
              </w:rPr>
              <w:t>限制定期定额投资金额（单位：人民币元）</w:t>
            </w:r>
          </w:p>
        </w:tc>
        <w:tc>
          <w:tcPr>
            <w:tcW w:w="4777" w:type="dxa"/>
            <w:tcBorders>
              <w:top w:val="single" w:sz="4" w:space="0" w:color="auto"/>
              <w:left w:val="single" w:sz="4" w:space="0" w:color="auto"/>
              <w:bottom w:val="single" w:sz="4" w:space="0" w:color="auto"/>
              <w:right w:val="single" w:sz="4" w:space="0" w:color="auto"/>
            </w:tcBorders>
            <w:tcMar>
              <w:top w:w="5" w:type="dxa"/>
              <w:left w:w="113" w:type="dxa"/>
              <w:bottom w:w="10" w:type="dxa"/>
              <w:right w:w="108" w:type="dxa"/>
            </w:tcMar>
          </w:tcPr>
          <w:p w:rsidR="004D099A" w:rsidRDefault="004D099A">
            <w:pPr>
              <w:rPr>
                <w:rFonts w:eastAsia="Times New Roman"/>
                <w:sz w:val="21"/>
                <w:szCs w:val="21"/>
                <w:lang w:val="en-US" w:eastAsia="zh-CN" w:bidi="ar-SA"/>
              </w:rPr>
            </w:pPr>
            <w:r>
              <w:rPr>
                <w:rFonts w:ascii="宋体" w:cs="宋体" w:hint="eastAsia"/>
                <w:sz w:val="21"/>
                <w:szCs w:val="21"/>
                <w:lang w:val="en-US" w:eastAsia="zh-CN" w:bidi="ar-SA"/>
              </w:rPr>
              <w:t>50,000</w:t>
            </w:r>
          </w:p>
        </w:tc>
      </w:tr>
      <w:tr w:rsidR="004D099A">
        <w:tc>
          <w:tcPr>
            <w:tcW w:w="3401" w:type="dxa"/>
            <w:tcBorders>
              <w:top w:val="single" w:sz="4" w:space="0" w:color="auto"/>
              <w:left w:val="single" w:sz="4" w:space="0" w:color="auto"/>
              <w:bottom w:val="single" w:sz="4" w:space="0" w:color="auto"/>
              <w:right w:val="single" w:sz="4" w:space="0" w:color="auto"/>
            </w:tcBorders>
            <w:tcMar>
              <w:top w:w="5" w:type="dxa"/>
              <w:left w:w="108" w:type="dxa"/>
              <w:bottom w:w="10" w:type="dxa"/>
              <w:right w:w="108" w:type="dxa"/>
            </w:tcMar>
          </w:tcPr>
          <w:p w:rsidR="004D099A" w:rsidRDefault="004D099A">
            <w:pPr>
              <w:rPr>
                <w:rFonts w:eastAsia="Times New Roman"/>
                <w:sz w:val="21"/>
                <w:szCs w:val="21"/>
                <w:lang w:val="en-US" w:eastAsia="zh-CN" w:bidi="ar-SA"/>
              </w:rPr>
            </w:pPr>
            <w:r>
              <w:rPr>
                <w:rFonts w:ascii="宋体" w:cs="宋体" w:hint="eastAsia"/>
                <w:sz w:val="21"/>
                <w:szCs w:val="21"/>
                <w:lang w:val="en-US" w:eastAsia="zh-CN" w:bidi="ar-SA"/>
              </w:rPr>
              <w:t>调整大额申购（定期定额投资）的原因说明</w:t>
            </w:r>
          </w:p>
        </w:tc>
        <w:tc>
          <w:tcPr>
            <w:tcW w:w="4777" w:type="dxa"/>
            <w:tcBorders>
              <w:top w:val="single" w:sz="4" w:space="0" w:color="auto"/>
              <w:left w:val="single" w:sz="4" w:space="0" w:color="auto"/>
              <w:bottom w:val="single" w:sz="4" w:space="0" w:color="auto"/>
              <w:right w:val="single" w:sz="4" w:space="0" w:color="auto"/>
            </w:tcBorders>
            <w:tcMar>
              <w:top w:w="5" w:type="dxa"/>
              <w:left w:w="113" w:type="dxa"/>
              <w:bottom w:w="10" w:type="dxa"/>
              <w:right w:w="108" w:type="dxa"/>
            </w:tcMar>
          </w:tcPr>
          <w:p w:rsidR="004D099A" w:rsidRDefault="004D099A">
            <w:pPr>
              <w:rPr>
                <w:rFonts w:eastAsia="Times New Roman"/>
                <w:sz w:val="21"/>
                <w:szCs w:val="21"/>
                <w:lang w:val="en-US" w:eastAsia="zh-CN" w:bidi="ar-SA"/>
              </w:rPr>
            </w:pPr>
            <w:r>
              <w:rPr>
                <w:rFonts w:ascii="宋体" w:cs="宋体" w:hint="eastAsia"/>
                <w:sz w:val="21"/>
                <w:szCs w:val="21"/>
                <w:lang w:val="en-US" w:eastAsia="zh-CN" w:bidi="ar-SA"/>
              </w:rPr>
              <w:t>保护基金份额持有人利益</w:t>
            </w:r>
          </w:p>
        </w:tc>
      </w:tr>
    </w:tbl>
    <w:p w:rsidR="004D099A" w:rsidRDefault="004D099A">
      <w:pPr>
        <w:spacing w:line="360" w:lineRule="auto"/>
        <w:rPr>
          <w:rFonts w:eastAsia="Times New Roman"/>
          <w:lang w:val="en-US" w:eastAsia="zh-CN" w:bidi="ar-SA"/>
        </w:rPr>
      </w:pPr>
      <w:r>
        <w:rPr>
          <w:rFonts w:ascii="宋体" w:cs="宋体" w:hint="eastAsia"/>
          <w:b/>
          <w:bCs/>
          <w:lang w:val="en-US" w:eastAsia="zh-CN" w:bidi="ar-SA"/>
        </w:rPr>
        <w:t xml:space="preserve">2 </w:t>
      </w:r>
      <w:bookmarkStart w:id="9" w:name="t_3_2_table"/>
      <w:bookmarkEnd w:id="9"/>
      <w:r>
        <w:rPr>
          <w:rFonts w:ascii="宋体" w:cs="宋体" w:hint="eastAsia"/>
          <w:b/>
          <w:bCs/>
          <w:lang w:val="en-US" w:eastAsia="zh-CN" w:bidi="ar-SA"/>
        </w:rPr>
        <w:t>其他需要提示的事项</w:t>
      </w:r>
    </w:p>
    <w:p w:rsidR="004D099A" w:rsidRDefault="004D099A">
      <w:pPr>
        <w:spacing w:line="360" w:lineRule="auto"/>
        <w:ind w:firstLine="420"/>
        <w:jc w:val="both"/>
        <w:rPr>
          <w:rFonts w:eastAsia="Times New Roman"/>
          <w:sz w:val="21"/>
          <w:szCs w:val="21"/>
          <w:lang w:val="en-US" w:eastAsia="zh-CN" w:bidi="ar-SA"/>
        </w:rPr>
      </w:pPr>
      <w:bookmarkStart w:id="10" w:name="t_3_2_2646_a1_fm1"/>
      <w:bookmarkEnd w:id="10"/>
      <w:r>
        <w:rPr>
          <w:rFonts w:ascii="宋体" w:cs="宋体" w:hint="eastAsia"/>
          <w:sz w:val="21"/>
          <w:szCs w:val="21"/>
          <w:lang w:val="en-US" w:eastAsia="zh-CN" w:bidi="ar-SA"/>
        </w:rPr>
        <w:t>（1）鹏华中证同业存单AAA指数7天持有期证券投资基金（以下简称“本基金”）于</w:t>
      </w:r>
      <w:r>
        <w:rPr>
          <w:rFonts w:ascii="宋体" w:cs="宋体" w:hint="eastAsia"/>
          <w:sz w:val="21"/>
          <w:szCs w:val="21"/>
          <w:lang w:val="en-US" w:bidi="ar-SA"/>
        </w:rPr>
        <w:t>2025年</w:t>
      </w:r>
      <w:r w:rsidR="00E00EDD">
        <w:rPr>
          <w:rFonts w:ascii="宋体" w:cs="宋体"/>
          <w:sz w:val="21"/>
          <w:szCs w:val="21"/>
          <w:lang w:val="en-US" w:bidi="ar-SA"/>
        </w:rPr>
        <w:t>9</w:t>
      </w:r>
      <w:r>
        <w:rPr>
          <w:rFonts w:ascii="宋体" w:cs="宋体" w:hint="eastAsia"/>
          <w:sz w:val="21"/>
          <w:szCs w:val="21"/>
          <w:lang w:val="en-US" w:bidi="ar-SA"/>
        </w:rPr>
        <w:t>月29日</w:t>
      </w:r>
      <w:r>
        <w:rPr>
          <w:rFonts w:ascii="宋体" w:cs="宋体" w:hint="eastAsia"/>
          <w:sz w:val="21"/>
          <w:szCs w:val="21"/>
          <w:lang w:val="en-US" w:eastAsia="zh-CN" w:bidi="ar-SA"/>
        </w:rPr>
        <w:t>至2025年</w:t>
      </w:r>
      <w:r w:rsidR="00E00EDD">
        <w:rPr>
          <w:rFonts w:ascii="宋体" w:cs="宋体"/>
          <w:sz w:val="21"/>
          <w:szCs w:val="21"/>
          <w:lang w:bidi="ar-SA"/>
        </w:rPr>
        <w:t>9</w:t>
      </w:r>
      <w:r>
        <w:rPr>
          <w:rFonts w:ascii="宋体" w:cs="宋体" w:hint="eastAsia"/>
          <w:sz w:val="21"/>
          <w:szCs w:val="21"/>
          <w:lang w:val="en-US" w:eastAsia="zh-CN" w:bidi="ar-SA"/>
        </w:rPr>
        <w:t>月</w:t>
      </w:r>
      <w:r>
        <w:rPr>
          <w:rFonts w:ascii="宋体" w:cs="宋体" w:hint="eastAsia"/>
          <w:sz w:val="21"/>
          <w:szCs w:val="21"/>
          <w:lang w:bidi="ar-SA"/>
        </w:rPr>
        <w:t>30</w:t>
      </w:r>
      <w:r>
        <w:rPr>
          <w:rFonts w:ascii="宋体" w:cs="宋体" w:hint="eastAsia"/>
          <w:sz w:val="21"/>
          <w:szCs w:val="21"/>
          <w:lang w:val="en-US" w:eastAsia="zh-CN" w:bidi="ar-SA"/>
        </w:rPr>
        <w:t>日期间，单日单个基金账户累计申购（含定期定额投资，下同）金额限额由</w:t>
      </w:r>
      <w:r>
        <w:rPr>
          <w:rFonts w:ascii="宋体" w:cs="宋体" w:hint="eastAsia"/>
          <w:sz w:val="21"/>
          <w:szCs w:val="21"/>
          <w:lang w:bidi="ar-SA"/>
        </w:rPr>
        <w:t>100</w:t>
      </w:r>
      <w:r>
        <w:rPr>
          <w:rFonts w:ascii="宋体" w:cs="宋体" w:hint="eastAsia"/>
          <w:sz w:val="21"/>
          <w:szCs w:val="21"/>
          <w:lang w:val="en-US" w:eastAsia="zh-CN" w:bidi="ar-SA"/>
        </w:rPr>
        <w:t>0万元调整为5万元。如某笔申请将导致单日单个基金账户累计申购本基金的金额超过5万元（不含5万元），本基金管理人将有权拒绝该笔申请。</w:t>
      </w:r>
    </w:p>
    <w:p w:rsidR="004D099A" w:rsidRDefault="004D099A">
      <w:pPr>
        <w:spacing w:line="360" w:lineRule="auto"/>
        <w:ind w:firstLine="420"/>
        <w:jc w:val="both"/>
        <w:rPr>
          <w:rFonts w:ascii="宋体" w:cs="宋体" w:hint="eastAsia"/>
          <w:sz w:val="21"/>
          <w:szCs w:val="21"/>
          <w:lang w:val="en-US" w:eastAsia="zh-CN" w:bidi="ar-SA"/>
        </w:rPr>
      </w:pPr>
      <w:r>
        <w:rPr>
          <w:rFonts w:ascii="宋体" w:cs="宋体" w:hint="eastAsia"/>
          <w:sz w:val="21"/>
          <w:szCs w:val="21"/>
          <w:lang w:val="en-US" w:eastAsia="zh-CN" w:bidi="ar-SA"/>
        </w:rPr>
        <w:t>（2）自202</w:t>
      </w:r>
      <w:r>
        <w:rPr>
          <w:rFonts w:ascii="宋体" w:cs="宋体" w:hint="eastAsia"/>
          <w:sz w:val="21"/>
          <w:szCs w:val="21"/>
          <w:lang w:bidi="ar-SA"/>
        </w:rPr>
        <w:t>5</w:t>
      </w:r>
      <w:r>
        <w:rPr>
          <w:rFonts w:ascii="宋体" w:cs="宋体" w:hint="eastAsia"/>
          <w:sz w:val="21"/>
          <w:szCs w:val="21"/>
          <w:lang w:val="en-US" w:eastAsia="zh-CN" w:bidi="ar-SA"/>
        </w:rPr>
        <w:t>年</w:t>
      </w:r>
      <w:r w:rsidR="00E00EDD">
        <w:rPr>
          <w:rFonts w:ascii="宋体" w:cs="宋体"/>
          <w:sz w:val="21"/>
          <w:szCs w:val="21"/>
          <w:lang w:bidi="ar-SA"/>
        </w:rPr>
        <w:t>10</w:t>
      </w:r>
      <w:r>
        <w:rPr>
          <w:rFonts w:ascii="宋体" w:cs="宋体" w:hint="eastAsia"/>
          <w:sz w:val="21"/>
          <w:szCs w:val="21"/>
          <w:lang w:val="en-US" w:eastAsia="zh-CN" w:bidi="ar-SA"/>
        </w:rPr>
        <w:t>月</w:t>
      </w:r>
      <w:r w:rsidR="00E00EDD">
        <w:rPr>
          <w:rFonts w:ascii="宋体" w:cs="宋体"/>
          <w:sz w:val="21"/>
          <w:szCs w:val="21"/>
          <w:lang w:bidi="ar-SA"/>
        </w:rPr>
        <w:t>9</w:t>
      </w:r>
      <w:r>
        <w:rPr>
          <w:rFonts w:ascii="宋体" w:cs="宋体" w:hint="eastAsia"/>
          <w:sz w:val="21"/>
          <w:szCs w:val="21"/>
          <w:lang w:val="en-US" w:eastAsia="zh-CN" w:bidi="ar-SA"/>
        </w:rPr>
        <w:t>日起，本基金单日单个基金账户累计申购金额限额由5万元调整为</w:t>
      </w:r>
      <w:r>
        <w:rPr>
          <w:rFonts w:ascii="宋体" w:cs="宋体" w:hint="eastAsia"/>
          <w:sz w:val="21"/>
          <w:szCs w:val="21"/>
          <w:lang w:bidi="ar-SA"/>
        </w:rPr>
        <w:t>100</w:t>
      </w:r>
      <w:r>
        <w:rPr>
          <w:rFonts w:ascii="宋体" w:cs="宋体" w:hint="eastAsia"/>
          <w:sz w:val="21"/>
          <w:szCs w:val="21"/>
          <w:lang w:val="en-US" w:eastAsia="zh-CN" w:bidi="ar-SA"/>
        </w:rPr>
        <w:t>0万元。如某笔申请将导致单日单个基金账户累计申购本基金的金额超过</w:t>
      </w:r>
      <w:r>
        <w:rPr>
          <w:rFonts w:ascii="宋体" w:cs="宋体" w:hint="eastAsia"/>
          <w:sz w:val="21"/>
          <w:szCs w:val="21"/>
          <w:lang w:bidi="ar-SA"/>
        </w:rPr>
        <w:t>100</w:t>
      </w:r>
      <w:r>
        <w:rPr>
          <w:rFonts w:ascii="宋体" w:cs="宋体" w:hint="eastAsia"/>
          <w:sz w:val="21"/>
          <w:szCs w:val="21"/>
          <w:lang w:val="en-US" w:eastAsia="zh-CN" w:bidi="ar-SA"/>
        </w:rPr>
        <w:t>0万元（不含</w:t>
      </w:r>
      <w:r>
        <w:rPr>
          <w:rFonts w:ascii="宋体" w:cs="宋体" w:hint="eastAsia"/>
          <w:sz w:val="21"/>
          <w:szCs w:val="21"/>
          <w:lang w:bidi="ar-SA"/>
        </w:rPr>
        <w:t>10</w:t>
      </w:r>
      <w:r>
        <w:rPr>
          <w:rFonts w:ascii="宋体" w:cs="宋体" w:hint="eastAsia"/>
          <w:sz w:val="21"/>
          <w:szCs w:val="21"/>
          <w:lang w:val="en-US" w:eastAsia="zh-CN" w:bidi="ar-SA"/>
        </w:rPr>
        <w:t>00万元），本基金管理人将有权拒绝该笔申请。以上信息我公司届时不再另行公告，请投资者及早做好交易安排。</w:t>
      </w:r>
    </w:p>
    <w:p w:rsidR="004D099A" w:rsidRDefault="004D099A">
      <w:pPr>
        <w:spacing w:line="360" w:lineRule="auto"/>
        <w:ind w:firstLine="420"/>
        <w:jc w:val="both"/>
        <w:rPr>
          <w:rFonts w:ascii="宋体" w:cs="宋体" w:hint="eastAsia"/>
          <w:sz w:val="21"/>
          <w:szCs w:val="21"/>
          <w:lang w:val="en-US" w:eastAsia="zh-CN" w:bidi="ar-SA"/>
        </w:rPr>
      </w:pPr>
      <w:r>
        <w:rPr>
          <w:rFonts w:ascii="宋体" w:cs="宋体" w:hint="eastAsia"/>
          <w:sz w:val="21"/>
          <w:szCs w:val="21"/>
          <w:lang w:val="en-US" w:eastAsia="zh-CN" w:bidi="ar-SA"/>
        </w:rPr>
        <w:t>（3）本基金在暂停大额申购业务期间，赎回等其他业务仍照常办理。后续如调整上述业务限制，基金管理人届时将另行公告。</w:t>
      </w:r>
    </w:p>
    <w:p w:rsidR="004D099A" w:rsidRDefault="004D099A">
      <w:pPr>
        <w:spacing w:line="360" w:lineRule="auto"/>
        <w:ind w:firstLine="420"/>
        <w:jc w:val="both"/>
        <w:rPr>
          <w:rFonts w:ascii="宋体" w:cs="宋体" w:hint="eastAsia"/>
          <w:sz w:val="21"/>
          <w:szCs w:val="21"/>
          <w:lang w:val="en-US" w:eastAsia="zh-CN" w:bidi="ar-SA"/>
        </w:rPr>
      </w:pPr>
      <w:r>
        <w:rPr>
          <w:rFonts w:ascii="宋体" w:cs="宋体" w:hint="eastAsia"/>
          <w:sz w:val="21"/>
          <w:szCs w:val="21"/>
          <w:lang w:val="en-US" w:eastAsia="zh-CN" w:bidi="ar-SA"/>
        </w:rPr>
        <w:t xml:space="preserve">（4）本基金总规模上限为100亿元。本基金在开放日常申购、赎回业务过程中，若T日的申购、赎回申请全部确认后，基金的总规模超过100亿元，本基金管理人将对T日所有有效申购申请按照统一比例给予部分确认，确保基金的总规模不超100亿元。比例确认结果以投资者在销售网点柜台或以销售机构规定的其他方式查询申请的确认结果为准。对于每日确认比例，本基金管理人不再另行公告。未确认部分的申购款项将依法退还给投资者，由此产生的利息等损失由投资者自行承担，请投资者留意资金到账情况。详情请查阅本公司于2022年1月20日在中国证监会规定媒介披露的《关于鹏华中证同业存单 AAA 指数7天持有期证券投资基金规模控制的公告》。 </w:t>
      </w:r>
    </w:p>
    <w:p w:rsidR="004D099A" w:rsidRDefault="004D099A">
      <w:pPr>
        <w:spacing w:line="360" w:lineRule="auto"/>
        <w:ind w:firstLine="420"/>
        <w:jc w:val="both"/>
        <w:rPr>
          <w:rFonts w:eastAsia="Times New Roman"/>
          <w:sz w:val="21"/>
          <w:szCs w:val="21"/>
          <w:lang w:val="en-US" w:eastAsia="zh-CN" w:bidi="ar-SA"/>
        </w:rPr>
      </w:pPr>
      <w:r>
        <w:rPr>
          <w:rFonts w:ascii="宋体" w:cs="宋体" w:hint="eastAsia"/>
          <w:sz w:val="21"/>
          <w:szCs w:val="21"/>
          <w:lang w:val="en-US" w:eastAsia="zh-CN" w:bidi="ar-SA"/>
        </w:rPr>
        <w:lastRenderedPageBreak/>
        <w:t>（5）投资者可登录本基金管理人网站（www.phfund.com.cn），或拨打客户服务电话（400-6788-533）咨询相关信息。</w:t>
      </w:r>
    </w:p>
    <w:p w:rsidR="004D099A" w:rsidRDefault="004D099A">
      <w:pPr>
        <w:spacing w:line="360" w:lineRule="auto"/>
        <w:ind w:firstLine="420"/>
        <w:jc w:val="both"/>
        <w:rPr>
          <w:rFonts w:eastAsia="Times New Roman"/>
          <w:sz w:val="21"/>
          <w:szCs w:val="21"/>
          <w:lang w:val="en-US" w:eastAsia="zh-CN" w:bidi="ar-SA"/>
        </w:rPr>
      </w:pPr>
      <w:r>
        <w:rPr>
          <w:rFonts w:ascii="宋体" w:cs="宋体" w:hint="eastAsia"/>
          <w:sz w:val="21"/>
          <w:szCs w:val="21"/>
          <w:lang w:val="en-US" w:eastAsia="zh-CN" w:bidi="ar-SA"/>
        </w:rPr>
        <w:t> </w:t>
      </w:r>
    </w:p>
    <w:p w:rsidR="004D099A" w:rsidRDefault="004D099A">
      <w:pPr>
        <w:spacing w:line="360" w:lineRule="auto"/>
        <w:ind w:firstLine="420"/>
        <w:jc w:val="both"/>
        <w:rPr>
          <w:rFonts w:eastAsia="Times New Roman"/>
          <w:sz w:val="21"/>
          <w:szCs w:val="21"/>
          <w:lang w:val="en-US" w:eastAsia="zh-CN" w:bidi="ar-SA"/>
        </w:rPr>
      </w:pPr>
      <w:r>
        <w:rPr>
          <w:rFonts w:ascii="宋体" w:cs="宋体" w:hint="eastAsia"/>
          <w:sz w:val="21"/>
          <w:szCs w:val="21"/>
          <w:lang w:val="en-US" w:eastAsia="zh-CN" w:bidi="ar-SA"/>
        </w:rPr>
        <w:t>风险提示：本公司承诺以诚实信用、勤勉尽责的原则管理和运用基金资产，但不保证基金一定盈利，也不保证最低收益，敬请投资者注意投资风险。定期定额投资是引导投资人进行长期投资、平均投资成本的一种简单易行的投资方式。但是定期定额投资并不能规避基金投资所固有的风险，不能保证投资人获得收益，也不是替代储蓄的等效理财方式。投资者投资于本基金前应认真阅读本基金的基金合同、招募说明书(更新)、基金产品资料概要（更新）等文件，并根据自身风险承受能力选择适合自己的基金产品。</w:t>
      </w:r>
    </w:p>
    <w:p w:rsidR="004D099A" w:rsidRDefault="004D099A">
      <w:pPr>
        <w:spacing w:line="360" w:lineRule="auto"/>
        <w:ind w:firstLine="420"/>
        <w:jc w:val="both"/>
        <w:rPr>
          <w:rFonts w:eastAsia="Times New Roman"/>
          <w:sz w:val="21"/>
          <w:szCs w:val="21"/>
          <w:lang w:val="en-US" w:eastAsia="zh-CN" w:bidi="ar-SA"/>
        </w:rPr>
      </w:pPr>
      <w:r>
        <w:rPr>
          <w:rFonts w:ascii="宋体" w:cs="宋体" w:hint="eastAsia"/>
          <w:sz w:val="21"/>
          <w:szCs w:val="21"/>
          <w:lang w:val="en-US" w:eastAsia="zh-CN" w:bidi="ar-SA"/>
        </w:rPr>
        <w:t>特此公告。</w:t>
      </w:r>
    </w:p>
    <w:p w:rsidR="004D099A" w:rsidRDefault="004D099A">
      <w:pPr>
        <w:spacing w:before="280" w:after="280" w:line="360" w:lineRule="auto"/>
        <w:rPr>
          <w:rFonts w:eastAsia="Times New Roman"/>
          <w:lang w:val="en-US" w:eastAsia="zh-CN" w:bidi="ar-SA"/>
        </w:rPr>
      </w:pPr>
      <w:r>
        <w:rPr>
          <w:rFonts w:ascii="宋体" w:cs="宋体" w:hint="eastAsia"/>
          <w:lang w:val="en-US" w:eastAsia="zh-CN" w:bidi="ar-SA"/>
        </w:rPr>
        <w:t> </w:t>
      </w:r>
    </w:p>
    <w:p w:rsidR="004D099A" w:rsidRDefault="004D099A">
      <w:pPr>
        <w:spacing w:line="360" w:lineRule="auto"/>
        <w:jc w:val="right"/>
        <w:rPr>
          <w:rFonts w:eastAsia="Times New Roman"/>
          <w:sz w:val="21"/>
          <w:szCs w:val="21"/>
          <w:lang w:val="en-US" w:eastAsia="zh-CN" w:bidi="ar-SA"/>
        </w:rPr>
      </w:pPr>
      <w:r>
        <w:rPr>
          <w:rFonts w:ascii="宋体" w:cs="宋体" w:hint="eastAsia"/>
          <w:sz w:val="21"/>
          <w:szCs w:val="21"/>
          <w:lang w:val="en-US" w:eastAsia="zh-CN" w:bidi="ar-SA"/>
        </w:rPr>
        <w:t>鹏华基金管理有限公司</w:t>
      </w:r>
    </w:p>
    <w:p w:rsidR="004D099A" w:rsidRDefault="004D099A">
      <w:pPr>
        <w:spacing w:line="360" w:lineRule="auto"/>
        <w:jc w:val="right"/>
        <w:rPr>
          <w:rFonts w:hint="eastAsia"/>
          <w:sz w:val="21"/>
          <w:szCs w:val="21"/>
          <w:lang w:val="en-US" w:bidi="ar-SA"/>
        </w:rPr>
      </w:pPr>
      <w:r>
        <w:rPr>
          <w:rFonts w:ascii="宋体" w:cs="宋体" w:hint="eastAsia"/>
          <w:sz w:val="21"/>
          <w:szCs w:val="21"/>
          <w:lang w:val="en-US" w:bidi="ar-SA"/>
        </w:rPr>
        <w:t>2025年</w:t>
      </w:r>
      <w:r w:rsidR="00E00EDD">
        <w:rPr>
          <w:rFonts w:ascii="宋体" w:cs="宋体"/>
          <w:sz w:val="21"/>
          <w:szCs w:val="21"/>
          <w:lang w:val="en-US" w:bidi="ar-SA"/>
        </w:rPr>
        <w:t>9</w:t>
      </w:r>
      <w:r>
        <w:rPr>
          <w:rFonts w:ascii="宋体" w:cs="宋体" w:hint="eastAsia"/>
          <w:sz w:val="21"/>
          <w:szCs w:val="21"/>
          <w:lang w:val="en-US" w:bidi="ar-SA"/>
        </w:rPr>
        <w:t>月2</w:t>
      </w:r>
      <w:r w:rsidR="00E00EDD">
        <w:rPr>
          <w:rFonts w:ascii="宋体" w:cs="宋体"/>
          <w:sz w:val="21"/>
          <w:szCs w:val="21"/>
          <w:lang w:val="en-US" w:bidi="ar-SA"/>
        </w:rPr>
        <w:t>7</w:t>
      </w:r>
      <w:r>
        <w:rPr>
          <w:rFonts w:ascii="宋体" w:cs="宋体" w:hint="eastAsia"/>
          <w:sz w:val="21"/>
          <w:szCs w:val="21"/>
          <w:lang w:val="en-US" w:bidi="ar-SA"/>
        </w:rPr>
        <w:t>日</w:t>
      </w:r>
    </w:p>
    <w:p w:rsidR="004D099A" w:rsidRDefault="004D099A"/>
    <w:sectPr w:rsidR="004D099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Luxi Sans">
    <w:altName w:val="宋体"/>
    <w:charset w:val="86"/>
    <w:family w:val="auto"/>
    <w:pitch w:val="default"/>
    <w:sig w:usb0="00000000" w:usb1="00000000" w:usb2="00000000" w:usb3="00000000" w:csb0="00040001"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doNotValidateAgainstSchema/>
  <w:doNotDemarcateInvalidXml/>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N2ZiMWU4NjE2ZThjZWFmNTIyNjY1N2Y2MGM4NGU0YzgifQ=="/>
  </w:docVars>
  <w:rsids>
    <w:rsidRoot w:val="00A77B3E"/>
    <w:rsid w:val="000B6808"/>
    <w:rsid w:val="004D099A"/>
    <w:rsid w:val="00E00EDD"/>
    <w:rsid w:val="729F78D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Luxi Sans"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eastAsia="宋体"/>
      <w:sz w:val="24"/>
      <w:szCs w:val="24"/>
    </w:rPr>
  </w:style>
  <w:style w:type="paragraph" w:styleId="1">
    <w:name w:val="heading 1"/>
    <w:basedOn w:val="a"/>
    <w:next w:val="a"/>
    <w:qFormat/>
    <w:pPr>
      <w:keepNext/>
      <w:keepLines/>
      <w:spacing w:before="340" w:after="330" w:line="578" w:lineRule="auto"/>
      <w:outlineLvl w:val="0"/>
    </w:pPr>
    <w:rPr>
      <w:b/>
      <w:bCs/>
      <w:kern w:val="44"/>
      <w:sz w:val="44"/>
    </w:rPr>
  </w:style>
  <w:style w:type="paragraph" w:styleId="2">
    <w:name w:val="heading 2"/>
    <w:basedOn w:val="a"/>
    <w:next w:val="a"/>
    <w:qFormat/>
    <w:pPr>
      <w:keepNext/>
      <w:keepLines/>
      <w:spacing w:before="260" w:after="260" w:line="415" w:lineRule="auto"/>
      <w:outlineLvl w:val="1"/>
    </w:pPr>
    <w:rPr>
      <w:rFonts w:ascii="Luxi Sans" w:eastAsia="黑体" w:hAnsi="Luxi Sans"/>
      <w:b/>
      <w:sz w:val="32"/>
    </w:rPr>
  </w:style>
  <w:style w:type="paragraph" w:styleId="3">
    <w:name w:val="heading 3"/>
    <w:basedOn w:val="a"/>
    <w:next w:val="a"/>
    <w:qFormat/>
    <w:pPr>
      <w:keepNext/>
      <w:keepLines/>
      <w:spacing w:before="260" w:after="260" w:line="415" w:lineRule="auto"/>
      <w:outlineLvl w:val="2"/>
    </w:pPr>
    <w:rPr>
      <w:b/>
      <w:sz w:val="32"/>
    </w:rPr>
  </w:style>
  <w:style w:type="character" w:default="1" w:styleId="a0">
    <w:name w:val="Default Paragraph Font"/>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TOC5">
    <w:name w:val="TOC 5"/>
    <w:basedOn w:val="a"/>
    <w:next w:val="a"/>
    <w:pPr>
      <w:ind w:left="1680"/>
    </w:pPr>
  </w:style>
  <w:style w:type="paragraph" w:styleId="TOC3">
    <w:name w:val="TOC 3"/>
    <w:basedOn w:val="a"/>
    <w:next w:val="a"/>
    <w:pPr>
      <w:ind w:left="840"/>
    </w:pPr>
  </w:style>
  <w:style w:type="paragraph" w:styleId="a3">
    <w:name w:val="footer"/>
    <w:basedOn w:val="a"/>
    <w:pPr>
      <w:tabs>
        <w:tab w:val="center" w:pos="4153"/>
        <w:tab w:val="right" w:pos="8306"/>
      </w:tabs>
      <w:snapToGrid w:val="0"/>
    </w:pPr>
    <w:rPr>
      <w:sz w:val="18"/>
      <w:szCs w:val="18"/>
    </w:rPr>
  </w:style>
  <w:style w:type="paragraph" w:styleId="a4">
    <w:name w:val="header"/>
    <w:basedOn w:val="a"/>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style>
  <w:style w:type="paragraph" w:styleId="TOC4">
    <w:name w:val="TOC 4"/>
    <w:basedOn w:val="a"/>
    <w:next w:val="a"/>
    <w:pPr>
      <w:ind w:left="1260"/>
    </w:pPr>
  </w:style>
  <w:style w:type="paragraph" w:styleId="TOC2">
    <w:name w:val="TOC 2"/>
    <w:basedOn w:val="a"/>
    <w:next w:val="a"/>
    <w:pPr>
      <w:ind w:left="420"/>
    </w:pPr>
  </w:style>
  <w:style w:type="character" w:styleId="a5">
    <w:name w:val="Hyperlink"/>
    <w:rPr>
      <w:color w:val="0563C1"/>
      <w:u w:val="single"/>
    </w:rPr>
  </w:style>
</w:styles>
</file>

<file path=word/webSettings.xml><?xml version="1.0" encoding="utf-8"?>
<w:webSettings xmlns:r="http://schemas.openxmlformats.org/officeDocument/2006/relationships" xmlns:w="http://schemas.openxmlformats.org/wordprocessingml/2006/main">
  <w:encoding w:val="x-cp20936"/>
  <w:optimizeForBrowser/>
  <w:allowPNG/>
  <w:pixelsPerInch w:val="120"/>
  <w:targetScreenSz w:val="1024x768"/>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211</Words>
  <Characters>1207</Characters>
  <Application>Microsoft Office Word</Application>
  <DocSecurity>4</DocSecurity>
  <Lines>10</Lines>
  <Paragraphs>2</Paragraphs>
  <ScaleCrop>false</ScaleCrop>
  <Company>PHFUND</Company>
  <LinksUpToDate>false</LinksUpToDate>
  <CharactersWithSpaces>1416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缪莉芳</dc:creator>
  <cp:keywords/>
  <cp:lastModifiedBy>ZHONGM</cp:lastModifiedBy>
  <cp:revision>2</cp:revision>
  <cp:lastPrinted>2022-09-27T00:35:00Z</cp:lastPrinted>
  <dcterms:created xsi:type="dcterms:W3CDTF">2025-09-26T16:02:00Z</dcterms:created>
  <dcterms:modified xsi:type="dcterms:W3CDTF">2025-09-26T16:02:00Z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2D4B910E2503490ABC2680AE5B3FCD63</vt:lpwstr>
  </property>
</Properties>
</file>