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1F45" w:rsidRDefault="005C1F45" w:rsidP="00EA4340">
      <w:pPr>
        <w:pStyle w:val="XBRL2"/>
        <w:spacing w:before="156"/>
        <w:rPr>
          <w:lang w:eastAsia="zh-CN"/>
        </w:rPr>
      </w:pPr>
      <w:bookmarkStart w:id="0" w:name="_Toc510201001"/>
      <w:bookmarkEnd w:id="0"/>
      <w:r>
        <w:rPr>
          <w:lang w:eastAsia="zh-CN"/>
        </w:rPr>
        <w:t xml:space="preserve">　</w:t>
      </w:r>
      <w:r>
        <w:rPr>
          <w:lang w:eastAsia="zh-CN"/>
        </w:rPr>
        <w:t xml:space="preserve"> </w:t>
      </w:r>
    </w:p>
    <w:p w:rsidR="005C1F45" w:rsidRDefault="005C1F45">
      <w:pPr>
        <w:jc w:val="center"/>
      </w:pPr>
      <w:r>
        <w:rPr>
          <w:rFonts w:cs="Times New Roman" w:hint="eastAsia"/>
          <w:b/>
          <w:sz w:val="48"/>
          <w:szCs w:val="48"/>
        </w:rPr>
        <w:t>东方臻享纯债债劵型证劵投资基金2025年第2次分红公告</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560" w:lineRule="exact"/>
        <w:jc w:val="center"/>
        <w:rPr>
          <w:rFonts w:hint="eastAsia"/>
          <w:color w:val="000000"/>
          <w:kern w:val="0"/>
          <w:sz w:val="18"/>
        </w:rPr>
      </w:pPr>
      <w:r>
        <w:rPr>
          <w:rFonts w:hint="eastAsia"/>
          <w:color w:val="000000"/>
          <w:kern w:val="0"/>
          <w:sz w:val="18"/>
        </w:rPr>
        <w:t xml:space="preserve">　 </w:t>
      </w:r>
    </w:p>
    <w:p w:rsidR="005C1F45" w:rsidRDefault="005C1F45">
      <w:pPr>
        <w:spacing w:line="360" w:lineRule="auto"/>
        <w:jc w:val="center"/>
        <w:rPr>
          <w:rFonts w:hint="eastAsia"/>
        </w:rPr>
      </w:pPr>
      <w:r>
        <w:rPr>
          <w:rFonts w:hint="eastAsia"/>
          <w:b/>
          <w:bCs/>
          <w:sz w:val="24"/>
          <w:szCs w:val="30"/>
        </w:rPr>
        <w:t>公告送出日期：2025年9月25日</w:t>
      </w:r>
    </w:p>
    <w:p w:rsidR="005C1F45" w:rsidRDefault="005C1F45" w:rsidP="00EA4340">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520" w:type="dxa"/>
        <w:tblBorders>
          <w:top w:val="single" w:sz="4" w:space="0" w:color="000000"/>
          <w:left w:val="single" w:sz="4" w:space="0" w:color="000000"/>
          <w:bottom w:val="single" w:sz="4" w:space="0" w:color="000000"/>
          <w:right w:val="single" w:sz="4" w:space="0" w:color="000000"/>
        </w:tblBorders>
        <w:tblLayout w:type="fixed"/>
        <w:tblLook w:val="04A0"/>
      </w:tblPr>
      <w:tblGrid>
        <w:gridCol w:w="896"/>
        <w:gridCol w:w="998"/>
        <w:gridCol w:w="3313"/>
        <w:gridCol w:w="3313"/>
      </w:tblGrid>
      <w:tr w:rsidR="005C1F45">
        <w:tc>
          <w:tcPr>
            <w:tcW w:w="2942"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 xml:space="preserve">基金名称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东方臻享纯债债券型证券投资基金</w:t>
            </w:r>
          </w:p>
        </w:tc>
      </w:tr>
      <w:tr w:rsidR="005C1F45">
        <w:tc>
          <w:tcPr>
            <w:tcW w:w="2942"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 xml:space="preserve">基金简称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东方臻享纯债债券</w:t>
            </w:r>
          </w:p>
        </w:tc>
      </w:tr>
      <w:tr w:rsidR="005C1F45">
        <w:tc>
          <w:tcPr>
            <w:tcW w:w="2942"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 xml:space="preserve">基金主代码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003837</w:t>
            </w:r>
          </w:p>
        </w:tc>
      </w:tr>
      <w:tr w:rsidR="005C1F45">
        <w:tc>
          <w:tcPr>
            <w:tcW w:w="2942"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 xml:space="preserve">基金合同生效日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2016年11月28日</w:t>
            </w:r>
          </w:p>
        </w:tc>
      </w:tr>
      <w:tr w:rsidR="005C1F45">
        <w:tc>
          <w:tcPr>
            <w:tcW w:w="2942"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 xml:space="preserve">基金管理人名称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东方基金管理股份有限公司</w:t>
            </w:r>
          </w:p>
        </w:tc>
      </w:tr>
      <w:tr w:rsidR="005C1F45">
        <w:tc>
          <w:tcPr>
            <w:tcW w:w="2942"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 xml:space="preserve">基金托管人名称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中国建设银行股份有限公司</w:t>
            </w:r>
          </w:p>
        </w:tc>
      </w:tr>
      <w:tr w:rsidR="005C1F45">
        <w:tc>
          <w:tcPr>
            <w:tcW w:w="2942"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 xml:space="preserve">公告依据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有关法律法规、东方臻享纯债债券型证券投资基金（以下简称“本基金”）基金合同和招募说明书的相关规定。</w:t>
            </w:r>
          </w:p>
        </w:tc>
      </w:tr>
      <w:tr w:rsidR="005C1F45">
        <w:tc>
          <w:tcPr>
            <w:tcW w:w="2942"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 xml:space="preserve">收益分配基准日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2025年9月15日</w:t>
            </w:r>
          </w:p>
        </w:tc>
      </w:tr>
      <w:tr w:rsidR="005C1F45">
        <w:tc>
          <w:tcPr>
            <w:tcW w:w="2942" w:type="dxa"/>
            <w:gridSpan w:val="2"/>
            <w:tcBorders>
              <w:top w:val="single" w:sz="4" w:space="0" w:color="000000"/>
              <w:left w:val="single" w:sz="4" w:space="0" w:color="000000"/>
              <w:bottom w:val="single" w:sz="4" w:space="0" w:color="000000"/>
              <w:right w:val="single" w:sz="4" w:space="0" w:color="000000"/>
            </w:tcBorders>
            <w:vAlign w:val="center"/>
            <w:hideMark/>
          </w:tcPr>
          <w:p w:rsidR="005C1F45" w:rsidRDefault="005C1F45">
            <w:r>
              <w:rPr>
                <w:rFonts w:hint="eastAsia"/>
                <w:szCs w:val="21"/>
              </w:rPr>
              <w:t xml:space="preserve">有关年度分红次数的说明 </w:t>
            </w:r>
          </w:p>
        </w:tc>
        <w:tc>
          <w:tcPr>
            <w:tcW w:w="5578"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本次分红为2025年第2次分红</w:t>
            </w:r>
          </w:p>
        </w:tc>
      </w:tr>
      <w:tr w:rsidR="005C1F45">
        <w:tc>
          <w:tcPr>
            <w:tcW w:w="2942"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 xml:space="preserve">下属分级基金的基金简称 </w:t>
            </w:r>
          </w:p>
        </w:tc>
        <w:tc>
          <w:tcPr>
            <w:tcW w:w="5578" w:type="dxa"/>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东方臻享纯债债券A</w:t>
            </w:r>
          </w:p>
        </w:tc>
        <w:tc>
          <w:tcPr>
            <w:tcW w:w="5578" w:type="dxa"/>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东方臻享纯债债券C</w:t>
            </w:r>
          </w:p>
        </w:tc>
      </w:tr>
      <w:tr w:rsidR="005C1F45">
        <w:tc>
          <w:tcPr>
            <w:tcW w:w="2942" w:type="dxa"/>
            <w:gridSpan w:val="2"/>
            <w:tcBorders>
              <w:top w:val="single" w:sz="4" w:space="0" w:color="000000"/>
              <w:left w:val="single" w:sz="4" w:space="0" w:color="000000"/>
              <w:bottom w:val="single" w:sz="4" w:space="0" w:color="000000"/>
              <w:right w:val="single" w:sz="4" w:space="0" w:color="000000"/>
            </w:tcBorders>
            <w:vAlign w:val="center"/>
            <w:hideMark/>
          </w:tcPr>
          <w:p w:rsidR="005C1F45" w:rsidRDefault="005C1F45">
            <w:r>
              <w:rPr>
                <w:rFonts w:hint="eastAsia"/>
                <w:szCs w:val="21"/>
              </w:rPr>
              <w:t xml:space="preserve">下属分级基金的交易代码 </w:t>
            </w:r>
          </w:p>
        </w:tc>
        <w:tc>
          <w:tcPr>
            <w:tcW w:w="5578" w:type="dxa"/>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003837</w:t>
            </w:r>
          </w:p>
        </w:tc>
        <w:tc>
          <w:tcPr>
            <w:tcW w:w="5578" w:type="dxa"/>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003838</w:t>
            </w:r>
          </w:p>
        </w:tc>
      </w:tr>
      <w:tr w:rsidR="005C1F45">
        <w:tc>
          <w:tcPr>
            <w:tcW w:w="1383" w:type="dxa"/>
            <w:vMerge w:val="restart"/>
            <w:tcBorders>
              <w:top w:val="single" w:sz="4" w:space="0" w:color="000000"/>
              <w:left w:val="single" w:sz="4" w:space="0" w:color="000000"/>
              <w:bottom w:val="single" w:sz="4" w:space="0" w:color="000000"/>
              <w:right w:val="single" w:sz="4" w:space="0" w:color="000000"/>
            </w:tcBorders>
            <w:vAlign w:val="center"/>
            <w:hideMark/>
          </w:tcPr>
          <w:p w:rsidR="005C1F45" w:rsidRDefault="005C1F45">
            <w:r>
              <w:rPr>
                <w:rFonts w:hint="eastAsia"/>
                <w:szCs w:val="21"/>
              </w:rPr>
              <w:t xml:space="preserve">截止基准日下属分级基金的相关指标 </w:t>
            </w:r>
          </w:p>
        </w:tc>
        <w:tc>
          <w:tcPr>
            <w:tcW w:w="1559" w:type="dxa"/>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 xml:space="preserve">基准日下属分级基金份额净值（单位： 人民币元） </w:t>
            </w:r>
          </w:p>
        </w:tc>
        <w:tc>
          <w:tcPr>
            <w:tcW w:w="5578" w:type="dxa"/>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1.0259</w:t>
            </w:r>
          </w:p>
        </w:tc>
        <w:tc>
          <w:tcPr>
            <w:tcW w:w="5578" w:type="dxa"/>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1.0270</w:t>
            </w:r>
          </w:p>
        </w:tc>
      </w:tr>
      <w:tr w:rsidR="005C1F45">
        <w:tc>
          <w:tcPr>
            <w:tcW w:w="2942" w:type="dxa"/>
            <w:vMerge/>
            <w:tcBorders>
              <w:top w:val="single" w:sz="4" w:space="0" w:color="000000"/>
              <w:left w:val="single" w:sz="4" w:space="0" w:color="000000"/>
              <w:bottom w:val="single" w:sz="4" w:space="0" w:color="000000"/>
              <w:right w:val="single" w:sz="4" w:space="0" w:color="000000"/>
            </w:tcBorders>
            <w:vAlign w:val="center"/>
            <w:hideMark/>
          </w:tcPr>
          <w:p w:rsidR="005C1F45" w:rsidRDefault="005C1F45">
            <w:pPr>
              <w:widowControl/>
              <w:jc w:val="left"/>
            </w:pPr>
          </w:p>
        </w:tc>
        <w:tc>
          <w:tcPr>
            <w:tcW w:w="1559" w:type="dxa"/>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 xml:space="preserve">基准日下属分级基金可供分配利润（单位:人民币元） </w:t>
            </w:r>
          </w:p>
        </w:tc>
        <w:tc>
          <w:tcPr>
            <w:tcW w:w="5578" w:type="dxa"/>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13,850,732.19</w:t>
            </w:r>
          </w:p>
        </w:tc>
        <w:tc>
          <w:tcPr>
            <w:tcW w:w="5578" w:type="dxa"/>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2,109,645.89</w:t>
            </w:r>
          </w:p>
        </w:tc>
      </w:tr>
      <w:tr w:rsidR="005C1F45">
        <w:tc>
          <w:tcPr>
            <w:tcW w:w="2942" w:type="dxa"/>
            <w:gridSpan w:val="2"/>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 xml:space="preserve">本次下属分级基金分红方案（单位：元/10份基金份额） </w:t>
            </w:r>
          </w:p>
        </w:tc>
        <w:tc>
          <w:tcPr>
            <w:tcW w:w="5578" w:type="dxa"/>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0.0700</w:t>
            </w:r>
          </w:p>
        </w:tc>
        <w:tc>
          <w:tcPr>
            <w:tcW w:w="5578" w:type="dxa"/>
            <w:tcBorders>
              <w:top w:val="single" w:sz="4" w:space="0" w:color="000000"/>
              <w:left w:val="single" w:sz="4" w:space="0" w:color="000000"/>
              <w:bottom w:val="single" w:sz="4" w:space="0" w:color="000000"/>
              <w:right w:val="single" w:sz="4" w:space="0" w:color="000000"/>
            </w:tcBorders>
            <w:hideMark/>
          </w:tcPr>
          <w:p w:rsidR="005C1F45" w:rsidRDefault="005C1F45">
            <w:r>
              <w:rPr>
                <w:rFonts w:hint="eastAsia"/>
                <w:szCs w:val="21"/>
              </w:rPr>
              <w:t>0.0700</w:t>
            </w:r>
          </w:p>
        </w:tc>
      </w:tr>
    </w:tbl>
    <w:p w:rsidR="005C1F45" w:rsidRDefault="005C1F45" w:rsidP="00EA4340">
      <w:pPr>
        <w:adjustRightInd w:val="0"/>
        <w:snapToGrid w:val="0"/>
        <w:spacing w:beforeLines="50" w:line="360" w:lineRule="auto"/>
        <w:jc w:val="left"/>
        <w:rPr>
          <w:rFonts w:hint="eastAsia"/>
        </w:rPr>
      </w:pPr>
      <w:r>
        <w:rPr>
          <w:rFonts w:hint="eastAsia"/>
        </w:rPr>
        <w:t>注：</w:t>
      </w:r>
      <w:r>
        <w:rPr>
          <w:rFonts w:hint="eastAsia"/>
          <w:szCs w:val="24"/>
          <w:lang/>
        </w:rPr>
        <w:t xml:space="preserve">按照《东方臻享纯债债券型证券投资基金基金合同》的约定，在符合有关基金分红条件的前提下，本基金每年收益分配次数最多为4次，每份基金份额每次收益分配比例不得低于收益分配基准日每份基金份额该次可供分配利润的30%，若《基金合同》生效不满3个月可不进行收益分配。 </w:t>
      </w:r>
    </w:p>
    <w:p w:rsidR="005C1F45" w:rsidRDefault="005C1F45" w:rsidP="00EA4340">
      <w:pPr>
        <w:pStyle w:val="XBRLTitle1"/>
        <w:spacing w:before="156" w:line="360" w:lineRule="auto"/>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与分红相关的其他信息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8"/>
        <w:gridCol w:w="4817"/>
      </w:tblGrid>
      <w:tr w:rsidR="005C1F45">
        <w:tc>
          <w:tcPr>
            <w:tcW w:w="3927"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2025年9月26日</w:t>
            </w:r>
          </w:p>
        </w:tc>
      </w:tr>
      <w:tr w:rsidR="005C1F45">
        <w:tc>
          <w:tcPr>
            <w:tcW w:w="3927"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2025年9月26日</w:t>
            </w:r>
          </w:p>
        </w:tc>
      </w:tr>
      <w:tr w:rsidR="005C1F45">
        <w:tc>
          <w:tcPr>
            <w:tcW w:w="3927"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2025年9月29日</w:t>
            </w:r>
          </w:p>
        </w:tc>
      </w:tr>
      <w:tr w:rsidR="005C1F45">
        <w:tc>
          <w:tcPr>
            <w:tcW w:w="3927"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权益登记日在东方基金管理股份有限公司登记在册的本基金全体基金份额持有人。</w:t>
            </w:r>
          </w:p>
        </w:tc>
      </w:tr>
      <w:tr w:rsidR="005C1F45">
        <w:tc>
          <w:tcPr>
            <w:tcW w:w="3927" w:type="dxa"/>
            <w:tcBorders>
              <w:top w:val="single" w:sz="4" w:space="0" w:color="auto"/>
              <w:left w:val="single" w:sz="4" w:space="0" w:color="auto"/>
              <w:bottom w:val="single" w:sz="4" w:space="0" w:color="auto"/>
              <w:right w:val="single" w:sz="4" w:space="0" w:color="auto"/>
            </w:tcBorders>
            <w:vAlign w:val="center"/>
            <w:hideMark/>
          </w:tcPr>
          <w:p w:rsidR="005C1F45" w:rsidRDefault="005C1F45">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选择红利再投资的基金份额持有人，其转投的基金份额将按照2025年9月26日除息后的基金份额净值为准进行确认。</w:t>
            </w:r>
          </w:p>
        </w:tc>
      </w:tr>
      <w:tr w:rsidR="005C1F45">
        <w:tc>
          <w:tcPr>
            <w:tcW w:w="3927"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根据财政部、国家税务总局相关法律法规，基金向基金份额持有人分配的基金收益，暂免征收所得税。</w:t>
            </w:r>
          </w:p>
        </w:tc>
      </w:tr>
      <w:tr w:rsidR="005C1F45">
        <w:tc>
          <w:tcPr>
            <w:tcW w:w="3927"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5C1F45" w:rsidRDefault="005C1F45">
            <w:r>
              <w:rPr>
                <w:rFonts w:hint="eastAsia"/>
                <w:szCs w:val="21"/>
              </w:rPr>
              <w:t>本次分红免收分红手续费。</w:t>
            </w:r>
          </w:p>
        </w:tc>
      </w:tr>
    </w:tbl>
    <w:p w:rsidR="005C1F45" w:rsidRDefault="005C1F45" w:rsidP="00EA4340">
      <w:pPr>
        <w:pStyle w:val="XBRLTitle1"/>
        <w:spacing w:before="156" w:line="360" w:lineRule="auto"/>
        <w:jc w:val="left"/>
        <w:rPr>
          <w:rFonts w:hint="eastAsia"/>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5C1F45" w:rsidRDefault="005C1F45">
      <w:pPr>
        <w:spacing w:line="360" w:lineRule="auto"/>
        <w:ind w:firstLineChars="200" w:firstLine="420"/>
        <w:jc w:val="left"/>
        <w:rPr>
          <w:rFonts w:hint="eastAsia"/>
        </w:rPr>
      </w:pPr>
      <w:r>
        <w:rPr>
          <w:rFonts w:hint="eastAsia"/>
          <w:szCs w:val="21"/>
        </w:rPr>
        <w:t>3.1 本次收益分配公告已经本基金托管人中国建设银行股份有限公司复核。</w:t>
      </w:r>
      <w:r>
        <w:rPr>
          <w:rFonts w:hint="eastAsia"/>
          <w:szCs w:val="21"/>
        </w:rPr>
        <w:br/>
        <w:t xml:space="preserve">　　3.2 本基金收益分配方式分为现金分红与红利再投资，基金份额持有人可自行选择。选择红利再投资的，红利再投资转换的基金份额免收申购费，未选择分红方式的，则默认为现金分红。</w:t>
      </w:r>
      <w:r>
        <w:rPr>
          <w:rFonts w:hint="eastAsia"/>
          <w:szCs w:val="21"/>
        </w:rPr>
        <w:br/>
        <w:t xml:space="preserve">　　3.3 当投资者的现金红利小于最低现金红利发放限额1.00元（不含1.00元）时，注册登记机构则将投资者的现金红利按2025年9月26日除息后的基金份额净值自动转为基金份额。</w:t>
      </w:r>
      <w:r>
        <w:rPr>
          <w:rFonts w:hint="eastAsia"/>
          <w:szCs w:val="21"/>
        </w:rPr>
        <w:br/>
        <w:t xml:space="preserve">　　3.4 选择现金分红方式的基金份额持有人的红利款将于2025年9月29日自基金托管账户划出。2025年9月30日起基金份额持有人可以查询红利到账情况（具体到账时间以各销售机构为准）。选择红利再投资分红方式的基金份额持有人所转投的基金份额于2025年9月30日起可以查询。冻结基金份额的红利发放按照红利再投资处理。</w:t>
      </w:r>
      <w:r>
        <w:rPr>
          <w:rFonts w:hint="eastAsia"/>
          <w:szCs w:val="21"/>
        </w:rPr>
        <w:br/>
        <w:t xml:space="preserve">　　3.5 投资者可通过本基金管理人客户服务电话或本基金管理人网站查询、变更当前的分红方式，亦可在每个基金开放日的交易时间内通过销售机构修改分红方式。本次分红方式将按照投资者在权益登记日之前（不含本产品本次分红的权益登记日）最后一次选择且经本基金注册登记机构确认的分红方式为准。</w:t>
      </w:r>
      <w:r>
        <w:rPr>
          <w:rFonts w:hint="eastAsia"/>
          <w:szCs w:val="21"/>
        </w:rPr>
        <w:br/>
        <w:t xml:space="preserve">　　3.6 本公告的解释权归本公司所有。</w:t>
      </w:r>
      <w:r>
        <w:rPr>
          <w:rFonts w:hint="eastAsia"/>
          <w:szCs w:val="21"/>
        </w:rPr>
        <w:br/>
        <w:t xml:space="preserve">　　3.7 咨询方式</w:t>
      </w:r>
      <w:r>
        <w:rPr>
          <w:rFonts w:hint="eastAsia"/>
          <w:szCs w:val="21"/>
        </w:rPr>
        <w:br/>
        <w:t xml:space="preserve">　　本基金管理人网站：www.orient-fund.com；客户服务电话： 400-628-5888。</w:t>
      </w:r>
      <w:r>
        <w:rPr>
          <w:rFonts w:hint="eastAsia"/>
          <w:szCs w:val="21"/>
        </w:rPr>
        <w:br/>
        <w:t xml:space="preserve">　　特此公告。</w:t>
      </w:r>
    </w:p>
    <w:p w:rsidR="005C1F45" w:rsidRDefault="005C1F45" w:rsidP="00EA4340">
      <w:pPr>
        <w:spacing w:line="360" w:lineRule="auto"/>
        <w:ind w:firstLineChars="600" w:firstLine="1446"/>
        <w:jc w:val="right"/>
        <w:rPr>
          <w:rFonts w:hint="eastAsia"/>
          <w:b/>
          <w:bCs/>
          <w:sz w:val="24"/>
          <w:szCs w:val="30"/>
        </w:rPr>
      </w:pPr>
      <w:r>
        <w:rPr>
          <w:rFonts w:hint="eastAsia"/>
          <w:b/>
          <w:bCs/>
          <w:sz w:val="24"/>
          <w:szCs w:val="30"/>
        </w:rPr>
        <w:t xml:space="preserve">　 </w:t>
      </w:r>
    </w:p>
    <w:p w:rsidR="005C1F45" w:rsidRDefault="005C1F45" w:rsidP="00EA4340">
      <w:pPr>
        <w:spacing w:line="360" w:lineRule="auto"/>
        <w:ind w:firstLineChars="600" w:firstLine="1446"/>
        <w:jc w:val="right"/>
        <w:rPr>
          <w:rFonts w:hint="eastAsia"/>
          <w:b/>
          <w:bCs/>
          <w:sz w:val="24"/>
          <w:szCs w:val="30"/>
        </w:rPr>
      </w:pPr>
      <w:r>
        <w:rPr>
          <w:rFonts w:hint="eastAsia"/>
          <w:b/>
          <w:bCs/>
          <w:sz w:val="24"/>
          <w:szCs w:val="30"/>
        </w:rPr>
        <w:t xml:space="preserve">　 </w:t>
      </w:r>
    </w:p>
    <w:p w:rsidR="005C1F45" w:rsidRDefault="005C1F45">
      <w:pPr>
        <w:spacing w:line="360" w:lineRule="auto"/>
        <w:ind w:firstLineChars="600" w:firstLine="1446"/>
        <w:jc w:val="right"/>
        <w:rPr>
          <w:rFonts w:hint="eastAsia"/>
        </w:rPr>
      </w:pPr>
      <w:r>
        <w:rPr>
          <w:rFonts w:hint="eastAsia"/>
          <w:b/>
          <w:bCs/>
          <w:sz w:val="24"/>
          <w:szCs w:val="24"/>
        </w:rPr>
        <w:t>东方基金管理股份有限公司</w:t>
      </w:r>
    </w:p>
    <w:p w:rsidR="005C1F45" w:rsidRDefault="005C1F45">
      <w:pPr>
        <w:spacing w:line="360" w:lineRule="auto"/>
        <w:ind w:firstLineChars="600" w:firstLine="1446"/>
        <w:jc w:val="right"/>
        <w:rPr>
          <w:rFonts w:hint="eastAsia"/>
        </w:rPr>
      </w:pPr>
      <w:r>
        <w:rPr>
          <w:rFonts w:hint="eastAsia"/>
          <w:b/>
          <w:bCs/>
          <w:sz w:val="24"/>
          <w:szCs w:val="24"/>
        </w:rPr>
        <w:t>2025年9月25日</w:t>
      </w:r>
      <w:bookmarkEnd w:id="31"/>
    </w:p>
    <w:sectPr w:rsidR="005C1F45">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45" w:rsidRDefault="005C1F45">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5C1F45" w:rsidRDefault="005C1F45">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45" w:rsidRDefault="005C1F45">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45" w:rsidRDefault="005C1F45">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5C1F45" w:rsidRDefault="005C1F45">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45" w:rsidRDefault="005C1F45">
    <w:pPr>
      <w:pStyle w:val="a7"/>
      <w:jc w:val="right"/>
      <w:rPr>
        <w:rFonts w:hint="eastAsia"/>
      </w:rPr>
    </w:pPr>
    <w:r>
      <w:rPr>
        <w:rFonts w:hint="eastAsia"/>
      </w:rPr>
      <w:t>东方臻享纯债债劵型证劵投资基金2025年第2次分红公告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80"/>
  <w:doNotDisplayPageBoundaries/>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457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4340"/>
    <w:rsid w:val="00254639"/>
    <w:rsid w:val="005C1F45"/>
    <w:rsid w:val="00EA43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rFonts w:cs="Times New Roman"/>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cs="Times New Roman"/>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rFonts w:cs="Times New Roman"/>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cs="Times New Roman"/>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Cambria" w:eastAsia="宋体" w:hAnsi="Cambria" w:cs="Times New Roman"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character" w:customStyle="1" w:styleId="5Char">
    <w:name w:val="标题 5 Char"/>
    <w:basedOn w:val="a0"/>
    <w:link w:val="5"/>
    <w:uiPriority w:val="9"/>
    <w:semiHidden/>
    <w:locked/>
    <w:rPr>
      <w:b/>
      <w:bCs/>
      <w:kern w:val="2"/>
      <w:sz w:val="24"/>
      <w:szCs w:val="24"/>
    </w:rPr>
  </w:style>
  <w:style w:type="character" w:customStyle="1" w:styleId="6Char">
    <w:name w:val="标题 6 Char"/>
    <w:basedOn w:val="a0"/>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basedOn w:val="a0"/>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basedOn w:val="a0"/>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basedOn w:val="a0"/>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basedOn w:val="a0"/>
    <w:link w:val="aa"/>
    <w:locked/>
    <w:rPr>
      <w:rFonts w:ascii="Cambria" w:hAnsi="Cambria" w:cs="Times New Roman" w:hint="default"/>
      <w:b/>
      <w:bCs/>
      <w:kern w:val="24"/>
      <w:sz w:val="32"/>
      <w:szCs w:val="32"/>
    </w:rPr>
  </w:style>
  <w:style w:type="paragraph" w:styleId="ab">
    <w:name w:val="Date"/>
    <w:basedOn w:val="a"/>
    <w:next w:val="a"/>
    <w:link w:val="Char14"/>
    <w:rPr>
      <w:rFonts w:cs="Times New Roman" w:hint="eastAsia"/>
      <w:sz w:val="32"/>
      <w:lang/>
    </w:rPr>
  </w:style>
  <w:style w:type="character" w:customStyle="1" w:styleId="Char5">
    <w:name w:val="日期 Char"/>
    <w:basedOn w:val="a0"/>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basedOn w:val="a0"/>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basedOn w:val="a0"/>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basedOn w:val="a0"/>
    <w:link w:val="1"/>
    <w:uiPriority w:val="9"/>
    <w:locked/>
    <w:rPr>
      <w:b/>
      <w:bCs/>
      <w:kern w:val="44"/>
      <w:sz w:val="44"/>
      <w:szCs w:val="44"/>
    </w:rPr>
  </w:style>
  <w:style w:type="character" w:customStyle="1" w:styleId="21">
    <w:name w:val="标题 2 字符"/>
    <w:basedOn w:val="a0"/>
    <w:link w:val="2"/>
    <w:uiPriority w:val="9"/>
    <w:locked/>
    <w:rPr>
      <w:rFonts w:ascii="Cambria" w:eastAsia="宋体" w:hAnsi="Cambria" w:cs="Times New Roman" w:hint="default"/>
      <w:b/>
      <w:bCs/>
      <w:kern w:val="2"/>
      <w:sz w:val="32"/>
      <w:szCs w:val="32"/>
    </w:rPr>
  </w:style>
  <w:style w:type="character" w:customStyle="1" w:styleId="31">
    <w:name w:val="标题 3 字符"/>
    <w:basedOn w:val="a0"/>
    <w:link w:val="3"/>
    <w:uiPriority w:val="9"/>
    <w:locked/>
    <w:rPr>
      <w:b/>
      <w:bCs/>
      <w:kern w:val="2"/>
      <w:sz w:val="32"/>
      <w:szCs w:val="32"/>
    </w:rPr>
  </w:style>
  <w:style w:type="character" w:customStyle="1" w:styleId="40">
    <w:name w:val="标题 4 字符"/>
    <w:basedOn w:val="a0"/>
    <w:link w:val="4"/>
    <w:locked/>
    <w:rPr>
      <w:rFonts w:ascii="Cambria" w:eastAsia="宋体" w:hAnsi="Cambria" w:cs="Times New Roman" w:hint="default"/>
      <w:b/>
      <w:bCs/>
      <w:kern w:val="2"/>
      <w:sz w:val="24"/>
      <w:szCs w:val="24"/>
    </w:rPr>
  </w:style>
  <w:style w:type="character" w:customStyle="1" w:styleId="af0">
    <w:name w:val="脚注文本 字符"/>
    <w:basedOn w:val="a0"/>
    <w:link w:val="a6"/>
    <w:locked/>
    <w:rPr>
      <w:kern w:val="2"/>
      <w:sz w:val="18"/>
      <w:szCs w:val="18"/>
    </w:rPr>
  </w:style>
  <w:style w:type="character" w:customStyle="1" w:styleId="af1">
    <w:name w:val="页眉 字符"/>
    <w:basedOn w:val="a0"/>
    <w:link w:val="a7"/>
    <w:locked/>
    <w:rPr>
      <w:kern w:val="2"/>
      <w:sz w:val="18"/>
      <w:szCs w:val="18"/>
    </w:rPr>
  </w:style>
  <w:style w:type="character" w:customStyle="1" w:styleId="af2">
    <w:name w:val="页脚 字符"/>
    <w:basedOn w:val="a0"/>
    <w:link w:val="a8"/>
    <w:uiPriority w:val="99"/>
    <w:locked/>
    <w:rPr>
      <w:kern w:val="2"/>
      <w:sz w:val="18"/>
      <w:szCs w:val="18"/>
    </w:rPr>
  </w:style>
  <w:style w:type="character" w:customStyle="1" w:styleId="af3">
    <w:name w:val="标题 字符"/>
    <w:basedOn w:val="a0"/>
    <w:link w:val="a9"/>
    <w:uiPriority w:val="10"/>
    <w:locked/>
    <w:rPr>
      <w:rFonts w:ascii="Cambria" w:eastAsia="宋体" w:hAnsi="Cambria" w:cs="Times New Roman" w:hint="default"/>
      <w:b/>
      <w:bCs/>
      <w:kern w:val="2"/>
      <w:sz w:val="32"/>
      <w:szCs w:val="32"/>
    </w:rPr>
  </w:style>
  <w:style w:type="character" w:customStyle="1" w:styleId="af4">
    <w:name w:val="副标题 字符"/>
    <w:basedOn w:val="a0"/>
    <w:link w:val="aa"/>
    <w:locked/>
    <w:rPr>
      <w:rFonts w:ascii="Calibri" w:eastAsia="宋体" w:hAnsi="Calibri" w:cs="Times New Roman" w:hint="default"/>
      <w:b/>
      <w:bCs/>
      <w:kern w:val="24"/>
      <w:sz w:val="32"/>
      <w:szCs w:val="32"/>
    </w:rPr>
  </w:style>
  <w:style w:type="character" w:customStyle="1" w:styleId="af5">
    <w:name w:val="日期 字符"/>
    <w:basedOn w:val="a0"/>
    <w:link w:val="ab"/>
    <w:locked/>
    <w:rPr>
      <w:kern w:val="2"/>
      <w:sz w:val="21"/>
    </w:rPr>
  </w:style>
  <w:style w:type="character" w:customStyle="1" w:styleId="af6">
    <w:name w:val="文档结构图 字符"/>
    <w:basedOn w:val="a0"/>
    <w:link w:val="ac"/>
    <w:locked/>
    <w:rPr>
      <w:rFonts w:ascii="Microsoft YaHei UI" w:eastAsia="Microsoft YaHei UI" w:hAnsi="Microsoft YaHei UI" w:hint="eastAsia"/>
      <w:kern w:val="2"/>
      <w:sz w:val="18"/>
      <w:szCs w:val="18"/>
    </w:rPr>
  </w:style>
  <w:style w:type="character" w:customStyle="1" w:styleId="af7">
    <w:name w:val="批注框文本 字符"/>
    <w:basedOn w:val="a0"/>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basedOn w:val="a0"/>
    <w:link w:val="a6"/>
    <w:locked/>
    <w:rPr>
      <w:kern w:val="2"/>
      <w:sz w:val="18"/>
      <w:szCs w:val="18"/>
    </w:rPr>
  </w:style>
  <w:style w:type="character" w:customStyle="1" w:styleId="Char10">
    <w:name w:val="页眉 Char1"/>
    <w:basedOn w:val="a0"/>
    <w:link w:val="a7"/>
    <w:locked/>
    <w:rPr>
      <w:kern w:val="2"/>
      <w:sz w:val="18"/>
      <w:szCs w:val="18"/>
    </w:rPr>
  </w:style>
  <w:style w:type="character" w:customStyle="1" w:styleId="Char11">
    <w:name w:val="页脚 Char1"/>
    <w:basedOn w:val="a0"/>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basedOn w:val="a0"/>
    <w:link w:val="ac"/>
    <w:locked/>
    <w:rPr>
      <w:rFonts w:ascii="宋体" w:eastAsia="宋体" w:hAnsi="宋体" w:hint="eastAsia"/>
      <w:kern w:val="2"/>
      <w:sz w:val="18"/>
      <w:szCs w:val="18"/>
    </w:rPr>
  </w:style>
  <w:style w:type="character" w:customStyle="1" w:styleId="Char16">
    <w:name w:val="批注框文本 Char1"/>
    <w:basedOn w:val="a0"/>
    <w:link w:val="ad"/>
    <w:uiPriority w:val="99"/>
    <w:semiHidden/>
    <w:locked/>
    <w:rPr>
      <w:kern w:val="2"/>
      <w:sz w:val="18"/>
      <w:szCs w:val="18"/>
    </w:rPr>
  </w:style>
  <w:style w:type="character" w:customStyle="1" w:styleId="5Char1">
    <w:name w:val="标题 5 Char1"/>
    <w:basedOn w:val="a0"/>
    <w:link w:val="5"/>
    <w:uiPriority w:val="9"/>
    <w:semiHidden/>
    <w:locked/>
    <w:rPr>
      <w:b/>
      <w:bCs/>
      <w:kern w:val="2"/>
      <w:sz w:val="24"/>
      <w:szCs w:val="24"/>
    </w:rPr>
  </w:style>
  <w:style w:type="character" w:customStyle="1" w:styleId="6Char1">
    <w:name w:val="标题 6 Char1"/>
    <w:basedOn w:val="a0"/>
    <w:link w:val="6"/>
    <w:uiPriority w:val="9"/>
    <w:semiHidden/>
    <w:locked/>
    <w:rPr>
      <w:rFonts w:ascii="Cambria" w:eastAsia="宋体" w:hAnsi="Cambria" w:cs="Times New Roman" w:hint="default"/>
      <w:b/>
      <w:bCs/>
      <w:kern w:val="2"/>
      <w:sz w:val="24"/>
      <w:szCs w:val="24"/>
    </w:rPr>
  </w:style>
  <w:style w:type="character" w:customStyle="1" w:styleId="12">
    <w:name w:val="页眉 字符1"/>
    <w:basedOn w:val="a0"/>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8ABE4-63D7-4213-A308-D26D4212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4</DocSecurity>
  <Lines>11</Lines>
  <Paragraphs>3</Paragraphs>
  <ScaleCrop>false</ScaleCrop>
  <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2025-09-24T16:00:00Z</dcterms:created>
  <dcterms:modified xsi:type="dcterms:W3CDTF">2025-09-24T16:00:00Z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