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B14704" w:rsidRDefault="002F32FE" w:rsidP="00DA1037">
      <w:pPr>
        <w:pStyle w:val="Default"/>
        <w:jc w:val="center"/>
        <w:rPr>
          <w:rFonts w:hAnsi="宋体"/>
          <w:b/>
          <w:sz w:val="30"/>
          <w:szCs w:val="30"/>
        </w:rPr>
      </w:pPr>
      <w:r w:rsidRPr="00B14704">
        <w:rPr>
          <w:rFonts w:hAnsi="宋体" w:hint="eastAsia"/>
          <w:b/>
          <w:sz w:val="30"/>
          <w:szCs w:val="30"/>
        </w:rPr>
        <w:t>易方达</w:t>
      </w:r>
      <w:r w:rsidR="00DA1037" w:rsidRPr="00B14704">
        <w:rPr>
          <w:rFonts w:hAnsi="宋体" w:hint="eastAsia"/>
          <w:b/>
          <w:sz w:val="30"/>
          <w:szCs w:val="30"/>
        </w:rPr>
        <w:t>中债</w:t>
      </w:r>
      <w:r w:rsidR="00C62DEE" w:rsidRPr="00B14704">
        <w:rPr>
          <w:rFonts w:hAnsi="宋体" w:hint="eastAsia"/>
          <w:b/>
          <w:sz w:val="30"/>
          <w:szCs w:val="30"/>
        </w:rPr>
        <w:t>7-10</w:t>
      </w:r>
      <w:r w:rsidR="00DA1037" w:rsidRPr="00B14704">
        <w:rPr>
          <w:rFonts w:hAnsi="宋体" w:hint="eastAsia"/>
          <w:b/>
          <w:sz w:val="30"/>
          <w:szCs w:val="30"/>
        </w:rPr>
        <w:t>年</w:t>
      </w:r>
      <w:r w:rsidR="00C62DEE" w:rsidRPr="00B14704">
        <w:rPr>
          <w:rFonts w:hAnsi="宋体" w:hint="eastAsia"/>
          <w:b/>
          <w:sz w:val="30"/>
          <w:szCs w:val="30"/>
        </w:rPr>
        <w:t>期</w:t>
      </w:r>
      <w:r w:rsidR="00DA1037" w:rsidRPr="00B14704">
        <w:rPr>
          <w:rFonts w:hAnsi="宋体" w:hint="eastAsia"/>
          <w:b/>
          <w:sz w:val="30"/>
          <w:szCs w:val="30"/>
        </w:rPr>
        <w:t>国开行债券指数</w:t>
      </w:r>
      <w:r w:rsidR="00C046E8" w:rsidRPr="00B14704">
        <w:rPr>
          <w:rFonts w:hAnsi="宋体" w:hint="eastAsia"/>
          <w:b/>
          <w:sz w:val="30"/>
          <w:szCs w:val="30"/>
        </w:rPr>
        <w:t>证券投资基金</w:t>
      </w:r>
      <w:r w:rsidRPr="00B14704">
        <w:rPr>
          <w:rFonts w:hAnsi="宋体" w:hint="eastAsia"/>
          <w:b/>
          <w:sz w:val="30"/>
          <w:szCs w:val="30"/>
        </w:rPr>
        <w:t>暂停机构客户</w:t>
      </w:r>
      <w:r w:rsidR="00560EF2" w:rsidRPr="00B14704">
        <w:rPr>
          <w:rFonts w:hAnsi="宋体" w:hint="eastAsia"/>
          <w:b/>
          <w:sz w:val="30"/>
          <w:szCs w:val="30"/>
        </w:rPr>
        <w:t>大额申购及大额</w:t>
      </w:r>
      <w:r w:rsidRPr="00B14704">
        <w:rPr>
          <w:rFonts w:hAnsi="宋体" w:hint="eastAsia"/>
          <w:b/>
          <w:sz w:val="30"/>
          <w:szCs w:val="30"/>
        </w:rPr>
        <w:t>转换转入业务的公告</w:t>
      </w:r>
    </w:p>
    <w:p w:rsidR="00D327FA" w:rsidRPr="00B14704" w:rsidRDefault="002F32FE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B14704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0546A7" w:rsidRPr="000546A7">
        <w:rPr>
          <w:rFonts w:ascii="宋体" w:eastAsia="宋体" w:hAnsi="宋体" w:hint="eastAsia"/>
          <w:b/>
          <w:color w:val="000000"/>
          <w:sz w:val="24"/>
          <w:szCs w:val="24"/>
        </w:rPr>
        <w:t>2025年</w:t>
      </w:r>
      <w:r>
        <w:rPr>
          <w:rFonts w:ascii="宋体" w:eastAsia="宋体" w:hAnsi="宋体"/>
          <w:b/>
          <w:color w:val="000000"/>
          <w:sz w:val="24"/>
          <w:szCs w:val="24"/>
        </w:rPr>
        <w:t>9</w:t>
      </w:r>
      <w:r w:rsidR="000546A7" w:rsidRPr="000546A7">
        <w:rPr>
          <w:rFonts w:ascii="宋体" w:eastAsia="宋体" w:hAnsi="宋体" w:hint="eastAsia"/>
          <w:b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b/>
          <w:color w:val="000000"/>
          <w:sz w:val="24"/>
          <w:szCs w:val="24"/>
        </w:rPr>
        <w:t>2</w:t>
      </w:r>
      <w:r>
        <w:rPr>
          <w:rFonts w:ascii="宋体" w:eastAsia="宋体" w:hAnsi="宋体"/>
          <w:b/>
          <w:color w:val="000000"/>
          <w:sz w:val="24"/>
          <w:szCs w:val="24"/>
        </w:rPr>
        <w:t>5</w:t>
      </w:r>
      <w:r w:rsidR="000546A7" w:rsidRPr="000546A7">
        <w:rPr>
          <w:rFonts w:ascii="宋体" w:eastAsia="宋体" w:hAnsi="宋体" w:hint="eastAsia"/>
          <w:b/>
          <w:color w:val="000000"/>
          <w:sz w:val="24"/>
          <w:szCs w:val="24"/>
        </w:rPr>
        <w:t>日</w:t>
      </w:r>
    </w:p>
    <w:p w:rsidR="000F7509" w:rsidRPr="00B14704" w:rsidRDefault="000F750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B14704" w:rsidRDefault="002F32FE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B14704">
        <w:rPr>
          <w:rFonts w:ascii="宋体" w:hAnsi="宋体"/>
          <w:bCs w:val="0"/>
          <w:sz w:val="24"/>
          <w:szCs w:val="24"/>
        </w:rPr>
        <w:t>1</w:t>
      </w:r>
      <w:r w:rsidRPr="00B14704">
        <w:rPr>
          <w:rFonts w:ascii="宋体" w:hAnsi="宋体" w:hint="eastAsia"/>
          <w:bCs w:val="0"/>
          <w:sz w:val="24"/>
          <w:szCs w:val="24"/>
        </w:rPr>
        <w:t>.</w:t>
      </w:r>
      <w:r w:rsidRPr="00B14704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1862"/>
        <w:gridCol w:w="1701"/>
        <w:gridCol w:w="1701"/>
        <w:gridCol w:w="1600"/>
      </w:tblGrid>
      <w:tr w:rsidR="001075BC" w:rsidTr="00763886">
        <w:trPr>
          <w:jc w:val="center"/>
        </w:trPr>
        <w:tc>
          <w:tcPr>
            <w:tcW w:w="2244" w:type="dxa"/>
          </w:tcPr>
          <w:p w:rsidR="00FA1E5C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4"/>
          </w:tcPr>
          <w:p w:rsidR="00FA1E5C" w:rsidRPr="00B14704" w:rsidRDefault="002F32FE" w:rsidP="00C62DEE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年期国开行债券指数证券投资基金</w:t>
            </w:r>
          </w:p>
        </w:tc>
      </w:tr>
      <w:tr w:rsidR="001075BC" w:rsidTr="00B34509">
        <w:trPr>
          <w:jc w:val="center"/>
        </w:trPr>
        <w:tc>
          <w:tcPr>
            <w:tcW w:w="2244" w:type="dxa"/>
          </w:tcPr>
          <w:p w:rsidR="00FA1E5C" w:rsidRPr="00B14704" w:rsidRDefault="002F32FE" w:rsidP="00FA1E5C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4"/>
          </w:tcPr>
          <w:p w:rsidR="00FA1E5C" w:rsidRPr="00B14704" w:rsidRDefault="002F32FE" w:rsidP="00C62DE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</w:p>
        </w:tc>
      </w:tr>
      <w:tr w:rsidR="001075BC" w:rsidTr="0021790E">
        <w:trPr>
          <w:jc w:val="center"/>
        </w:trPr>
        <w:tc>
          <w:tcPr>
            <w:tcW w:w="2244" w:type="dxa"/>
            <w:vAlign w:val="center"/>
          </w:tcPr>
          <w:p w:rsidR="00FA1E5C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4"/>
            <w:vAlign w:val="center"/>
          </w:tcPr>
          <w:p w:rsidR="00FA1E5C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003358</w:t>
            </w:r>
          </w:p>
        </w:tc>
      </w:tr>
      <w:tr w:rsidR="001075BC" w:rsidTr="007F38CD">
        <w:trPr>
          <w:jc w:val="center"/>
        </w:trPr>
        <w:tc>
          <w:tcPr>
            <w:tcW w:w="2244" w:type="dxa"/>
          </w:tcPr>
          <w:p w:rsidR="00FA1E5C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4"/>
          </w:tcPr>
          <w:p w:rsidR="00FA1E5C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1075BC" w:rsidTr="00F63BCA">
        <w:trPr>
          <w:jc w:val="center"/>
        </w:trPr>
        <w:tc>
          <w:tcPr>
            <w:tcW w:w="2244" w:type="dxa"/>
          </w:tcPr>
          <w:p w:rsidR="00FA1E5C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4"/>
          </w:tcPr>
          <w:p w:rsidR="00FA1E5C" w:rsidRPr="00B14704" w:rsidRDefault="002F32FE" w:rsidP="00955F07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《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0E7A9A" w:rsidRPr="00B14704">
              <w:rPr>
                <w:rFonts w:ascii="宋体" w:eastAsia="宋体" w:hAnsi="宋体"/>
                <w:sz w:val="24"/>
                <w:szCs w:val="24"/>
              </w:rPr>
              <w:t>7-10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年期国开行债券指数证券投资基金</w:t>
            </w:r>
            <w:r w:rsidR="00651A7C" w:rsidRPr="00B14704">
              <w:rPr>
                <w:rFonts w:ascii="宋体" w:eastAsia="宋体" w:hAnsi="宋体"/>
                <w:sz w:val="24"/>
                <w:szCs w:val="24"/>
              </w:rPr>
              <w:t>基金合同》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《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0E7A9A" w:rsidRPr="00B14704">
              <w:rPr>
                <w:rFonts w:ascii="宋体" w:eastAsia="宋体" w:hAnsi="宋体"/>
                <w:sz w:val="24"/>
                <w:szCs w:val="24"/>
              </w:rPr>
              <w:t>7-10</w:t>
            </w:r>
            <w:r w:rsidR="000E7A9A" w:rsidRPr="00B14704">
              <w:rPr>
                <w:rFonts w:ascii="宋体" w:eastAsia="宋体" w:hAnsi="宋体" w:hint="eastAsia"/>
                <w:sz w:val="24"/>
                <w:szCs w:val="24"/>
              </w:rPr>
              <w:t>年期国开行债券指数证券投资基金</w:t>
            </w:r>
            <w:r w:rsidR="000D7F5B" w:rsidRPr="00B14704">
              <w:rPr>
                <w:rFonts w:ascii="宋体" w:eastAsia="宋体" w:hAnsi="宋体" w:hint="eastAsia"/>
                <w:sz w:val="24"/>
                <w:szCs w:val="24"/>
              </w:rPr>
              <w:t>更新的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招募说明书》</w:t>
            </w:r>
          </w:p>
        </w:tc>
      </w:tr>
      <w:tr w:rsidR="001075BC" w:rsidTr="00CA0F95">
        <w:trPr>
          <w:jc w:val="center"/>
        </w:trPr>
        <w:tc>
          <w:tcPr>
            <w:tcW w:w="2244" w:type="dxa"/>
            <w:vMerge w:val="restart"/>
            <w:vAlign w:val="center"/>
          </w:tcPr>
          <w:p w:rsidR="00FA1E5C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862" w:type="dxa"/>
          </w:tcPr>
          <w:p w:rsidR="00FA1E5C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</w:t>
            </w:r>
            <w:r w:rsidR="00560EF2"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5002" w:type="dxa"/>
            <w:gridSpan w:val="3"/>
            <w:vAlign w:val="center"/>
          </w:tcPr>
          <w:p w:rsidR="00FA1E5C" w:rsidRPr="00B14704" w:rsidRDefault="002F32FE" w:rsidP="004A03AA">
            <w:pPr>
              <w:rPr>
                <w:rFonts w:ascii="宋体" w:eastAsia="宋体" w:hAnsi="宋体"/>
                <w:sz w:val="24"/>
                <w:szCs w:val="24"/>
              </w:rPr>
            </w:pPr>
            <w:r w:rsidRPr="000546A7"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075BC" w:rsidTr="00CA0F95">
        <w:trPr>
          <w:jc w:val="center"/>
        </w:trPr>
        <w:tc>
          <w:tcPr>
            <w:tcW w:w="2244" w:type="dxa"/>
            <w:vMerge/>
          </w:tcPr>
          <w:p w:rsidR="00277480" w:rsidRPr="00B14704" w:rsidRDefault="00277480" w:rsidP="00277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2" w:type="dxa"/>
          </w:tcPr>
          <w:p w:rsidR="00277480" w:rsidRPr="00B14704" w:rsidRDefault="002F32FE" w:rsidP="00277480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5002" w:type="dxa"/>
            <w:gridSpan w:val="3"/>
            <w:vAlign w:val="center"/>
          </w:tcPr>
          <w:p w:rsidR="00277480" w:rsidRPr="00B14704" w:rsidRDefault="002F32FE" w:rsidP="00277480">
            <w:pPr>
              <w:rPr>
                <w:rFonts w:ascii="宋体" w:eastAsia="宋体" w:hAnsi="宋体"/>
                <w:sz w:val="24"/>
                <w:szCs w:val="24"/>
              </w:rPr>
            </w:pPr>
            <w:r w:rsidRPr="000546A7"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 w:rsidRPr="000546A7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075BC" w:rsidTr="00CA0F95">
        <w:trPr>
          <w:jc w:val="center"/>
        </w:trPr>
        <w:tc>
          <w:tcPr>
            <w:tcW w:w="2244" w:type="dxa"/>
            <w:vMerge/>
          </w:tcPr>
          <w:p w:rsidR="00FA1E5C" w:rsidRPr="00B14704" w:rsidRDefault="00FA1E5C" w:rsidP="00FA1E5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2" w:type="dxa"/>
          </w:tcPr>
          <w:p w:rsidR="00FA1E5C" w:rsidRPr="00B14704" w:rsidRDefault="002F32FE" w:rsidP="002F79A0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暂停</w:t>
            </w:r>
            <w:r w:rsidR="00560EF2"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="00560EF2"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5002" w:type="dxa"/>
            <w:gridSpan w:val="3"/>
          </w:tcPr>
          <w:p w:rsidR="00FA1E5C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1075BC" w:rsidTr="00CA0F95">
        <w:trPr>
          <w:jc w:val="center"/>
        </w:trPr>
        <w:tc>
          <w:tcPr>
            <w:tcW w:w="4106" w:type="dxa"/>
            <w:gridSpan w:val="2"/>
            <w:vAlign w:val="center"/>
          </w:tcPr>
          <w:p w:rsidR="00CA0F95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701" w:type="dxa"/>
            <w:vAlign w:val="center"/>
          </w:tcPr>
          <w:p w:rsidR="00CA0F95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CA0F95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600" w:type="dxa"/>
            <w:vAlign w:val="center"/>
          </w:tcPr>
          <w:p w:rsidR="00CA0F95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B14704">
              <w:rPr>
                <w:rFonts w:ascii="宋体" w:eastAsia="宋体" w:hAnsi="宋体" w:cs="宋体"/>
                <w:kern w:val="0"/>
                <w:sz w:val="24"/>
                <w:szCs w:val="24"/>
              </w:rPr>
              <w:t>7-10</w:t>
            </w:r>
            <w:r w:rsidRPr="00B14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年期国开行债券指数</w:t>
            </w:r>
            <w:r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</w:tr>
      <w:tr w:rsidR="001075BC" w:rsidTr="00CA0F95">
        <w:trPr>
          <w:jc w:val="center"/>
        </w:trPr>
        <w:tc>
          <w:tcPr>
            <w:tcW w:w="4106" w:type="dxa"/>
            <w:gridSpan w:val="2"/>
            <w:vAlign w:val="center"/>
          </w:tcPr>
          <w:p w:rsidR="00CA0F95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701" w:type="dxa"/>
            <w:vAlign w:val="center"/>
          </w:tcPr>
          <w:p w:rsidR="00CA0F95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003358</w:t>
            </w:r>
          </w:p>
        </w:tc>
        <w:tc>
          <w:tcPr>
            <w:tcW w:w="1701" w:type="dxa"/>
            <w:vAlign w:val="center"/>
          </w:tcPr>
          <w:p w:rsidR="00CA0F95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009803</w:t>
            </w:r>
          </w:p>
        </w:tc>
        <w:tc>
          <w:tcPr>
            <w:tcW w:w="1600" w:type="dxa"/>
            <w:vAlign w:val="center"/>
          </w:tcPr>
          <w:p w:rsidR="00CA0F95" w:rsidRPr="00B14704" w:rsidRDefault="002F32FE" w:rsidP="00CA0F9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022359</w:t>
            </w:r>
          </w:p>
        </w:tc>
      </w:tr>
      <w:tr w:rsidR="001075BC" w:rsidTr="00CA0F95">
        <w:trPr>
          <w:jc w:val="center"/>
        </w:trPr>
        <w:tc>
          <w:tcPr>
            <w:tcW w:w="4106" w:type="dxa"/>
            <w:gridSpan w:val="2"/>
          </w:tcPr>
          <w:p w:rsidR="00CA0F95" w:rsidRPr="00B14704" w:rsidRDefault="002F32FE" w:rsidP="00A53731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B14704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B14704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1701" w:type="dxa"/>
            <w:vAlign w:val="center"/>
          </w:tcPr>
          <w:p w:rsidR="00CA0F95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701" w:type="dxa"/>
            <w:vAlign w:val="center"/>
          </w:tcPr>
          <w:p w:rsidR="00CA0F95" w:rsidRPr="00B14704" w:rsidRDefault="002F32FE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600" w:type="dxa"/>
            <w:vAlign w:val="center"/>
          </w:tcPr>
          <w:p w:rsidR="00CA0F95" w:rsidRPr="00B14704" w:rsidRDefault="002F32FE" w:rsidP="00CA0F9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1075BC" w:rsidTr="00CA0F95">
        <w:trPr>
          <w:jc w:val="center"/>
        </w:trPr>
        <w:tc>
          <w:tcPr>
            <w:tcW w:w="4106" w:type="dxa"/>
            <w:gridSpan w:val="2"/>
          </w:tcPr>
          <w:p w:rsidR="00CA0F95" w:rsidRPr="00B14704" w:rsidRDefault="002F32F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1701" w:type="dxa"/>
            <w:vAlign w:val="center"/>
          </w:tcPr>
          <w:p w:rsidR="00CA0F95" w:rsidRPr="00B14704" w:rsidRDefault="002F32F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701" w:type="dxa"/>
            <w:vAlign w:val="center"/>
          </w:tcPr>
          <w:p w:rsidR="00CA0F95" w:rsidRPr="00B14704" w:rsidRDefault="002F32F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600" w:type="dxa"/>
            <w:vAlign w:val="center"/>
          </w:tcPr>
          <w:p w:rsidR="00CA0F95" w:rsidRPr="00B14704" w:rsidRDefault="002F32F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</w:tr>
      <w:tr w:rsidR="001075BC" w:rsidTr="00CA0F95">
        <w:trPr>
          <w:jc w:val="center"/>
        </w:trPr>
        <w:tc>
          <w:tcPr>
            <w:tcW w:w="4106" w:type="dxa"/>
            <w:gridSpan w:val="2"/>
          </w:tcPr>
          <w:p w:rsidR="00CA0F95" w:rsidRPr="00B14704" w:rsidRDefault="002F32F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1701" w:type="dxa"/>
            <w:vAlign w:val="center"/>
          </w:tcPr>
          <w:p w:rsidR="00CA0F95" w:rsidRPr="00B14704" w:rsidRDefault="002F32F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701" w:type="dxa"/>
            <w:vAlign w:val="center"/>
          </w:tcPr>
          <w:p w:rsidR="00CA0F95" w:rsidRPr="00B14704" w:rsidRDefault="002F32F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  <w:tc>
          <w:tcPr>
            <w:tcW w:w="1600" w:type="dxa"/>
            <w:vAlign w:val="center"/>
          </w:tcPr>
          <w:p w:rsidR="00CA0F95" w:rsidRPr="00B14704" w:rsidRDefault="002F32FE" w:rsidP="00CA0F95">
            <w:pPr>
              <w:rPr>
                <w:rFonts w:ascii="宋体" w:eastAsia="宋体" w:hAnsi="宋体"/>
                <w:sz w:val="24"/>
                <w:szCs w:val="24"/>
              </w:rPr>
            </w:pPr>
            <w:r w:rsidRPr="00B14704">
              <w:rPr>
                <w:rFonts w:ascii="宋体" w:eastAsia="宋体" w:hAnsi="宋体"/>
                <w:sz w:val="24"/>
                <w:szCs w:val="24"/>
              </w:rPr>
              <w:t>25,000,000.00</w:t>
            </w:r>
          </w:p>
        </w:tc>
      </w:tr>
    </w:tbl>
    <w:p w:rsidR="00D327FA" w:rsidRPr="00B14704" w:rsidRDefault="002F32FE" w:rsidP="000F750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B14704">
        <w:rPr>
          <w:rFonts w:ascii="宋体" w:eastAsia="宋体" w:hAnsi="宋体"/>
          <w:color w:val="000000"/>
          <w:sz w:val="24"/>
          <w:szCs w:val="24"/>
        </w:rPr>
        <w:t>注：</w:t>
      </w:r>
      <w:r w:rsidR="00217D23" w:rsidRPr="00B14704">
        <w:rPr>
          <w:rFonts w:ascii="宋体" w:eastAsia="宋体" w:hAnsi="宋体"/>
          <w:color w:val="000000"/>
          <w:sz w:val="24"/>
          <w:szCs w:val="24"/>
        </w:rPr>
        <w:t>（1）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根据法律法规和基金合同的相关规定，易方达基金管理有限公司决定自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2025年</w:t>
      </w:r>
      <w:r>
        <w:rPr>
          <w:rFonts w:ascii="宋体" w:eastAsia="宋体" w:hAnsi="宋体"/>
          <w:color w:val="000000"/>
          <w:sz w:val="24"/>
          <w:szCs w:val="24"/>
        </w:rPr>
        <w:t>9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3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起</w:t>
      </w:r>
      <w:r w:rsidR="00E6466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0E7A9A" w:rsidRPr="00CA0F95">
        <w:rPr>
          <w:rFonts w:ascii="宋体" w:eastAsia="宋体" w:hAnsi="宋体" w:hint="eastAsia"/>
          <w:color w:val="000000"/>
          <w:sz w:val="24"/>
          <w:szCs w:val="24"/>
        </w:rPr>
        <w:t>易方达中债</w:t>
      </w:r>
      <w:r w:rsidR="000E7A9A" w:rsidRPr="00CA0F95">
        <w:rPr>
          <w:rFonts w:ascii="宋体" w:eastAsia="宋体" w:hAnsi="宋体"/>
          <w:color w:val="000000"/>
          <w:sz w:val="24"/>
          <w:szCs w:val="24"/>
        </w:rPr>
        <w:t>7-10</w:t>
      </w:r>
      <w:r w:rsidR="000E7A9A" w:rsidRPr="00CA0F95">
        <w:rPr>
          <w:rFonts w:ascii="宋体" w:eastAsia="宋体" w:hAnsi="宋体" w:hint="eastAsia"/>
          <w:color w:val="000000"/>
          <w:sz w:val="24"/>
          <w:szCs w:val="24"/>
        </w:rPr>
        <w:t>年期国开行债券指数证券投资基金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（以下简称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“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”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类基金份额、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类基金份额和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E64661" w:rsidRPr="00B14704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E64661">
        <w:rPr>
          <w:rFonts w:ascii="宋体" w:eastAsia="宋体" w:hAnsi="宋体" w:hint="eastAsia"/>
          <w:color w:val="000000"/>
          <w:sz w:val="24"/>
          <w:szCs w:val="24"/>
        </w:rPr>
        <w:t>暂停机构客户的大额申购及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大额转换转入业务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，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单日单个基金账户</w:t>
      </w:r>
      <w:r w:rsidR="006B0575" w:rsidRPr="00B14704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累计申购（含</w:t>
      </w:r>
      <w:r w:rsidR="00663025" w:rsidRPr="00CA0F95">
        <w:rPr>
          <w:rFonts w:ascii="宋体" w:eastAsia="宋体" w:hAnsi="宋体" w:hint="eastAsia"/>
          <w:color w:val="000000"/>
          <w:sz w:val="24"/>
          <w:szCs w:val="24"/>
        </w:rPr>
        <w:t>定期定额投资及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转换转入，下同）本基金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A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C</w:t>
      </w:r>
      <w:r w:rsidR="00C55F00" w:rsidRPr="00B14704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或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C55F00" w:rsidRPr="00B14704">
        <w:rPr>
          <w:rFonts w:ascii="宋体" w:eastAsia="宋体" w:hAnsi="宋体" w:hint="eastAsia"/>
          <w:color w:val="000000"/>
          <w:sz w:val="24"/>
          <w:szCs w:val="24"/>
        </w:rPr>
        <w:t>的金额不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6B0575" w:rsidRPr="00B14704">
        <w:rPr>
          <w:rFonts w:ascii="宋体" w:eastAsia="宋体" w:hAnsi="宋体" w:hint="eastAsia"/>
          <w:color w:val="000000"/>
          <w:sz w:val="24"/>
          <w:szCs w:val="24"/>
        </w:rPr>
        <w:t>（含）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。如单日单个基金账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lastRenderedPageBreak/>
        <w:t>户单笔申购本基金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A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C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或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CA0F95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的金额超过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A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C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或单日单个基金账户多笔累计申购本基金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B14704">
        <w:rPr>
          <w:rFonts w:ascii="宋体" w:eastAsia="宋体" w:hAnsi="宋体"/>
          <w:color w:val="000000"/>
          <w:sz w:val="24"/>
          <w:szCs w:val="24"/>
        </w:rPr>
        <w:t>2500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，则对该类基金份额的申请按照申请金额从大到小排序，基金管理人将逐笔累加至该类基金份额不超过</w:t>
      </w:r>
      <w:r w:rsidR="00560EF2" w:rsidRPr="00B14704">
        <w:rPr>
          <w:rFonts w:ascii="宋体" w:eastAsia="宋体" w:hAnsi="宋体"/>
          <w:color w:val="000000"/>
          <w:sz w:val="24"/>
          <w:szCs w:val="24"/>
        </w:rPr>
        <w:t>250</w:t>
      </w:r>
      <w:r w:rsidR="002472E9" w:rsidRPr="00B14704">
        <w:rPr>
          <w:rFonts w:ascii="宋体" w:eastAsia="宋体" w:hAnsi="宋体"/>
          <w:color w:val="000000"/>
          <w:sz w:val="24"/>
          <w:szCs w:val="24"/>
        </w:rPr>
        <w:t>0</w:t>
      </w:r>
      <w:r w:rsidR="00560EF2" w:rsidRPr="00B14704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217D23" w:rsidRPr="00B14704" w:rsidRDefault="002F32FE" w:rsidP="000F750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B14704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2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）</w:t>
      </w:r>
      <w:r w:rsidRPr="00B14704">
        <w:rPr>
          <w:rFonts w:ascii="宋体" w:eastAsia="宋体" w:hAnsi="宋体"/>
          <w:color w:val="000000"/>
          <w:sz w:val="24"/>
          <w:szCs w:val="24"/>
        </w:rPr>
        <w:t>自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2025年</w:t>
      </w:r>
      <w:r>
        <w:rPr>
          <w:rFonts w:ascii="宋体" w:eastAsia="宋体" w:hAnsi="宋体"/>
          <w:color w:val="000000"/>
          <w:sz w:val="24"/>
          <w:szCs w:val="24"/>
        </w:rPr>
        <w:t>10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9</w:t>
      </w:r>
      <w:r w:rsidR="000546A7" w:rsidRPr="000546A7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Pr="00B14704">
        <w:rPr>
          <w:rFonts w:ascii="宋体" w:eastAsia="宋体" w:hAnsi="宋体"/>
          <w:color w:val="000000"/>
          <w:sz w:val="24"/>
          <w:szCs w:val="24"/>
        </w:rPr>
        <w:t>起，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本基金取消机构客户单日单个基金账户在全部销售机构累计申购（含定期定额投资及转换转入）本基金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或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D</w:t>
      </w:r>
      <w:r>
        <w:rPr>
          <w:rFonts w:asciiTheme="majorEastAsia" w:eastAsiaTheme="majorEastAsia" w:hAnsiTheme="majorEastAsia" w:hint="eastAsia"/>
          <w:color w:val="000000"/>
          <w:kern w:val="0"/>
          <w:sz w:val="24"/>
          <w:szCs w:val="24"/>
        </w:rPr>
        <w:t>类基金份额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的金额不超过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2500</w:t>
      </w:r>
      <w:r w:rsidR="00E64661">
        <w:rPr>
          <w:rFonts w:ascii="宋体" w:eastAsia="宋体" w:hAnsi="宋体" w:hint="eastAsia"/>
          <w:color w:val="000000"/>
          <w:sz w:val="24"/>
          <w:szCs w:val="24"/>
        </w:rPr>
        <w:t>万元（含）的限制，恢复办理大额申购及</w:t>
      </w:r>
      <w:r w:rsidRPr="00B14704">
        <w:rPr>
          <w:rFonts w:ascii="宋体" w:eastAsia="宋体" w:hAnsi="宋体" w:hint="eastAsia"/>
          <w:color w:val="000000"/>
          <w:sz w:val="24"/>
          <w:szCs w:val="24"/>
        </w:rPr>
        <w:t>大额转换转入业务，届时不再另行公告。</w:t>
      </w:r>
      <w:bookmarkStart w:id="1" w:name="_GoBack"/>
      <w:bookmarkEnd w:id="1"/>
    </w:p>
    <w:p w:rsidR="000F7509" w:rsidRPr="00B14704" w:rsidRDefault="000F7509" w:rsidP="00D327FA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D327FA" w:rsidRPr="00B14704" w:rsidRDefault="002F32FE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2" w:name="_Toc275961406"/>
      <w:r w:rsidRPr="00B14704">
        <w:rPr>
          <w:rFonts w:ascii="宋体" w:hAnsi="宋体"/>
          <w:bCs w:val="0"/>
          <w:sz w:val="24"/>
          <w:szCs w:val="24"/>
        </w:rPr>
        <w:t>2</w:t>
      </w:r>
      <w:r w:rsidR="000F7509" w:rsidRPr="00B14704">
        <w:rPr>
          <w:rFonts w:ascii="宋体" w:hAnsi="宋体" w:hint="eastAsia"/>
          <w:bCs w:val="0"/>
          <w:sz w:val="24"/>
          <w:szCs w:val="24"/>
        </w:rPr>
        <w:t>.</w:t>
      </w:r>
      <w:r w:rsidRPr="00B14704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DB6E52" w:rsidRDefault="002F32FE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DB6E52" w:rsidRDefault="002F32FE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DB6E52" w:rsidRDefault="002F32FE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DB6E52" w:rsidRDefault="002F32FE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DB6E52" w:rsidRDefault="00DB6E52" w:rsidP="00DB6E5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B6E52" w:rsidRPr="00F67CFF" w:rsidRDefault="002F32FE" w:rsidP="00EF6AE5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F67CFF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DB6E52" w:rsidRPr="00F67CFF" w:rsidRDefault="002F32FE" w:rsidP="00EF6AE5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0546A7">
        <w:rPr>
          <w:rFonts w:ascii="宋体" w:eastAsia="宋体" w:hAnsi="宋体" w:hint="eastAsia"/>
          <w:color w:val="000000"/>
          <w:sz w:val="24"/>
          <w:szCs w:val="24"/>
        </w:rPr>
        <w:t>2025</w:t>
      </w:r>
      <w:r w:rsidRPr="000546A7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C04D2E">
        <w:rPr>
          <w:rFonts w:ascii="宋体" w:eastAsia="宋体" w:hAnsi="宋体"/>
          <w:color w:val="000000"/>
          <w:sz w:val="24"/>
          <w:szCs w:val="24"/>
        </w:rPr>
        <w:t>9</w:t>
      </w:r>
      <w:r w:rsidRPr="000546A7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C04D2E">
        <w:rPr>
          <w:rFonts w:ascii="宋体" w:eastAsia="宋体" w:hAnsi="宋体" w:hint="eastAsia"/>
          <w:color w:val="000000"/>
          <w:sz w:val="24"/>
          <w:szCs w:val="24"/>
        </w:rPr>
        <w:t>2</w:t>
      </w:r>
      <w:r w:rsidR="00C04D2E">
        <w:rPr>
          <w:rFonts w:ascii="宋体" w:eastAsia="宋体" w:hAnsi="宋体"/>
          <w:color w:val="000000"/>
          <w:sz w:val="24"/>
          <w:szCs w:val="24"/>
        </w:rPr>
        <w:t>5</w:t>
      </w:r>
      <w:r w:rsidRPr="000546A7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364C2A" w:rsidRPr="00B14704" w:rsidRDefault="00364C2A">
      <w:pPr>
        <w:rPr>
          <w:rFonts w:ascii="宋体" w:eastAsia="宋体" w:hAnsi="宋体"/>
          <w:sz w:val="24"/>
          <w:szCs w:val="24"/>
        </w:rPr>
      </w:pPr>
    </w:p>
    <w:sectPr w:rsidR="00364C2A" w:rsidRPr="00B14704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20378"/>
    <w:rsid w:val="00041353"/>
    <w:rsid w:val="000546A7"/>
    <w:rsid w:val="000912A5"/>
    <w:rsid w:val="000B00CF"/>
    <w:rsid w:val="000D52F3"/>
    <w:rsid w:val="000D7F5B"/>
    <w:rsid w:val="000E4435"/>
    <w:rsid w:val="000E4CBF"/>
    <w:rsid w:val="000E791D"/>
    <w:rsid w:val="000E7A9A"/>
    <w:rsid w:val="000F7509"/>
    <w:rsid w:val="001052C2"/>
    <w:rsid w:val="001075BC"/>
    <w:rsid w:val="00112FF9"/>
    <w:rsid w:val="001169BB"/>
    <w:rsid w:val="00141C61"/>
    <w:rsid w:val="00180DA3"/>
    <w:rsid w:val="00186B57"/>
    <w:rsid w:val="0019667A"/>
    <w:rsid w:val="001A786A"/>
    <w:rsid w:val="001B31B3"/>
    <w:rsid w:val="001B4F9F"/>
    <w:rsid w:val="001C6835"/>
    <w:rsid w:val="00217D23"/>
    <w:rsid w:val="00245724"/>
    <w:rsid w:val="002472E9"/>
    <w:rsid w:val="00277480"/>
    <w:rsid w:val="002935EF"/>
    <w:rsid w:val="00297148"/>
    <w:rsid w:val="002F32FE"/>
    <w:rsid w:val="002F7241"/>
    <w:rsid w:val="002F79A0"/>
    <w:rsid w:val="00327DA7"/>
    <w:rsid w:val="0033513C"/>
    <w:rsid w:val="00364C2A"/>
    <w:rsid w:val="0036784E"/>
    <w:rsid w:val="00385C33"/>
    <w:rsid w:val="003A1499"/>
    <w:rsid w:val="003B5276"/>
    <w:rsid w:val="003D2110"/>
    <w:rsid w:val="004008CF"/>
    <w:rsid w:val="00493660"/>
    <w:rsid w:val="004966BA"/>
    <w:rsid w:val="004A03AA"/>
    <w:rsid w:val="004A1EE7"/>
    <w:rsid w:val="004D6346"/>
    <w:rsid w:val="004F0521"/>
    <w:rsid w:val="004F51E8"/>
    <w:rsid w:val="00506A8E"/>
    <w:rsid w:val="005454F8"/>
    <w:rsid w:val="00545C6F"/>
    <w:rsid w:val="00560EF2"/>
    <w:rsid w:val="00564298"/>
    <w:rsid w:val="005B490D"/>
    <w:rsid w:val="005B7F1C"/>
    <w:rsid w:val="005C4A89"/>
    <w:rsid w:val="005D09DC"/>
    <w:rsid w:val="00646522"/>
    <w:rsid w:val="00651A7C"/>
    <w:rsid w:val="00663025"/>
    <w:rsid w:val="00667741"/>
    <w:rsid w:val="0067526D"/>
    <w:rsid w:val="006B0575"/>
    <w:rsid w:val="00764603"/>
    <w:rsid w:val="00770DB7"/>
    <w:rsid w:val="0078259E"/>
    <w:rsid w:val="007B1D31"/>
    <w:rsid w:val="007D2965"/>
    <w:rsid w:val="008161DD"/>
    <w:rsid w:val="00827D4A"/>
    <w:rsid w:val="0083445C"/>
    <w:rsid w:val="00841AFE"/>
    <w:rsid w:val="00844AD4"/>
    <w:rsid w:val="008472DB"/>
    <w:rsid w:val="00864C8C"/>
    <w:rsid w:val="008852DD"/>
    <w:rsid w:val="008A3754"/>
    <w:rsid w:val="008D3261"/>
    <w:rsid w:val="008F225D"/>
    <w:rsid w:val="008F632A"/>
    <w:rsid w:val="009026DC"/>
    <w:rsid w:val="00934D7A"/>
    <w:rsid w:val="00955F07"/>
    <w:rsid w:val="00956B0F"/>
    <w:rsid w:val="009A3752"/>
    <w:rsid w:val="009C5858"/>
    <w:rsid w:val="00A516C4"/>
    <w:rsid w:val="00A53731"/>
    <w:rsid w:val="00A76059"/>
    <w:rsid w:val="00A97347"/>
    <w:rsid w:val="00AC4943"/>
    <w:rsid w:val="00B101F7"/>
    <w:rsid w:val="00B14704"/>
    <w:rsid w:val="00B319B2"/>
    <w:rsid w:val="00B5053A"/>
    <w:rsid w:val="00BA6967"/>
    <w:rsid w:val="00BC53AC"/>
    <w:rsid w:val="00BD601B"/>
    <w:rsid w:val="00BD6D93"/>
    <w:rsid w:val="00BE5ED4"/>
    <w:rsid w:val="00C046E8"/>
    <w:rsid w:val="00C04D2E"/>
    <w:rsid w:val="00C55F00"/>
    <w:rsid w:val="00C62DEE"/>
    <w:rsid w:val="00CA0F95"/>
    <w:rsid w:val="00CC61D7"/>
    <w:rsid w:val="00D114B7"/>
    <w:rsid w:val="00D21EF1"/>
    <w:rsid w:val="00D327FA"/>
    <w:rsid w:val="00D33E60"/>
    <w:rsid w:val="00D5756E"/>
    <w:rsid w:val="00D73D06"/>
    <w:rsid w:val="00DA1037"/>
    <w:rsid w:val="00DB6E52"/>
    <w:rsid w:val="00DD7C4B"/>
    <w:rsid w:val="00E23DF7"/>
    <w:rsid w:val="00E527FC"/>
    <w:rsid w:val="00E63A1D"/>
    <w:rsid w:val="00E64661"/>
    <w:rsid w:val="00E72255"/>
    <w:rsid w:val="00EC5E47"/>
    <w:rsid w:val="00EE1823"/>
    <w:rsid w:val="00EE2CD8"/>
    <w:rsid w:val="00EF6AE5"/>
    <w:rsid w:val="00F07BE9"/>
    <w:rsid w:val="00F5252D"/>
    <w:rsid w:val="00F64447"/>
    <w:rsid w:val="00F67CFF"/>
    <w:rsid w:val="00F8566A"/>
    <w:rsid w:val="00F95610"/>
    <w:rsid w:val="00FA1E5C"/>
    <w:rsid w:val="00FD28F6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4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2025-09-24T16:02:00Z</dcterms:created>
  <dcterms:modified xsi:type="dcterms:W3CDTF">2025-09-24T16:02:00Z</dcterms:modified>
</cp:coreProperties>
</file>