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9E" w:rsidRPr="002B03A8" w:rsidRDefault="007B13DB" w:rsidP="00376F22">
      <w:pPr>
        <w:widowControl/>
        <w:jc w:val="center"/>
        <w:rPr>
          <w:rFonts w:asciiTheme="majorEastAsia" w:eastAsiaTheme="majorEastAsia" w:hAnsiTheme="majorEastAsia" w:cs="宋体"/>
          <w:b/>
          <w:kern w:val="0"/>
          <w:sz w:val="30"/>
          <w:szCs w:val="30"/>
        </w:rPr>
      </w:pPr>
      <w:bookmarkStart w:id="0" w:name="_GoBack"/>
      <w:r w:rsidRPr="002B03A8">
        <w:rPr>
          <w:rFonts w:asciiTheme="majorEastAsia" w:eastAsiaTheme="majorEastAsia" w:hAnsiTheme="majorEastAsia" w:cs="宋体" w:hint="eastAsia"/>
          <w:b/>
          <w:kern w:val="0"/>
          <w:sz w:val="30"/>
          <w:szCs w:val="30"/>
        </w:rPr>
        <w:t>信达澳亚基金管理有限公司</w:t>
      </w:r>
    </w:p>
    <w:p w:rsidR="00C935DF" w:rsidRPr="002B03A8" w:rsidRDefault="00B57DBB" w:rsidP="00376F22">
      <w:pPr>
        <w:widowControl/>
        <w:jc w:val="center"/>
        <w:rPr>
          <w:rFonts w:asciiTheme="majorEastAsia" w:eastAsiaTheme="majorEastAsia" w:hAnsiTheme="majorEastAsia" w:cs="宋体"/>
          <w:b/>
          <w:kern w:val="0"/>
          <w:sz w:val="30"/>
          <w:szCs w:val="30"/>
        </w:rPr>
      </w:pPr>
      <w:r w:rsidRPr="002B03A8">
        <w:rPr>
          <w:rFonts w:asciiTheme="majorEastAsia" w:eastAsiaTheme="majorEastAsia" w:hAnsiTheme="majorEastAsia" w:cs="宋体" w:hint="eastAsia"/>
          <w:b/>
          <w:kern w:val="0"/>
          <w:sz w:val="30"/>
          <w:szCs w:val="30"/>
        </w:rPr>
        <w:t>信澳中证同业存单AAA指数7天持有期证券投资基金</w:t>
      </w:r>
      <w:r w:rsidR="00105F21" w:rsidRPr="002B03A8">
        <w:rPr>
          <w:rFonts w:asciiTheme="majorEastAsia" w:eastAsiaTheme="majorEastAsia" w:hAnsiTheme="majorEastAsia" w:cs="宋体" w:hint="eastAsia"/>
          <w:b/>
          <w:kern w:val="0"/>
          <w:sz w:val="30"/>
          <w:szCs w:val="30"/>
        </w:rPr>
        <w:t>基金</w:t>
      </w:r>
      <w:r w:rsidR="00C935DF" w:rsidRPr="002B03A8">
        <w:rPr>
          <w:rFonts w:asciiTheme="majorEastAsia" w:eastAsiaTheme="majorEastAsia" w:hAnsiTheme="majorEastAsia" w:cs="宋体" w:hint="eastAsia"/>
          <w:b/>
          <w:kern w:val="0"/>
          <w:sz w:val="30"/>
          <w:szCs w:val="30"/>
        </w:rPr>
        <w:t>合同生效公告</w:t>
      </w:r>
    </w:p>
    <w:bookmarkEnd w:id="0"/>
    <w:p w:rsidR="00C935DF" w:rsidRPr="002B03A8" w:rsidRDefault="00C935DF" w:rsidP="00FA6AE4">
      <w:pPr>
        <w:jc w:val="center"/>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公告送出日期：</w:t>
      </w:r>
      <w:r w:rsidR="008622B3" w:rsidRPr="002B03A8">
        <w:rPr>
          <w:rFonts w:asciiTheme="majorEastAsia" w:eastAsiaTheme="majorEastAsia" w:hAnsiTheme="majorEastAsia" w:cs="宋体"/>
          <w:bCs/>
          <w:sz w:val="24"/>
          <w:szCs w:val="24"/>
        </w:rPr>
        <w:t>2025年</w:t>
      </w:r>
      <w:r w:rsidR="00B57DBB" w:rsidRPr="002B03A8">
        <w:rPr>
          <w:rFonts w:asciiTheme="majorEastAsia" w:eastAsiaTheme="majorEastAsia" w:hAnsiTheme="majorEastAsia" w:cs="宋体"/>
          <w:bCs/>
          <w:sz w:val="24"/>
          <w:szCs w:val="24"/>
        </w:rPr>
        <w:t>9</w:t>
      </w:r>
      <w:r w:rsidR="00422E8E" w:rsidRPr="002B03A8">
        <w:rPr>
          <w:rFonts w:asciiTheme="majorEastAsia" w:eastAsiaTheme="majorEastAsia" w:hAnsiTheme="majorEastAsia" w:cs="宋体"/>
          <w:bCs/>
          <w:sz w:val="24"/>
          <w:szCs w:val="24"/>
        </w:rPr>
        <w:t>月</w:t>
      </w:r>
      <w:r w:rsidR="00B57DBB" w:rsidRPr="002B03A8">
        <w:rPr>
          <w:rFonts w:asciiTheme="majorEastAsia" w:eastAsiaTheme="majorEastAsia" w:hAnsiTheme="majorEastAsia" w:cs="宋体"/>
          <w:bCs/>
          <w:sz w:val="24"/>
          <w:szCs w:val="24"/>
        </w:rPr>
        <w:t>24</w:t>
      </w:r>
      <w:r w:rsidR="00422E8E" w:rsidRPr="002B03A8">
        <w:rPr>
          <w:rFonts w:asciiTheme="majorEastAsia" w:eastAsiaTheme="majorEastAsia" w:hAnsiTheme="majorEastAsia" w:cs="宋体"/>
          <w:bCs/>
          <w:sz w:val="24"/>
          <w:szCs w:val="24"/>
        </w:rPr>
        <w:t>日</w:t>
      </w:r>
    </w:p>
    <w:p w:rsidR="00C935DF" w:rsidRPr="002B03A8" w:rsidRDefault="00C935DF" w:rsidP="00C935DF">
      <w:pPr>
        <w:pStyle w:val="2"/>
        <w:spacing w:line="560" w:lineRule="exact"/>
        <w:rPr>
          <w:rFonts w:asciiTheme="majorEastAsia" w:eastAsiaTheme="majorEastAsia" w:hAnsiTheme="majorEastAsia"/>
          <w:bCs w:val="0"/>
          <w:color w:val="000000"/>
          <w:sz w:val="24"/>
          <w:szCs w:val="24"/>
        </w:rPr>
      </w:pPr>
      <w:bookmarkStart w:id="1" w:name="_Toc275961391"/>
      <w:r w:rsidRPr="002B03A8">
        <w:rPr>
          <w:rFonts w:asciiTheme="majorEastAsia" w:eastAsiaTheme="majorEastAsia" w:hAnsiTheme="majorEastAsia"/>
          <w:bCs w:val="0"/>
          <w:color w:val="000000"/>
          <w:sz w:val="24"/>
          <w:szCs w:val="24"/>
        </w:rPr>
        <w:t>1 公告基本信息</w:t>
      </w:r>
      <w:bookmarkEnd w:id="1"/>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36"/>
        <w:gridCol w:w="5903"/>
      </w:tblGrid>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基金名称</w:t>
            </w:r>
          </w:p>
        </w:tc>
        <w:tc>
          <w:tcPr>
            <w:tcW w:w="5903" w:type="dxa"/>
            <w:vAlign w:val="center"/>
          </w:tcPr>
          <w:p w:rsidR="00EC181E" w:rsidRPr="002B03A8" w:rsidRDefault="00B57DBB" w:rsidP="001E7E0B">
            <w:pPr>
              <w:rPr>
                <w:rFonts w:asciiTheme="majorEastAsia" w:eastAsiaTheme="majorEastAsia" w:hAnsiTheme="majorEastAsia"/>
                <w:sz w:val="24"/>
                <w:szCs w:val="24"/>
              </w:rPr>
            </w:pPr>
            <w:r w:rsidRPr="002B03A8">
              <w:rPr>
                <w:rFonts w:asciiTheme="majorEastAsia" w:eastAsiaTheme="majorEastAsia" w:hAnsiTheme="majorEastAsia" w:hint="eastAsia"/>
                <w:sz w:val="24"/>
                <w:szCs w:val="24"/>
              </w:rPr>
              <w:t>信澳中证同业存单AAA指数7天持有期证券投资基金</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基金简称</w:t>
            </w:r>
          </w:p>
        </w:tc>
        <w:tc>
          <w:tcPr>
            <w:tcW w:w="5903" w:type="dxa"/>
            <w:vAlign w:val="center"/>
          </w:tcPr>
          <w:p w:rsidR="00EC181E" w:rsidRPr="002B03A8" w:rsidRDefault="00B57DBB" w:rsidP="001E7E0B">
            <w:pPr>
              <w:rPr>
                <w:rFonts w:asciiTheme="majorEastAsia" w:eastAsiaTheme="majorEastAsia" w:hAnsiTheme="majorEastAsia"/>
                <w:sz w:val="24"/>
                <w:szCs w:val="24"/>
              </w:rPr>
            </w:pPr>
            <w:r w:rsidRPr="002B03A8">
              <w:rPr>
                <w:rFonts w:asciiTheme="majorEastAsia" w:eastAsiaTheme="majorEastAsia" w:hAnsiTheme="majorEastAsia" w:hint="eastAsia"/>
                <w:bCs/>
                <w:sz w:val="24"/>
                <w:szCs w:val="24"/>
              </w:rPr>
              <w:t>信澳中证同业存单AAA指数7天持有期</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基金主代码</w:t>
            </w:r>
          </w:p>
        </w:tc>
        <w:tc>
          <w:tcPr>
            <w:tcW w:w="5903" w:type="dxa"/>
            <w:vAlign w:val="center"/>
          </w:tcPr>
          <w:p w:rsidR="00EC181E" w:rsidRPr="002B03A8" w:rsidRDefault="00B57DBB" w:rsidP="001E7E0B">
            <w:pPr>
              <w:spacing w:line="560" w:lineRule="exact"/>
              <w:rPr>
                <w:rFonts w:asciiTheme="majorEastAsia" w:eastAsiaTheme="majorEastAsia" w:hAnsiTheme="majorEastAsia"/>
                <w:sz w:val="24"/>
                <w:szCs w:val="24"/>
              </w:rPr>
            </w:pPr>
            <w:r w:rsidRPr="002B03A8">
              <w:rPr>
                <w:rFonts w:asciiTheme="majorEastAsia" w:eastAsiaTheme="majorEastAsia" w:hAnsiTheme="majorEastAsia"/>
                <w:bCs/>
                <w:sz w:val="24"/>
                <w:szCs w:val="24"/>
              </w:rPr>
              <w:t>024728</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基金运作方式</w:t>
            </w:r>
          </w:p>
        </w:tc>
        <w:tc>
          <w:tcPr>
            <w:tcW w:w="5903" w:type="dxa"/>
            <w:vAlign w:val="center"/>
          </w:tcPr>
          <w:p w:rsidR="00EC181E" w:rsidRPr="002B03A8" w:rsidRDefault="006A5CFC" w:rsidP="001E7E0B">
            <w:pPr>
              <w:rPr>
                <w:rFonts w:asciiTheme="majorEastAsia" w:eastAsiaTheme="majorEastAsia" w:hAnsiTheme="majorEastAsia"/>
                <w:sz w:val="24"/>
                <w:szCs w:val="24"/>
              </w:rPr>
            </w:pPr>
            <w:r w:rsidRPr="002B03A8">
              <w:rPr>
                <w:rFonts w:asciiTheme="majorEastAsia" w:eastAsiaTheme="majorEastAsia" w:hAnsiTheme="majorEastAsia" w:hint="eastAsia"/>
                <w:sz w:val="24"/>
                <w:szCs w:val="24"/>
              </w:rPr>
              <w:t>契约型开放式</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基金合同生效日</w:t>
            </w:r>
          </w:p>
        </w:tc>
        <w:tc>
          <w:tcPr>
            <w:tcW w:w="5903" w:type="dxa"/>
            <w:vAlign w:val="center"/>
          </w:tcPr>
          <w:p w:rsidR="00EC181E" w:rsidRPr="002B03A8" w:rsidRDefault="008622B3" w:rsidP="00B57DBB">
            <w:pPr>
              <w:rPr>
                <w:rFonts w:asciiTheme="majorEastAsia" w:eastAsiaTheme="majorEastAsia" w:hAnsiTheme="majorEastAsia"/>
                <w:sz w:val="24"/>
                <w:szCs w:val="24"/>
              </w:rPr>
            </w:pPr>
            <w:r w:rsidRPr="002B03A8">
              <w:rPr>
                <w:rFonts w:asciiTheme="majorEastAsia" w:eastAsiaTheme="majorEastAsia" w:hAnsiTheme="majorEastAsia" w:hint="eastAsia"/>
                <w:sz w:val="24"/>
                <w:szCs w:val="24"/>
              </w:rPr>
              <w:t>202</w:t>
            </w:r>
            <w:r w:rsidRPr="002B03A8">
              <w:rPr>
                <w:rFonts w:asciiTheme="majorEastAsia" w:eastAsiaTheme="majorEastAsia" w:hAnsiTheme="majorEastAsia"/>
                <w:sz w:val="24"/>
                <w:szCs w:val="24"/>
              </w:rPr>
              <w:t>5</w:t>
            </w:r>
            <w:r w:rsidRPr="002B03A8">
              <w:rPr>
                <w:rFonts w:asciiTheme="majorEastAsia" w:eastAsiaTheme="majorEastAsia" w:hAnsiTheme="majorEastAsia" w:hint="eastAsia"/>
                <w:sz w:val="24"/>
                <w:szCs w:val="24"/>
              </w:rPr>
              <w:t>年</w:t>
            </w:r>
            <w:r w:rsidR="00B57DBB" w:rsidRPr="002B03A8">
              <w:rPr>
                <w:rFonts w:asciiTheme="majorEastAsia" w:eastAsiaTheme="majorEastAsia" w:hAnsiTheme="majorEastAsia"/>
                <w:sz w:val="24"/>
                <w:szCs w:val="24"/>
              </w:rPr>
              <w:t>9</w:t>
            </w:r>
            <w:r w:rsidR="007C7971" w:rsidRPr="002B03A8">
              <w:rPr>
                <w:rFonts w:asciiTheme="majorEastAsia" w:eastAsiaTheme="majorEastAsia" w:hAnsiTheme="majorEastAsia" w:hint="eastAsia"/>
                <w:sz w:val="24"/>
                <w:szCs w:val="24"/>
              </w:rPr>
              <w:t>月</w:t>
            </w:r>
            <w:r w:rsidR="00B57DBB" w:rsidRPr="002B03A8">
              <w:rPr>
                <w:rFonts w:asciiTheme="majorEastAsia" w:eastAsiaTheme="majorEastAsia" w:hAnsiTheme="majorEastAsia" w:hint="eastAsia"/>
                <w:sz w:val="24"/>
                <w:szCs w:val="24"/>
              </w:rPr>
              <w:t>2</w:t>
            </w:r>
            <w:r w:rsidR="00B57DBB" w:rsidRPr="002B03A8">
              <w:rPr>
                <w:rFonts w:asciiTheme="majorEastAsia" w:eastAsiaTheme="majorEastAsia" w:hAnsiTheme="majorEastAsia"/>
                <w:sz w:val="24"/>
                <w:szCs w:val="24"/>
              </w:rPr>
              <w:t>3</w:t>
            </w:r>
            <w:r w:rsidR="007C7971" w:rsidRPr="002B03A8">
              <w:rPr>
                <w:rFonts w:asciiTheme="majorEastAsia" w:eastAsiaTheme="majorEastAsia" w:hAnsiTheme="majorEastAsia" w:hint="eastAsia"/>
                <w:sz w:val="24"/>
                <w:szCs w:val="24"/>
              </w:rPr>
              <w:t>日</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基金管理人名称</w:t>
            </w:r>
          </w:p>
        </w:tc>
        <w:tc>
          <w:tcPr>
            <w:tcW w:w="5903" w:type="dxa"/>
            <w:vAlign w:val="center"/>
          </w:tcPr>
          <w:p w:rsidR="00EC181E" w:rsidRPr="002B03A8" w:rsidRDefault="007B13DB" w:rsidP="001E7E0B">
            <w:pPr>
              <w:rPr>
                <w:rFonts w:asciiTheme="majorEastAsia" w:eastAsiaTheme="majorEastAsia" w:hAnsiTheme="majorEastAsia"/>
                <w:sz w:val="24"/>
                <w:szCs w:val="24"/>
              </w:rPr>
            </w:pPr>
            <w:r w:rsidRPr="002B03A8">
              <w:rPr>
                <w:rFonts w:asciiTheme="majorEastAsia" w:eastAsiaTheme="majorEastAsia" w:hAnsiTheme="majorEastAsia" w:hint="eastAsia"/>
                <w:sz w:val="24"/>
                <w:szCs w:val="24"/>
              </w:rPr>
              <w:t>信达澳亚基金管理有限公司</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基金托管人名称</w:t>
            </w:r>
          </w:p>
        </w:tc>
        <w:tc>
          <w:tcPr>
            <w:tcW w:w="5903" w:type="dxa"/>
            <w:vAlign w:val="center"/>
          </w:tcPr>
          <w:p w:rsidR="00EC181E" w:rsidRPr="002B03A8" w:rsidRDefault="00B57DBB" w:rsidP="004B5909">
            <w:pPr>
              <w:rPr>
                <w:rFonts w:asciiTheme="majorEastAsia" w:eastAsiaTheme="majorEastAsia" w:hAnsiTheme="majorEastAsia"/>
                <w:sz w:val="24"/>
                <w:szCs w:val="24"/>
              </w:rPr>
            </w:pPr>
            <w:r w:rsidRPr="002B03A8">
              <w:rPr>
                <w:rFonts w:asciiTheme="majorEastAsia" w:eastAsiaTheme="majorEastAsia" w:hAnsiTheme="majorEastAsia" w:hint="eastAsia"/>
                <w:sz w:val="24"/>
                <w:szCs w:val="24"/>
              </w:rPr>
              <w:t>交通</w:t>
            </w:r>
            <w:r w:rsidR="008622B3" w:rsidRPr="002B03A8">
              <w:rPr>
                <w:rFonts w:asciiTheme="majorEastAsia" w:eastAsiaTheme="majorEastAsia" w:hAnsiTheme="majorEastAsia" w:hint="eastAsia"/>
                <w:sz w:val="24"/>
                <w:szCs w:val="24"/>
              </w:rPr>
              <w:t>银行股份有限公司</w:t>
            </w:r>
          </w:p>
        </w:tc>
      </w:tr>
      <w:tr w:rsidR="00EC181E" w:rsidRPr="002B03A8" w:rsidTr="001E7E0B">
        <w:trPr>
          <w:trHeight w:val="386"/>
          <w:jc w:val="center"/>
        </w:trPr>
        <w:tc>
          <w:tcPr>
            <w:tcW w:w="3836" w:type="dxa"/>
            <w:vAlign w:val="center"/>
          </w:tcPr>
          <w:p w:rsidR="00EC181E" w:rsidRPr="002B03A8" w:rsidRDefault="00EC181E" w:rsidP="001E7E0B">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公告依据</w:t>
            </w:r>
          </w:p>
        </w:tc>
        <w:tc>
          <w:tcPr>
            <w:tcW w:w="5903" w:type="dxa"/>
            <w:vAlign w:val="center"/>
          </w:tcPr>
          <w:p w:rsidR="00EC181E" w:rsidRPr="002B03A8" w:rsidRDefault="00242C8A" w:rsidP="001E7E0B">
            <w:pPr>
              <w:spacing w:line="530" w:lineRule="exact"/>
              <w:rPr>
                <w:rFonts w:asciiTheme="majorEastAsia" w:eastAsiaTheme="majorEastAsia" w:hAnsiTheme="majorEastAsia" w:cs="宋体"/>
                <w:kern w:val="0"/>
                <w:sz w:val="24"/>
                <w:szCs w:val="24"/>
              </w:rPr>
            </w:pPr>
            <w:r w:rsidRPr="002B03A8">
              <w:rPr>
                <w:rFonts w:asciiTheme="majorEastAsia" w:eastAsiaTheme="majorEastAsia" w:hAnsiTheme="majorEastAsia" w:hint="eastAsia"/>
                <w:color w:val="000000"/>
                <w:kern w:val="0"/>
                <w:sz w:val="24"/>
                <w:szCs w:val="24"/>
              </w:rPr>
              <w:t>《中华人民共和国证券投资基金法》、《公开募集证券投资基金运作管理办法》等法律法规以及《</w:t>
            </w:r>
            <w:r w:rsidR="00B57DBB" w:rsidRPr="002B03A8">
              <w:rPr>
                <w:rFonts w:asciiTheme="majorEastAsia" w:eastAsiaTheme="majorEastAsia" w:hAnsiTheme="majorEastAsia" w:hint="eastAsia"/>
                <w:sz w:val="24"/>
                <w:szCs w:val="24"/>
              </w:rPr>
              <w:t>信澳中证同业存单AAA指数7天持有期证券投资基金</w:t>
            </w:r>
            <w:r w:rsidRPr="002B03A8">
              <w:rPr>
                <w:rFonts w:asciiTheme="majorEastAsia" w:eastAsiaTheme="majorEastAsia" w:hAnsiTheme="majorEastAsia" w:hint="eastAsia"/>
                <w:color w:val="000000"/>
                <w:kern w:val="0"/>
                <w:sz w:val="24"/>
                <w:szCs w:val="24"/>
              </w:rPr>
              <w:t>基金合同》、《</w:t>
            </w:r>
            <w:r w:rsidR="00B57DBB" w:rsidRPr="002B03A8">
              <w:rPr>
                <w:rFonts w:asciiTheme="majorEastAsia" w:eastAsiaTheme="majorEastAsia" w:hAnsiTheme="majorEastAsia" w:hint="eastAsia"/>
                <w:sz w:val="24"/>
                <w:szCs w:val="24"/>
              </w:rPr>
              <w:t>信澳中证同业存单AAA指数7天持有期证券投资基金</w:t>
            </w:r>
            <w:r w:rsidRPr="002B03A8">
              <w:rPr>
                <w:rFonts w:asciiTheme="majorEastAsia" w:eastAsiaTheme="majorEastAsia" w:hAnsiTheme="majorEastAsia" w:hint="eastAsia"/>
                <w:color w:val="000000"/>
                <w:kern w:val="0"/>
                <w:sz w:val="24"/>
                <w:szCs w:val="24"/>
              </w:rPr>
              <w:t>招募说明书》</w:t>
            </w:r>
            <w:r w:rsidR="009719FE" w:rsidRPr="002B03A8">
              <w:rPr>
                <w:rFonts w:asciiTheme="majorEastAsia" w:eastAsiaTheme="majorEastAsia" w:hAnsiTheme="majorEastAsia" w:hint="eastAsia"/>
                <w:color w:val="000000"/>
                <w:kern w:val="0"/>
                <w:sz w:val="24"/>
                <w:szCs w:val="24"/>
              </w:rPr>
              <w:t>等</w:t>
            </w:r>
          </w:p>
        </w:tc>
      </w:tr>
    </w:tbl>
    <w:p w:rsidR="00C935DF" w:rsidRPr="002B03A8" w:rsidRDefault="003C0D0A" w:rsidP="00327CA7">
      <w:pPr>
        <w:pStyle w:val="2"/>
        <w:tabs>
          <w:tab w:val="left" w:pos="7440"/>
        </w:tabs>
        <w:spacing w:line="530" w:lineRule="exact"/>
        <w:rPr>
          <w:rFonts w:asciiTheme="majorEastAsia" w:eastAsiaTheme="majorEastAsia" w:hAnsiTheme="majorEastAsia"/>
          <w:bCs w:val="0"/>
          <w:color w:val="000000"/>
          <w:sz w:val="24"/>
          <w:szCs w:val="24"/>
        </w:rPr>
      </w:pPr>
      <w:bookmarkStart w:id="2" w:name="_Toc275961392"/>
      <w:r w:rsidRPr="002B03A8">
        <w:rPr>
          <w:rFonts w:asciiTheme="majorEastAsia" w:eastAsiaTheme="majorEastAsia" w:hAnsiTheme="majorEastAsia" w:hint="eastAsia"/>
          <w:bCs w:val="0"/>
          <w:color w:val="000000"/>
          <w:sz w:val="24"/>
          <w:szCs w:val="24"/>
        </w:rPr>
        <w:t>2</w:t>
      </w:r>
      <w:r w:rsidR="00C935DF" w:rsidRPr="002B03A8">
        <w:rPr>
          <w:rFonts w:asciiTheme="majorEastAsia" w:eastAsiaTheme="majorEastAsia" w:hAnsiTheme="majorEastAsia"/>
          <w:bCs w:val="0"/>
          <w:color w:val="000000"/>
          <w:sz w:val="24"/>
          <w:szCs w:val="24"/>
        </w:rPr>
        <w:t xml:space="preserve"> 基金募集情况</w:t>
      </w:r>
      <w:bookmarkEnd w:id="2"/>
      <w:r w:rsidR="00327CA7" w:rsidRPr="002B03A8">
        <w:rPr>
          <w:rFonts w:asciiTheme="majorEastAsia" w:eastAsiaTheme="majorEastAsia" w:hAnsiTheme="majorEastAsia"/>
          <w:bCs w:val="0"/>
          <w:color w:val="000000"/>
          <w:sz w:val="24"/>
          <w:szCs w:val="24"/>
        </w:rPr>
        <w:tab/>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1920"/>
        <w:gridCol w:w="6520"/>
      </w:tblGrid>
      <w:tr w:rsidR="00C935DF" w:rsidRPr="002B03A8" w:rsidTr="008C199E">
        <w:trPr>
          <w:trHeight w:val="386"/>
          <w:jc w:val="center"/>
        </w:trPr>
        <w:tc>
          <w:tcPr>
            <w:tcW w:w="3681" w:type="dxa"/>
            <w:gridSpan w:val="2"/>
            <w:vAlign w:val="center"/>
          </w:tcPr>
          <w:p w:rsidR="00C935DF" w:rsidRPr="002B03A8" w:rsidRDefault="00C935DF"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基金募集申请获中国证监会核准的文号</w:t>
            </w:r>
          </w:p>
        </w:tc>
        <w:tc>
          <w:tcPr>
            <w:tcW w:w="6520" w:type="dxa"/>
            <w:vAlign w:val="center"/>
          </w:tcPr>
          <w:p w:rsidR="00C935DF" w:rsidRPr="002B03A8" w:rsidRDefault="006A5CFC" w:rsidP="00CF1306">
            <w:pPr>
              <w:spacing w:line="530" w:lineRule="exact"/>
              <w:rPr>
                <w:rFonts w:asciiTheme="majorEastAsia" w:eastAsiaTheme="majorEastAsia" w:hAnsiTheme="majorEastAsia"/>
                <w:color w:val="000000"/>
                <w:kern w:val="0"/>
                <w:sz w:val="24"/>
                <w:szCs w:val="24"/>
              </w:rPr>
            </w:pPr>
            <w:r w:rsidRPr="002B03A8">
              <w:rPr>
                <w:rFonts w:asciiTheme="majorEastAsia" w:eastAsiaTheme="majorEastAsia" w:hAnsiTheme="majorEastAsia" w:hint="eastAsia"/>
                <w:color w:val="000000"/>
                <w:kern w:val="0"/>
                <w:sz w:val="24"/>
                <w:szCs w:val="24"/>
              </w:rPr>
              <w:t>证监许可【</w:t>
            </w:r>
            <w:r w:rsidR="00793DD1" w:rsidRPr="002B03A8">
              <w:rPr>
                <w:rFonts w:asciiTheme="majorEastAsia" w:eastAsiaTheme="majorEastAsia" w:hAnsiTheme="majorEastAsia" w:hint="eastAsia"/>
                <w:color w:val="000000"/>
                <w:kern w:val="0"/>
                <w:sz w:val="24"/>
                <w:szCs w:val="24"/>
              </w:rPr>
              <w:t>202</w:t>
            </w:r>
            <w:r w:rsidR="002B4099" w:rsidRPr="002B03A8">
              <w:rPr>
                <w:rFonts w:asciiTheme="majorEastAsia" w:eastAsiaTheme="majorEastAsia" w:hAnsiTheme="majorEastAsia"/>
                <w:color w:val="000000"/>
                <w:kern w:val="0"/>
                <w:sz w:val="24"/>
                <w:szCs w:val="24"/>
              </w:rPr>
              <w:t>5</w:t>
            </w:r>
            <w:r w:rsidRPr="002B03A8">
              <w:rPr>
                <w:rFonts w:asciiTheme="majorEastAsia" w:eastAsiaTheme="majorEastAsia" w:hAnsiTheme="majorEastAsia" w:hint="eastAsia"/>
                <w:color w:val="000000"/>
                <w:kern w:val="0"/>
                <w:sz w:val="24"/>
                <w:szCs w:val="24"/>
              </w:rPr>
              <w:t>】</w:t>
            </w:r>
            <w:r w:rsidR="002B4099" w:rsidRPr="002B03A8">
              <w:rPr>
                <w:rFonts w:asciiTheme="majorEastAsia" w:eastAsiaTheme="majorEastAsia" w:hAnsiTheme="majorEastAsia"/>
                <w:bCs/>
                <w:sz w:val="24"/>
                <w:szCs w:val="24"/>
              </w:rPr>
              <w:t>1250</w:t>
            </w:r>
            <w:r w:rsidRPr="002B03A8">
              <w:rPr>
                <w:rFonts w:asciiTheme="majorEastAsia" w:eastAsiaTheme="majorEastAsia" w:hAnsiTheme="majorEastAsia" w:hint="eastAsia"/>
                <w:color w:val="000000"/>
                <w:kern w:val="0"/>
                <w:sz w:val="24"/>
                <w:szCs w:val="24"/>
              </w:rPr>
              <w:t>号</w:t>
            </w:r>
          </w:p>
        </w:tc>
      </w:tr>
      <w:tr w:rsidR="00C935DF" w:rsidRPr="002B03A8" w:rsidTr="00BC3A62">
        <w:trPr>
          <w:trHeight w:val="572"/>
          <w:jc w:val="center"/>
        </w:trPr>
        <w:tc>
          <w:tcPr>
            <w:tcW w:w="3681" w:type="dxa"/>
            <w:gridSpan w:val="2"/>
            <w:vAlign w:val="center"/>
          </w:tcPr>
          <w:p w:rsidR="00C935DF" w:rsidRPr="002B03A8" w:rsidRDefault="00C935DF" w:rsidP="008C199E">
            <w:pPr>
              <w:spacing w:line="530" w:lineRule="exact"/>
              <w:rPr>
                <w:rFonts w:asciiTheme="majorEastAsia" w:eastAsiaTheme="majorEastAsia" w:hAnsiTheme="majorEastAsia"/>
                <w:color w:val="000000"/>
                <w:kern w:val="0"/>
                <w:sz w:val="24"/>
                <w:szCs w:val="24"/>
              </w:rPr>
            </w:pPr>
            <w:r w:rsidRPr="002B03A8">
              <w:rPr>
                <w:rFonts w:asciiTheme="majorEastAsia" w:eastAsiaTheme="majorEastAsia" w:hAnsiTheme="majorEastAsia"/>
                <w:color w:val="000000"/>
                <w:kern w:val="0"/>
                <w:sz w:val="24"/>
                <w:szCs w:val="24"/>
              </w:rPr>
              <w:t>基金募集期间</w:t>
            </w:r>
          </w:p>
        </w:tc>
        <w:tc>
          <w:tcPr>
            <w:tcW w:w="6520" w:type="dxa"/>
            <w:vAlign w:val="center"/>
          </w:tcPr>
          <w:p w:rsidR="00C935DF" w:rsidRPr="002B03A8" w:rsidRDefault="00BB5093" w:rsidP="002B4099">
            <w:pPr>
              <w:spacing w:line="530" w:lineRule="exact"/>
              <w:rPr>
                <w:rFonts w:asciiTheme="majorEastAsia" w:eastAsiaTheme="majorEastAsia" w:hAnsiTheme="majorEastAsia"/>
                <w:color w:val="000000"/>
                <w:kern w:val="0"/>
                <w:sz w:val="24"/>
                <w:szCs w:val="24"/>
              </w:rPr>
            </w:pPr>
            <w:r w:rsidRPr="002B03A8">
              <w:rPr>
                <w:rFonts w:asciiTheme="majorEastAsia" w:eastAsiaTheme="majorEastAsia" w:hAnsiTheme="majorEastAsia" w:hint="eastAsia"/>
                <w:color w:val="000000"/>
                <w:kern w:val="0"/>
                <w:sz w:val="24"/>
                <w:szCs w:val="24"/>
              </w:rPr>
              <w:t>202</w:t>
            </w:r>
            <w:r w:rsidR="004761C5" w:rsidRPr="002B03A8">
              <w:rPr>
                <w:rFonts w:asciiTheme="majorEastAsia" w:eastAsiaTheme="majorEastAsia" w:hAnsiTheme="majorEastAsia"/>
                <w:color w:val="000000"/>
                <w:kern w:val="0"/>
                <w:sz w:val="24"/>
                <w:szCs w:val="24"/>
              </w:rPr>
              <w:t>5</w:t>
            </w:r>
            <w:r w:rsidRPr="002B03A8">
              <w:rPr>
                <w:rFonts w:asciiTheme="majorEastAsia" w:eastAsiaTheme="majorEastAsia" w:hAnsiTheme="majorEastAsia" w:hint="eastAsia"/>
                <w:color w:val="000000"/>
                <w:kern w:val="0"/>
                <w:sz w:val="24"/>
                <w:szCs w:val="24"/>
              </w:rPr>
              <w:t>年</w:t>
            </w:r>
            <w:r w:rsidR="002B4099" w:rsidRPr="002B03A8">
              <w:rPr>
                <w:rFonts w:asciiTheme="majorEastAsia" w:eastAsiaTheme="majorEastAsia" w:hAnsiTheme="majorEastAsia" w:hint="eastAsia"/>
                <w:color w:val="000000"/>
                <w:kern w:val="0"/>
                <w:sz w:val="24"/>
                <w:szCs w:val="24"/>
              </w:rPr>
              <w:t>9</w:t>
            </w:r>
            <w:r w:rsidRPr="002B03A8">
              <w:rPr>
                <w:rFonts w:asciiTheme="majorEastAsia" w:eastAsiaTheme="majorEastAsia" w:hAnsiTheme="majorEastAsia" w:hint="eastAsia"/>
                <w:color w:val="000000"/>
                <w:kern w:val="0"/>
                <w:sz w:val="24"/>
                <w:szCs w:val="24"/>
              </w:rPr>
              <w:t>月</w:t>
            </w:r>
            <w:r w:rsidR="00354C60" w:rsidRPr="002B03A8">
              <w:rPr>
                <w:rFonts w:asciiTheme="majorEastAsia" w:eastAsiaTheme="majorEastAsia" w:hAnsiTheme="majorEastAsia"/>
                <w:color w:val="000000"/>
                <w:kern w:val="0"/>
                <w:sz w:val="24"/>
                <w:szCs w:val="24"/>
              </w:rPr>
              <w:t>1</w:t>
            </w:r>
            <w:r w:rsidRPr="002B03A8">
              <w:rPr>
                <w:rFonts w:asciiTheme="majorEastAsia" w:eastAsiaTheme="majorEastAsia" w:hAnsiTheme="majorEastAsia" w:hint="eastAsia"/>
                <w:color w:val="000000"/>
                <w:kern w:val="0"/>
                <w:sz w:val="24"/>
                <w:szCs w:val="24"/>
              </w:rPr>
              <w:t>日至202</w:t>
            </w:r>
            <w:r w:rsidR="004761C5" w:rsidRPr="002B03A8">
              <w:rPr>
                <w:rFonts w:asciiTheme="majorEastAsia" w:eastAsiaTheme="majorEastAsia" w:hAnsiTheme="majorEastAsia"/>
                <w:color w:val="000000"/>
                <w:kern w:val="0"/>
                <w:sz w:val="24"/>
                <w:szCs w:val="24"/>
              </w:rPr>
              <w:t>5</w:t>
            </w:r>
            <w:r w:rsidRPr="002B03A8">
              <w:rPr>
                <w:rFonts w:asciiTheme="majorEastAsia" w:eastAsiaTheme="majorEastAsia" w:hAnsiTheme="majorEastAsia" w:hint="eastAsia"/>
                <w:color w:val="000000"/>
                <w:kern w:val="0"/>
                <w:sz w:val="24"/>
                <w:szCs w:val="24"/>
              </w:rPr>
              <w:t>年</w:t>
            </w:r>
            <w:r w:rsidR="002B4099" w:rsidRPr="002B03A8">
              <w:rPr>
                <w:rFonts w:asciiTheme="majorEastAsia" w:eastAsiaTheme="majorEastAsia" w:hAnsiTheme="majorEastAsia"/>
                <w:color w:val="000000"/>
                <w:kern w:val="0"/>
                <w:sz w:val="24"/>
                <w:szCs w:val="24"/>
              </w:rPr>
              <w:t>9</w:t>
            </w:r>
            <w:r w:rsidRPr="002B03A8">
              <w:rPr>
                <w:rFonts w:asciiTheme="majorEastAsia" w:eastAsiaTheme="majorEastAsia" w:hAnsiTheme="majorEastAsia" w:hint="eastAsia"/>
                <w:color w:val="000000"/>
                <w:kern w:val="0"/>
                <w:sz w:val="24"/>
                <w:szCs w:val="24"/>
              </w:rPr>
              <w:t>月</w:t>
            </w:r>
            <w:r w:rsidR="002B4099" w:rsidRPr="002B03A8">
              <w:rPr>
                <w:rFonts w:asciiTheme="majorEastAsia" w:eastAsiaTheme="majorEastAsia" w:hAnsiTheme="majorEastAsia"/>
                <w:color w:val="000000"/>
                <w:kern w:val="0"/>
                <w:sz w:val="24"/>
                <w:szCs w:val="24"/>
              </w:rPr>
              <w:t>19</w:t>
            </w:r>
            <w:r w:rsidRPr="002B03A8">
              <w:rPr>
                <w:rFonts w:asciiTheme="majorEastAsia" w:eastAsiaTheme="majorEastAsia" w:hAnsiTheme="majorEastAsia" w:hint="eastAsia"/>
                <w:color w:val="000000"/>
                <w:kern w:val="0"/>
                <w:sz w:val="24"/>
                <w:szCs w:val="24"/>
              </w:rPr>
              <w:t>日</w:t>
            </w:r>
          </w:p>
        </w:tc>
      </w:tr>
      <w:tr w:rsidR="00C935DF" w:rsidRPr="002B03A8" w:rsidTr="008C199E">
        <w:trPr>
          <w:trHeight w:val="386"/>
          <w:jc w:val="center"/>
        </w:trPr>
        <w:tc>
          <w:tcPr>
            <w:tcW w:w="3681" w:type="dxa"/>
            <w:gridSpan w:val="2"/>
            <w:vAlign w:val="center"/>
          </w:tcPr>
          <w:p w:rsidR="00C935DF" w:rsidRPr="002B03A8" w:rsidRDefault="00C935DF"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验资机构名称</w:t>
            </w:r>
          </w:p>
        </w:tc>
        <w:tc>
          <w:tcPr>
            <w:tcW w:w="6520" w:type="dxa"/>
            <w:vAlign w:val="center"/>
          </w:tcPr>
          <w:p w:rsidR="00C935DF" w:rsidRPr="002B03A8" w:rsidRDefault="00C10220" w:rsidP="008C199E">
            <w:pPr>
              <w:spacing w:line="530" w:lineRule="exact"/>
              <w:rPr>
                <w:rFonts w:asciiTheme="majorEastAsia" w:eastAsiaTheme="majorEastAsia" w:hAnsiTheme="majorEastAsia"/>
                <w:color w:val="000000"/>
                <w:kern w:val="0"/>
                <w:sz w:val="24"/>
                <w:szCs w:val="24"/>
              </w:rPr>
            </w:pPr>
            <w:r w:rsidRPr="002B03A8">
              <w:rPr>
                <w:rFonts w:asciiTheme="majorEastAsia" w:eastAsiaTheme="majorEastAsia" w:hAnsiTheme="majorEastAsia" w:hint="eastAsia"/>
                <w:color w:val="000000"/>
                <w:kern w:val="0"/>
                <w:sz w:val="24"/>
                <w:szCs w:val="24"/>
              </w:rPr>
              <w:t>安永华明会计师事务所（特殊普通合伙）</w:t>
            </w:r>
          </w:p>
        </w:tc>
      </w:tr>
      <w:tr w:rsidR="00C935DF" w:rsidRPr="002B03A8" w:rsidTr="008C199E">
        <w:trPr>
          <w:trHeight w:val="386"/>
          <w:jc w:val="center"/>
        </w:trPr>
        <w:tc>
          <w:tcPr>
            <w:tcW w:w="3681" w:type="dxa"/>
            <w:gridSpan w:val="2"/>
            <w:vAlign w:val="center"/>
          </w:tcPr>
          <w:p w:rsidR="00C935DF" w:rsidRPr="002B03A8" w:rsidRDefault="00C935DF"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募集资金划入基金托管专户的日</w:t>
            </w:r>
            <w:r w:rsidRPr="002B03A8">
              <w:rPr>
                <w:rFonts w:asciiTheme="majorEastAsia" w:eastAsiaTheme="majorEastAsia" w:hAnsiTheme="majorEastAsia"/>
                <w:color w:val="000000"/>
                <w:sz w:val="24"/>
                <w:szCs w:val="24"/>
              </w:rPr>
              <w:lastRenderedPageBreak/>
              <w:t>期</w:t>
            </w:r>
          </w:p>
        </w:tc>
        <w:tc>
          <w:tcPr>
            <w:tcW w:w="6520" w:type="dxa"/>
            <w:vAlign w:val="center"/>
          </w:tcPr>
          <w:p w:rsidR="00C935DF" w:rsidRPr="002B03A8" w:rsidRDefault="00D225DB" w:rsidP="002B4099">
            <w:pPr>
              <w:rPr>
                <w:rFonts w:asciiTheme="majorEastAsia" w:eastAsiaTheme="majorEastAsia" w:hAnsiTheme="majorEastAsia" w:cs="宋体"/>
                <w:sz w:val="24"/>
                <w:szCs w:val="24"/>
              </w:rPr>
            </w:pPr>
            <w:r w:rsidRPr="002B03A8">
              <w:rPr>
                <w:rFonts w:asciiTheme="majorEastAsia" w:eastAsiaTheme="majorEastAsia" w:hAnsiTheme="majorEastAsia" w:hint="eastAsia"/>
                <w:sz w:val="24"/>
                <w:szCs w:val="24"/>
              </w:rPr>
              <w:lastRenderedPageBreak/>
              <w:t>202</w:t>
            </w:r>
            <w:r w:rsidR="004761C5" w:rsidRPr="002B03A8">
              <w:rPr>
                <w:rFonts w:asciiTheme="majorEastAsia" w:eastAsiaTheme="majorEastAsia" w:hAnsiTheme="majorEastAsia"/>
                <w:sz w:val="24"/>
                <w:szCs w:val="24"/>
              </w:rPr>
              <w:t>5</w:t>
            </w:r>
            <w:r w:rsidR="007C7971" w:rsidRPr="002B03A8">
              <w:rPr>
                <w:rFonts w:asciiTheme="majorEastAsia" w:eastAsiaTheme="majorEastAsia" w:hAnsiTheme="majorEastAsia" w:hint="eastAsia"/>
                <w:sz w:val="24"/>
                <w:szCs w:val="24"/>
              </w:rPr>
              <w:t>年</w:t>
            </w:r>
            <w:r w:rsidR="002B4099" w:rsidRPr="002B03A8">
              <w:rPr>
                <w:rFonts w:asciiTheme="majorEastAsia" w:eastAsiaTheme="majorEastAsia" w:hAnsiTheme="majorEastAsia" w:hint="eastAsia"/>
                <w:sz w:val="24"/>
                <w:szCs w:val="24"/>
              </w:rPr>
              <w:t>9</w:t>
            </w:r>
            <w:r w:rsidR="007C7971" w:rsidRPr="002B03A8">
              <w:rPr>
                <w:rFonts w:asciiTheme="majorEastAsia" w:eastAsiaTheme="majorEastAsia" w:hAnsiTheme="majorEastAsia" w:hint="eastAsia"/>
                <w:sz w:val="24"/>
                <w:szCs w:val="24"/>
              </w:rPr>
              <w:t>月</w:t>
            </w:r>
            <w:r w:rsidR="002B4099" w:rsidRPr="002B03A8">
              <w:rPr>
                <w:rFonts w:asciiTheme="majorEastAsia" w:eastAsiaTheme="majorEastAsia" w:hAnsiTheme="majorEastAsia" w:hint="eastAsia"/>
                <w:sz w:val="24"/>
                <w:szCs w:val="24"/>
              </w:rPr>
              <w:t>2</w:t>
            </w:r>
            <w:r w:rsidR="002B4099" w:rsidRPr="002B03A8">
              <w:rPr>
                <w:rFonts w:asciiTheme="majorEastAsia" w:eastAsiaTheme="majorEastAsia" w:hAnsiTheme="majorEastAsia"/>
                <w:sz w:val="24"/>
                <w:szCs w:val="24"/>
              </w:rPr>
              <w:t>3</w:t>
            </w:r>
            <w:r w:rsidR="007C7971" w:rsidRPr="002B03A8">
              <w:rPr>
                <w:rFonts w:asciiTheme="majorEastAsia" w:eastAsiaTheme="majorEastAsia" w:hAnsiTheme="majorEastAsia" w:hint="eastAsia"/>
                <w:sz w:val="24"/>
                <w:szCs w:val="24"/>
              </w:rPr>
              <w:t>日</w:t>
            </w:r>
          </w:p>
        </w:tc>
      </w:tr>
      <w:tr w:rsidR="00C935DF" w:rsidRPr="002B03A8" w:rsidTr="00B85EB1">
        <w:trPr>
          <w:trHeight w:val="386"/>
          <w:jc w:val="center"/>
        </w:trPr>
        <w:tc>
          <w:tcPr>
            <w:tcW w:w="3681" w:type="dxa"/>
            <w:gridSpan w:val="2"/>
            <w:shd w:val="clear" w:color="auto" w:fill="auto"/>
            <w:vAlign w:val="center"/>
          </w:tcPr>
          <w:p w:rsidR="00C935DF" w:rsidRPr="002B03A8" w:rsidRDefault="00C935DF"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lastRenderedPageBreak/>
              <w:t>募集有效认购总户数（单位：</w:t>
            </w:r>
            <w:r w:rsidR="0055065C" w:rsidRPr="002B03A8">
              <w:rPr>
                <w:rFonts w:asciiTheme="majorEastAsia" w:eastAsiaTheme="majorEastAsia" w:hAnsiTheme="majorEastAsia" w:hint="eastAsia"/>
                <w:color w:val="000000"/>
                <w:sz w:val="24"/>
                <w:szCs w:val="24"/>
              </w:rPr>
              <w:t>户</w:t>
            </w:r>
            <w:r w:rsidRPr="002B03A8">
              <w:rPr>
                <w:rFonts w:asciiTheme="majorEastAsia" w:eastAsiaTheme="majorEastAsia" w:hAnsiTheme="majorEastAsia"/>
                <w:color w:val="000000"/>
                <w:sz w:val="24"/>
                <w:szCs w:val="24"/>
              </w:rPr>
              <w:t>）</w:t>
            </w:r>
          </w:p>
        </w:tc>
        <w:tc>
          <w:tcPr>
            <w:tcW w:w="6520" w:type="dxa"/>
            <w:vAlign w:val="center"/>
          </w:tcPr>
          <w:p w:rsidR="00C935DF" w:rsidRPr="002B03A8" w:rsidRDefault="00B85EB1" w:rsidP="008C199E">
            <w:pPr>
              <w:rPr>
                <w:rFonts w:asciiTheme="majorEastAsia" w:eastAsiaTheme="majorEastAsia" w:hAnsiTheme="majorEastAsia" w:cs="宋体"/>
                <w:sz w:val="24"/>
                <w:szCs w:val="24"/>
              </w:rPr>
            </w:pPr>
            <w:r w:rsidRPr="002B03A8">
              <w:rPr>
                <w:rFonts w:asciiTheme="majorEastAsia" w:eastAsiaTheme="majorEastAsia" w:hAnsiTheme="majorEastAsia" w:cs="宋体" w:hint="eastAsia"/>
                <w:sz w:val="24"/>
                <w:szCs w:val="24"/>
              </w:rPr>
              <w:t>6</w:t>
            </w:r>
            <w:r w:rsidRPr="002B03A8">
              <w:rPr>
                <w:rFonts w:asciiTheme="majorEastAsia" w:eastAsiaTheme="majorEastAsia" w:hAnsiTheme="majorEastAsia" w:cs="宋体"/>
                <w:sz w:val="24"/>
                <w:szCs w:val="24"/>
              </w:rPr>
              <w:t>36</w:t>
            </w:r>
          </w:p>
        </w:tc>
      </w:tr>
      <w:tr w:rsidR="002B4099" w:rsidRPr="002B03A8" w:rsidTr="00B85EB1">
        <w:trPr>
          <w:trHeight w:val="386"/>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99" w:rsidRPr="002B03A8" w:rsidRDefault="002B4099" w:rsidP="008F4F9A">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募集期间净认购金额（单位：</w:t>
            </w:r>
            <w:r w:rsidRPr="002B03A8">
              <w:rPr>
                <w:rFonts w:asciiTheme="majorEastAsia" w:eastAsiaTheme="majorEastAsia" w:hAnsiTheme="majorEastAsia" w:hint="eastAsia"/>
                <w:sz w:val="24"/>
                <w:szCs w:val="24"/>
              </w:rPr>
              <w:t>元</w:t>
            </w:r>
            <w:r w:rsidRPr="002B03A8">
              <w:rPr>
                <w:rFonts w:asciiTheme="majorEastAsia" w:eastAsiaTheme="majorEastAsia" w:hAnsiTheme="majorEastAsia"/>
                <w:sz w:val="24"/>
                <w:szCs w:val="24"/>
              </w:rPr>
              <w:t>）</w:t>
            </w:r>
          </w:p>
        </w:tc>
        <w:tc>
          <w:tcPr>
            <w:tcW w:w="6520" w:type="dxa"/>
            <w:tcBorders>
              <w:top w:val="single" w:sz="4" w:space="0" w:color="auto"/>
              <w:left w:val="single" w:sz="4" w:space="0" w:color="auto"/>
              <w:bottom w:val="single" w:sz="4" w:space="0" w:color="auto"/>
              <w:right w:val="single" w:sz="4" w:space="0" w:color="auto"/>
            </w:tcBorders>
            <w:vAlign w:val="center"/>
          </w:tcPr>
          <w:p w:rsidR="002B4099" w:rsidRPr="002B03A8" w:rsidRDefault="00B85EB1" w:rsidP="008F4F9A">
            <w:pPr>
              <w:jc w:val="right"/>
              <w:rPr>
                <w:rFonts w:asciiTheme="majorEastAsia" w:eastAsiaTheme="majorEastAsia" w:hAnsiTheme="majorEastAsia" w:cs="宋体"/>
                <w:sz w:val="24"/>
                <w:szCs w:val="24"/>
              </w:rPr>
            </w:pPr>
            <w:r w:rsidRPr="002B03A8">
              <w:rPr>
                <w:rFonts w:asciiTheme="majorEastAsia" w:eastAsiaTheme="majorEastAsia" w:hAnsiTheme="majorEastAsia" w:cs="Arial"/>
                <w:sz w:val="24"/>
                <w:szCs w:val="24"/>
              </w:rPr>
              <w:t>420,580,426.19</w:t>
            </w:r>
          </w:p>
        </w:tc>
      </w:tr>
      <w:tr w:rsidR="002B4099" w:rsidRPr="002B03A8" w:rsidTr="00B85EB1">
        <w:trPr>
          <w:trHeight w:val="386"/>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99" w:rsidRPr="002B03A8" w:rsidRDefault="002B4099" w:rsidP="008F4F9A">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认购资金在募集期间产生的利息（单位：</w:t>
            </w:r>
            <w:r w:rsidRPr="002B03A8">
              <w:rPr>
                <w:rFonts w:asciiTheme="majorEastAsia" w:eastAsiaTheme="majorEastAsia" w:hAnsiTheme="majorEastAsia" w:hint="eastAsia"/>
                <w:sz w:val="24"/>
                <w:szCs w:val="24"/>
              </w:rPr>
              <w:t>元</w:t>
            </w:r>
            <w:r w:rsidRPr="002B03A8">
              <w:rPr>
                <w:rFonts w:asciiTheme="majorEastAsia" w:eastAsiaTheme="majorEastAsia" w:hAnsiTheme="majorEastAsia"/>
                <w:sz w:val="24"/>
                <w:szCs w:val="24"/>
              </w:rPr>
              <w:t>）</w:t>
            </w:r>
          </w:p>
        </w:tc>
        <w:tc>
          <w:tcPr>
            <w:tcW w:w="6520" w:type="dxa"/>
            <w:tcBorders>
              <w:top w:val="single" w:sz="4" w:space="0" w:color="auto"/>
              <w:left w:val="single" w:sz="4" w:space="0" w:color="auto"/>
              <w:bottom w:val="single" w:sz="4" w:space="0" w:color="auto"/>
              <w:right w:val="single" w:sz="4" w:space="0" w:color="auto"/>
            </w:tcBorders>
            <w:vAlign w:val="center"/>
          </w:tcPr>
          <w:p w:rsidR="002B4099" w:rsidRPr="002B03A8" w:rsidRDefault="00B85EB1" w:rsidP="008F4F9A">
            <w:pPr>
              <w:jc w:val="right"/>
              <w:rPr>
                <w:rFonts w:asciiTheme="majorEastAsia" w:eastAsiaTheme="majorEastAsia" w:hAnsiTheme="majorEastAsia" w:cs="宋体"/>
                <w:sz w:val="24"/>
                <w:szCs w:val="24"/>
              </w:rPr>
            </w:pPr>
            <w:r w:rsidRPr="002B03A8">
              <w:rPr>
                <w:rFonts w:asciiTheme="majorEastAsia" w:eastAsiaTheme="majorEastAsia" w:hAnsiTheme="majorEastAsia" w:cs="Arial"/>
                <w:sz w:val="24"/>
                <w:szCs w:val="24"/>
              </w:rPr>
              <w:t>94,602.16</w:t>
            </w:r>
          </w:p>
        </w:tc>
      </w:tr>
      <w:tr w:rsidR="00B85EB1" w:rsidRPr="002B03A8" w:rsidTr="00B85EB1">
        <w:trPr>
          <w:jc w:val="center"/>
        </w:trPr>
        <w:tc>
          <w:tcPr>
            <w:tcW w:w="1761" w:type="dxa"/>
            <w:vMerge w:val="restart"/>
            <w:shd w:val="clear" w:color="auto" w:fill="auto"/>
            <w:vAlign w:val="center"/>
          </w:tcPr>
          <w:p w:rsidR="00B85EB1" w:rsidRPr="002B03A8" w:rsidRDefault="00B85EB1" w:rsidP="00B85EB1">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募集份额（单位：</w:t>
            </w:r>
            <w:r w:rsidRPr="002B03A8">
              <w:rPr>
                <w:rFonts w:asciiTheme="majorEastAsia" w:eastAsiaTheme="majorEastAsia" w:hAnsiTheme="majorEastAsia" w:hint="eastAsia"/>
                <w:sz w:val="24"/>
                <w:szCs w:val="24"/>
              </w:rPr>
              <w:t>份</w:t>
            </w:r>
            <w:r w:rsidRPr="002B03A8">
              <w:rPr>
                <w:rFonts w:asciiTheme="majorEastAsia" w:eastAsiaTheme="majorEastAsia" w:hAnsiTheme="majorEastAsia"/>
                <w:sz w:val="24"/>
                <w:szCs w:val="24"/>
              </w:rPr>
              <w:t>）</w:t>
            </w:r>
          </w:p>
        </w:tc>
        <w:tc>
          <w:tcPr>
            <w:tcW w:w="1920" w:type="dxa"/>
            <w:shd w:val="clear" w:color="auto" w:fill="auto"/>
            <w:vAlign w:val="center"/>
          </w:tcPr>
          <w:p w:rsidR="00B85EB1" w:rsidRPr="002B03A8" w:rsidRDefault="00B85EB1" w:rsidP="00B85EB1">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有效认购份额</w:t>
            </w:r>
          </w:p>
        </w:tc>
        <w:tc>
          <w:tcPr>
            <w:tcW w:w="6520" w:type="dxa"/>
            <w:vAlign w:val="center"/>
          </w:tcPr>
          <w:p w:rsidR="00B85EB1" w:rsidRPr="002B03A8" w:rsidRDefault="00B85EB1" w:rsidP="00B85EB1">
            <w:pPr>
              <w:jc w:val="right"/>
              <w:rPr>
                <w:rFonts w:asciiTheme="majorEastAsia" w:eastAsiaTheme="majorEastAsia" w:hAnsiTheme="majorEastAsia" w:cs="宋体"/>
                <w:sz w:val="24"/>
                <w:szCs w:val="24"/>
              </w:rPr>
            </w:pPr>
            <w:r w:rsidRPr="002B03A8">
              <w:rPr>
                <w:rFonts w:asciiTheme="majorEastAsia" w:eastAsiaTheme="majorEastAsia" w:hAnsiTheme="majorEastAsia" w:cs="Arial"/>
                <w:sz w:val="24"/>
                <w:szCs w:val="24"/>
              </w:rPr>
              <w:t>420,580,426.19</w:t>
            </w:r>
          </w:p>
        </w:tc>
      </w:tr>
      <w:tr w:rsidR="00B85EB1" w:rsidRPr="002B03A8" w:rsidTr="00B85EB1">
        <w:trPr>
          <w:jc w:val="center"/>
        </w:trPr>
        <w:tc>
          <w:tcPr>
            <w:tcW w:w="1761" w:type="dxa"/>
            <w:vMerge/>
            <w:shd w:val="clear" w:color="auto" w:fill="auto"/>
            <w:vAlign w:val="center"/>
          </w:tcPr>
          <w:p w:rsidR="00B85EB1" w:rsidRPr="002B03A8" w:rsidRDefault="00B85EB1" w:rsidP="00B85EB1">
            <w:pPr>
              <w:spacing w:line="530" w:lineRule="exact"/>
              <w:rPr>
                <w:rFonts w:asciiTheme="majorEastAsia" w:eastAsiaTheme="majorEastAsia" w:hAnsiTheme="majorEastAsia"/>
                <w:sz w:val="24"/>
                <w:szCs w:val="24"/>
              </w:rPr>
            </w:pPr>
          </w:p>
        </w:tc>
        <w:tc>
          <w:tcPr>
            <w:tcW w:w="1920" w:type="dxa"/>
            <w:shd w:val="clear" w:color="auto" w:fill="auto"/>
            <w:vAlign w:val="center"/>
          </w:tcPr>
          <w:p w:rsidR="00B85EB1" w:rsidRPr="002B03A8" w:rsidRDefault="00B85EB1" w:rsidP="00B85EB1">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利息结转的份额</w:t>
            </w:r>
          </w:p>
        </w:tc>
        <w:tc>
          <w:tcPr>
            <w:tcW w:w="6520" w:type="dxa"/>
            <w:vAlign w:val="center"/>
          </w:tcPr>
          <w:p w:rsidR="00B85EB1" w:rsidRPr="002B03A8" w:rsidRDefault="00B85EB1" w:rsidP="00B85EB1">
            <w:pPr>
              <w:jc w:val="right"/>
              <w:rPr>
                <w:rFonts w:asciiTheme="majorEastAsia" w:eastAsiaTheme="majorEastAsia" w:hAnsiTheme="majorEastAsia" w:cs="宋体"/>
                <w:sz w:val="24"/>
                <w:szCs w:val="24"/>
              </w:rPr>
            </w:pPr>
            <w:r w:rsidRPr="002B03A8">
              <w:rPr>
                <w:rFonts w:asciiTheme="majorEastAsia" w:eastAsiaTheme="majorEastAsia" w:hAnsiTheme="majorEastAsia" w:cs="Arial"/>
                <w:sz w:val="24"/>
                <w:szCs w:val="24"/>
              </w:rPr>
              <w:t>94,602.16</w:t>
            </w:r>
          </w:p>
        </w:tc>
      </w:tr>
      <w:tr w:rsidR="002B4099" w:rsidRPr="002B03A8" w:rsidTr="00B85EB1">
        <w:trPr>
          <w:jc w:val="center"/>
        </w:trPr>
        <w:tc>
          <w:tcPr>
            <w:tcW w:w="1761" w:type="dxa"/>
            <w:vMerge/>
            <w:shd w:val="clear" w:color="auto" w:fill="auto"/>
            <w:vAlign w:val="center"/>
          </w:tcPr>
          <w:p w:rsidR="002B4099" w:rsidRPr="002B03A8" w:rsidRDefault="002B4099" w:rsidP="003D0326">
            <w:pPr>
              <w:spacing w:line="530" w:lineRule="exact"/>
              <w:rPr>
                <w:rFonts w:asciiTheme="majorEastAsia" w:eastAsiaTheme="majorEastAsia" w:hAnsiTheme="majorEastAsia"/>
                <w:sz w:val="24"/>
                <w:szCs w:val="24"/>
              </w:rPr>
            </w:pPr>
          </w:p>
        </w:tc>
        <w:tc>
          <w:tcPr>
            <w:tcW w:w="1920" w:type="dxa"/>
            <w:shd w:val="clear" w:color="auto" w:fill="auto"/>
            <w:vAlign w:val="center"/>
          </w:tcPr>
          <w:p w:rsidR="002B4099" w:rsidRPr="002B03A8" w:rsidRDefault="002B4099" w:rsidP="003D0326">
            <w:pPr>
              <w:spacing w:line="530" w:lineRule="exact"/>
              <w:rPr>
                <w:rFonts w:asciiTheme="majorEastAsia" w:eastAsiaTheme="majorEastAsia" w:hAnsiTheme="majorEastAsia"/>
                <w:sz w:val="24"/>
                <w:szCs w:val="24"/>
              </w:rPr>
            </w:pPr>
            <w:r w:rsidRPr="002B03A8">
              <w:rPr>
                <w:rFonts w:asciiTheme="majorEastAsia" w:eastAsiaTheme="majorEastAsia" w:hAnsiTheme="majorEastAsia"/>
                <w:sz w:val="24"/>
                <w:szCs w:val="24"/>
              </w:rPr>
              <w:t>合计</w:t>
            </w:r>
          </w:p>
        </w:tc>
        <w:tc>
          <w:tcPr>
            <w:tcW w:w="6520" w:type="dxa"/>
            <w:vAlign w:val="center"/>
          </w:tcPr>
          <w:p w:rsidR="002B4099" w:rsidRPr="002B03A8" w:rsidRDefault="00B85EB1" w:rsidP="00E5151D">
            <w:pPr>
              <w:jc w:val="right"/>
              <w:rPr>
                <w:rFonts w:asciiTheme="majorEastAsia" w:eastAsiaTheme="majorEastAsia" w:hAnsiTheme="majorEastAsia" w:cs="宋体"/>
                <w:sz w:val="24"/>
                <w:szCs w:val="24"/>
              </w:rPr>
            </w:pPr>
            <w:r w:rsidRPr="002B03A8">
              <w:rPr>
                <w:rFonts w:asciiTheme="majorEastAsia" w:eastAsiaTheme="majorEastAsia" w:hAnsiTheme="majorEastAsia" w:cs="Arial"/>
                <w:sz w:val="24"/>
                <w:szCs w:val="24"/>
              </w:rPr>
              <w:t>420,675,028.35</w:t>
            </w:r>
          </w:p>
        </w:tc>
      </w:tr>
      <w:tr w:rsidR="002B4099" w:rsidRPr="002B03A8" w:rsidTr="00AB626D">
        <w:trPr>
          <w:jc w:val="center"/>
        </w:trPr>
        <w:tc>
          <w:tcPr>
            <w:tcW w:w="1761" w:type="dxa"/>
            <w:vMerge w:val="restart"/>
            <w:vAlign w:val="center"/>
          </w:tcPr>
          <w:p w:rsidR="002B4099" w:rsidRPr="002B03A8" w:rsidRDefault="002B4099"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其中：募集期间基金管理人运用固有资金认购本基金情况</w:t>
            </w:r>
          </w:p>
        </w:tc>
        <w:tc>
          <w:tcPr>
            <w:tcW w:w="1920" w:type="dxa"/>
            <w:vAlign w:val="center"/>
          </w:tcPr>
          <w:p w:rsidR="002B4099" w:rsidRPr="002B03A8" w:rsidRDefault="002B4099"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 xml:space="preserve">认购的基金份额（单位： </w:t>
            </w:r>
            <w:r w:rsidRPr="002B03A8">
              <w:rPr>
                <w:rFonts w:asciiTheme="majorEastAsia" w:eastAsiaTheme="majorEastAsia" w:hAnsiTheme="majorEastAsia" w:hint="eastAsia"/>
                <w:color w:val="000000"/>
                <w:sz w:val="24"/>
                <w:szCs w:val="24"/>
              </w:rPr>
              <w:t>份</w:t>
            </w:r>
            <w:r w:rsidRPr="002B03A8">
              <w:rPr>
                <w:rFonts w:asciiTheme="majorEastAsia" w:eastAsiaTheme="majorEastAsia" w:hAnsiTheme="majorEastAsia"/>
                <w:color w:val="000000"/>
                <w:sz w:val="24"/>
                <w:szCs w:val="24"/>
              </w:rPr>
              <w:t>）</w:t>
            </w:r>
          </w:p>
        </w:tc>
        <w:tc>
          <w:tcPr>
            <w:tcW w:w="6520" w:type="dxa"/>
            <w:vAlign w:val="center"/>
          </w:tcPr>
          <w:p w:rsidR="002B4099" w:rsidRPr="002B03A8" w:rsidRDefault="002B4099" w:rsidP="002B4099">
            <w:pPr>
              <w:jc w:val="right"/>
              <w:rPr>
                <w:rFonts w:asciiTheme="majorEastAsia" w:eastAsiaTheme="majorEastAsia" w:hAnsiTheme="majorEastAsia" w:cs="宋体"/>
                <w:sz w:val="24"/>
                <w:szCs w:val="24"/>
              </w:rPr>
            </w:pPr>
            <w:r w:rsidRPr="002B03A8">
              <w:rPr>
                <w:rFonts w:asciiTheme="majorEastAsia" w:eastAsiaTheme="majorEastAsia" w:hAnsiTheme="majorEastAsia" w:cs="宋体"/>
                <w:sz w:val="24"/>
                <w:szCs w:val="24"/>
              </w:rPr>
              <w:t>-</w:t>
            </w:r>
          </w:p>
        </w:tc>
      </w:tr>
      <w:tr w:rsidR="002B4099" w:rsidRPr="002B03A8" w:rsidTr="00DD10A3">
        <w:trPr>
          <w:jc w:val="center"/>
        </w:trPr>
        <w:tc>
          <w:tcPr>
            <w:tcW w:w="1761" w:type="dxa"/>
            <w:vMerge/>
            <w:vAlign w:val="center"/>
          </w:tcPr>
          <w:p w:rsidR="002B4099" w:rsidRPr="002B03A8" w:rsidRDefault="002B4099" w:rsidP="003D0326">
            <w:pPr>
              <w:spacing w:line="530" w:lineRule="exact"/>
              <w:rPr>
                <w:rFonts w:asciiTheme="majorEastAsia" w:eastAsiaTheme="majorEastAsia" w:hAnsiTheme="majorEastAsia"/>
                <w:color w:val="000000"/>
                <w:sz w:val="24"/>
                <w:szCs w:val="24"/>
              </w:rPr>
            </w:pPr>
          </w:p>
        </w:tc>
        <w:tc>
          <w:tcPr>
            <w:tcW w:w="1920" w:type="dxa"/>
            <w:vAlign w:val="center"/>
          </w:tcPr>
          <w:p w:rsidR="002B4099" w:rsidRPr="002B03A8" w:rsidRDefault="002B4099" w:rsidP="003D0326">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占基金总份额比例</w:t>
            </w:r>
          </w:p>
        </w:tc>
        <w:tc>
          <w:tcPr>
            <w:tcW w:w="6520" w:type="dxa"/>
            <w:vAlign w:val="center"/>
          </w:tcPr>
          <w:p w:rsidR="002B4099" w:rsidRPr="002B03A8" w:rsidRDefault="002B4099" w:rsidP="003D0326">
            <w:pPr>
              <w:jc w:val="right"/>
              <w:rPr>
                <w:rFonts w:asciiTheme="majorEastAsia" w:eastAsiaTheme="majorEastAsia" w:hAnsiTheme="majorEastAsia" w:cs="宋体"/>
                <w:sz w:val="24"/>
                <w:szCs w:val="24"/>
              </w:rPr>
            </w:pPr>
            <w:r w:rsidRPr="002B03A8">
              <w:rPr>
                <w:rFonts w:asciiTheme="majorEastAsia" w:eastAsiaTheme="majorEastAsia" w:hAnsiTheme="majorEastAsia" w:cs="宋体"/>
                <w:sz w:val="24"/>
                <w:szCs w:val="24"/>
              </w:rPr>
              <w:t>-</w:t>
            </w:r>
          </w:p>
        </w:tc>
      </w:tr>
      <w:tr w:rsidR="002B4099" w:rsidRPr="002B03A8" w:rsidTr="0026011C">
        <w:trPr>
          <w:jc w:val="center"/>
        </w:trPr>
        <w:tc>
          <w:tcPr>
            <w:tcW w:w="1761" w:type="dxa"/>
            <w:vMerge/>
            <w:vAlign w:val="center"/>
          </w:tcPr>
          <w:p w:rsidR="002B4099" w:rsidRPr="002B03A8" w:rsidRDefault="002B4099" w:rsidP="008C199E">
            <w:pPr>
              <w:spacing w:line="530" w:lineRule="exact"/>
              <w:rPr>
                <w:rFonts w:asciiTheme="majorEastAsia" w:eastAsiaTheme="majorEastAsia" w:hAnsiTheme="majorEastAsia"/>
                <w:color w:val="000000"/>
                <w:sz w:val="24"/>
                <w:szCs w:val="24"/>
              </w:rPr>
            </w:pPr>
          </w:p>
        </w:tc>
        <w:tc>
          <w:tcPr>
            <w:tcW w:w="1920" w:type="dxa"/>
            <w:vAlign w:val="center"/>
          </w:tcPr>
          <w:p w:rsidR="002B4099" w:rsidRPr="002B03A8" w:rsidRDefault="002B4099" w:rsidP="008C199E">
            <w:pPr>
              <w:spacing w:line="53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其他需要说明的事项</w:t>
            </w:r>
          </w:p>
        </w:tc>
        <w:tc>
          <w:tcPr>
            <w:tcW w:w="6520" w:type="dxa"/>
            <w:vAlign w:val="center"/>
          </w:tcPr>
          <w:p w:rsidR="002B4099" w:rsidRPr="002B03A8" w:rsidRDefault="002B4099" w:rsidP="003D0326">
            <w:pPr>
              <w:jc w:val="right"/>
              <w:rPr>
                <w:rFonts w:asciiTheme="majorEastAsia" w:eastAsiaTheme="majorEastAsia" w:hAnsiTheme="majorEastAsia" w:cs="宋体"/>
                <w:sz w:val="24"/>
                <w:szCs w:val="24"/>
              </w:rPr>
            </w:pPr>
            <w:r w:rsidRPr="002B03A8">
              <w:rPr>
                <w:rFonts w:asciiTheme="majorEastAsia" w:eastAsiaTheme="majorEastAsia" w:hAnsiTheme="majorEastAsia" w:cs="宋体" w:hint="eastAsia"/>
                <w:sz w:val="24"/>
                <w:szCs w:val="24"/>
              </w:rPr>
              <w:t>无</w:t>
            </w:r>
          </w:p>
        </w:tc>
      </w:tr>
      <w:tr w:rsidR="002B4099" w:rsidRPr="002B03A8" w:rsidTr="00564272">
        <w:trPr>
          <w:jc w:val="center"/>
        </w:trPr>
        <w:tc>
          <w:tcPr>
            <w:tcW w:w="1761" w:type="dxa"/>
            <w:vMerge w:val="restart"/>
            <w:vAlign w:val="center"/>
          </w:tcPr>
          <w:p w:rsidR="002B4099" w:rsidRPr="002B03A8" w:rsidRDefault="002B4099" w:rsidP="003D0326">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其中：募集期间基金管理人的从业人员认购本基金情况</w:t>
            </w:r>
          </w:p>
        </w:tc>
        <w:tc>
          <w:tcPr>
            <w:tcW w:w="1920" w:type="dxa"/>
            <w:vAlign w:val="center"/>
          </w:tcPr>
          <w:p w:rsidR="002B4099" w:rsidRPr="002B03A8" w:rsidRDefault="002B4099" w:rsidP="003D0326">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认购的基金份额（单位：</w:t>
            </w:r>
            <w:r w:rsidRPr="002B03A8">
              <w:rPr>
                <w:rFonts w:asciiTheme="majorEastAsia" w:eastAsiaTheme="majorEastAsia" w:hAnsiTheme="majorEastAsia" w:hint="eastAsia"/>
                <w:color w:val="000000"/>
                <w:sz w:val="24"/>
                <w:szCs w:val="24"/>
              </w:rPr>
              <w:t>份</w:t>
            </w:r>
            <w:r w:rsidRPr="002B03A8">
              <w:rPr>
                <w:rFonts w:asciiTheme="majorEastAsia" w:eastAsiaTheme="majorEastAsia" w:hAnsiTheme="majorEastAsia"/>
                <w:color w:val="000000"/>
                <w:sz w:val="24"/>
                <w:szCs w:val="24"/>
              </w:rPr>
              <w:t>）</w:t>
            </w:r>
          </w:p>
        </w:tc>
        <w:tc>
          <w:tcPr>
            <w:tcW w:w="6520" w:type="dxa"/>
            <w:vAlign w:val="center"/>
          </w:tcPr>
          <w:p w:rsidR="002B4099" w:rsidRPr="002B03A8" w:rsidRDefault="002B4099" w:rsidP="003D0326">
            <w:pPr>
              <w:jc w:val="right"/>
              <w:rPr>
                <w:rFonts w:asciiTheme="majorEastAsia" w:eastAsiaTheme="majorEastAsia" w:hAnsiTheme="majorEastAsia" w:cs="宋体"/>
                <w:sz w:val="24"/>
                <w:szCs w:val="24"/>
                <w:highlight w:val="yellow"/>
              </w:rPr>
            </w:pPr>
            <w:r w:rsidRPr="002B03A8">
              <w:rPr>
                <w:rFonts w:asciiTheme="majorEastAsia" w:eastAsiaTheme="majorEastAsia" w:hAnsiTheme="majorEastAsia" w:cs="宋体"/>
                <w:sz w:val="24"/>
                <w:szCs w:val="24"/>
              </w:rPr>
              <w:t>-</w:t>
            </w:r>
          </w:p>
        </w:tc>
      </w:tr>
      <w:tr w:rsidR="002B4099" w:rsidRPr="002B03A8" w:rsidTr="00E12214">
        <w:trPr>
          <w:jc w:val="center"/>
        </w:trPr>
        <w:tc>
          <w:tcPr>
            <w:tcW w:w="1761" w:type="dxa"/>
            <w:vMerge/>
            <w:vAlign w:val="center"/>
          </w:tcPr>
          <w:p w:rsidR="002B4099" w:rsidRPr="002B03A8" w:rsidRDefault="002B4099" w:rsidP="003D0326">
            <w:pPr>
              <w:spacing w:line="560" w:lineRule="exact"/>
              <w:rPr>
                <w:rFonts w:asciiTheme="majorEastAsia" w:eastAsiaTheme="majorEastAsia" w:hAnsiTheme="majorEastAsia"/>
                <w:color w:val="000000"/>
                <w:sz w:val="24"/>
                <w:szCs w:val="24"/>
              </w:rPr>
            </w:pPr>
          </w:p>
        </w:tc>
        <w:tc>
          <w:tcPr>
            <w:tcW w:w="1920" w:type="dxa"/>
            <w:vAlign w:val="center"/>
          </w:tcPr>
          <w:p w:rsidR="002B4099" w:rsidRPr="002B03A8" w:rsidRDefault="002B4099" w:rsidP="003D0326">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占基金总份额比例</w:t>
            </w:r>
          </w:p>
        </w:tc>
        <w:tc>
          <w:tcPr>
            <w:tcW w:w="6520" w:type="dxa"/>
            <w:vAlign w:val="center"/>
          </w:tcPr>
          <w:p w:rsidR="002B4099" w:rsidRPr="002B03A8" w:rsidRDefault="002B4099" w:rsidP="003D0326">
            <w:pPr>
              <w:widowControl/>
              <w:jc w:val="right"/>
              <w:rPr>
                <w:rFonts w:asciiTheme="majorEastAsia" w:eastAsiaTheme="majorEastAsia" w:hAnsiTheme="majorEastAsia" w:cs="宋体"/>
                <w:sz w:val="24"/>
                <w:szCs w:val="24"/>
                <w:highlight w:val="yellow"/>
              </w:rPr>
            </w:pPr>
            <w:r w:rsidRPr="002B03A8">
              <w:rPr>
                <w:rFonts w:asciiTheme="majorEastAsia" w:eastAsiaTheme="majorEastAsia" w:hAnsiTheme="majorEastAsia" w:cs="宋体"/>
                <w:sz w:val="24"/>
                <w:szCs w:val="24"/>
              </w:rPr>
              <w:t>-</w:t>
            </w:r>
          </w:p>
        </w:tc>
      </w:tr>
      <w:tr w:rsidR="00470D9C" w:rsidRPr="002B03A8" w:rsidTr="008C199E">
        <w:trPr>
          <w:jc w:val="center"/>
        </w:trPr>
        <w:tc>
          <w:tcPr>
            <w:tcW w:w="3681" w:type="dxa"/>
            <w:gridSpan w:val="2"/>
            <w:vAlign w:val="center"/>
          </w:tcPr>
          <w:p w:rsidR="00470D9C" w:rsidRPr="002B03A8" w:rsidRDefault="00470D9C" w:rsidP="008C199E">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募集期限届满基金是否符合法律法规规定的办理基金备案手续的条件</w:t>
            </w:r>
          </w:p>
        </w:tc>
        <w:tc>
          <w:tcPr>
            <w:tcW w:w="6520" w:type="dxa"/>
            <w:vAlign w:val="center"/>
          </w:tcPr>
          <w:p w:rsidR="00470D9C" w:rsidRPr="002B03A8" w:rsidRDefault="00470D9C" w:rsidP="008C199E">
            <w:pPr>
              <w:rPr>
                <w:rFonts w:asciiTheme="majorEastAsia" w:eastAsiaTheme="majorEastAsia" w:hAnsiTheme="majorEastAsia" w:cs="宋体"/>
                <w:sz w:val="24"/>
                <w:szCs w:val="24"/>
              </w:rPr>
            </w:pPr>
            <w:r w:rsidRPr="002B03A8">
              <w:rPr>
                <w:rFonts w:asciiTheme="majorEastAsia" w:eastAsiaTheme="majorEastAsia" w:hAnsiTheme="majorEastAsia" w:hint="eastAsia"/>
                <w:sz w:val="24"/>
                <w:szCs w:val="24"/>
              </w:rPr>
              <w:t>是</w:t>
            </w:r>
          </w:p>
        </w:tc>
      </w:tr>
      <w:tr w:rsidR="00470D9C" w:rsidRPr="002B03A8" w:rsidTr="008C199E">
        <w:trPr>
          <w:jc w:val="center"/>
        </w:trPr>
        <w:tc>
          <w:tcPr>
            <w:tcW w:w="3681" w:type="dxa"/>
            <w:gridSpan w:val="2"/>
            <w:vAlign w:val="center"/>
          </w:tcPr>
          <w:p w:rsidR="00470D9C" w:rsidRPr="002B03A8" w:rsidRDefault="00470D9C" w:rsidP="008C199E">
            <w:pPr>
              <w:spacing w:line="560" w:lineRule="exact"/>
              <w:rPr>
                <w:rFonts w:asciiTheme="majorEastAsia" w:eastAsiaTheme="majorEastAsia" w:hAnsiTheme="majorEastAsia"/>
                <w:color w:val="000000"/>
                <w:sz w:val="24"/>
                <w:szCs w:val="24"/>
              </w:rPr>
            </w:pPr>
            <w:r w:rsidRPr="002B03A8">
              <w:rPr>
                <w:rFonts w:asciiTheme="majorEastAsia" w:eastAsiaTheme="majorEastAsia" w:hAnsiTheme="majorEastAsia"/>
                <w:color w:val="000000"/>
                <w:sz w:val="24"/>
                <w:szCs w:val="24"/>
              </w:rPr>
              <w:t>向中国证监会办理基金备案手续获得书面确认的日期</w:t>
            </w:r>
          </w:p>
        </w:tc>
        <w:tc>
          <w:tcPr>
            <w:tcW w:w="6520" w:type="dxa"/>
            <w:vAlign w:val="center"/>
          </w:tcPr>
          <w:p w:rsidR="00470D9C" w:rsidRPr="002B03A8" w:rsidRDefault="00470D9C" w:rsidP="00354C60">
            <w:pPr>
              <w:rPr>
                <w:rFonts w:asciiTheme="majorEastAsia" w:eastAsiaTheme="majorEastAsia" w:hAnsiTheme="majorEastAsia" w:cs="宋体"/>
                <w:sz w:val="24"/>
                <w:szCs w:val="24"/>
              </w:rPr>
            </w:pPr>
            <w:r w:rsidRPr="002B03A8">
              <w:rPr>
                <w:rFonts w:asciiTheme="majorEastAsia" w:eastAsiaTheme="majorEastAsia" w:hAnsiTheme="majorEastAsia" w:hint="eastAsia"/>
                <w:sz w:val="24"/>
                <w:szCs w:val="24"/>
              </w:rPr>
              <w:t>202</w:t>
            </w:r>
            <w:r w:rsidR="004761C5" w:rsidRPr="002B03A8">
              <w:rPr>
                <w:rFonts w:asciiTheme="majorEastAsia" w:eastAsiaTheme="majorEastAsia" w:hAnsiTheme="majorEastAsia"/>
                <w:sz w:val="24"/>
                <w:szCs w:val="24"/>
              </w:rPr>
              <w:t>5</w:t>
            </w:r>
            <w:r w:rsidRPr="002B03A8">
              <w:rPr>
                <w:rFonts w:asciiTheme="majorEastAsia" w:eastAsiaTheme="majorEastAsia" w:hAnsiTheme="majorEastAsia" w:hint="eastAsia"/>
                <w:sz w:val="24"/>
                <w:szCs w:val="24"/>
              </w:rPr>
              <w:t>年</w:t>
            </w:r>
            <w:r w:rsidR="002B4099" w:rsidRPr="002B03A8">
              <w:rPr>
                <w:rFonts w:asciiTheme="majorEastAsia" w:eastAsiaTheme="majorEastAsia" w:hAnsiTheme="majorEastAsia" w:hint="eastAsia"/>
                <w:sz w:val="24"/>
                <w:szCs w:val="24"/>
              </w:rPr>
              <w:t>9</w:t>
            </w:r>
            <w:r w:rsidRPr="002B03A8">
              <w:rPr>
                <w:rFonts w:asciiTheme="majorEastAsia" w:eastAsiaTheme="majorEastAsia" w:hAnsiTheme="majorEastAsia" w:hint="eastAsia"/>
                <w:sz w:val="24"/>
                <w:szCs w:val="24"/>
              </w:rPr>
              <w:t>月</w:t>
            </w:r>
            <w:r w:rsidR="002B4099" w:rsidRPr="002B03A8">
              <w:rPr>
                <w:rFonts w:asciiTheme="majorEastAsia" w:eastAsiaTheme="majorEastAsia" w:hAnsiTheme="majorEastAsia" w:hint="eastAsia"/>
                <w:sz w:val="24"/>
                <w:szCs w:val="24"/>
              </w:rPr>
              <w:t>2</w:t>
            </w:r>
            <w:r w:rsidR="002B4099" w:rsidRPr="002B03A8">
              <w:rPr>
                <w:rFonts w:asciiTheme="majorEastAsia" w:eastAsiaTheme="majorEastAsia" w:hAnsiTheme="majorEastAsia"/>
                <w:sz w:val="24"/>
                <w:szCs w:val="24"/>
              </w:rPr>
              <w:t>3日</w:t>
            </w:r>
          </w:p>
        </w:tc>
      </w:tr>
    </w:tbl>
    <w:p w:rsidR="009749C0" w:rsidRPr="002B03A8" w:rsidRDefault="00AF6DA4" w:rsidP="009749C0">
      <w:pPr>
        <w:spacing w:line="360" w:lineRule="auto"/>
        <w:rPr>
          <w:rFonts w:asciiTheme="majorEastAsia" w:eastAsiaTheme="majorEastAsia" w:hAnsiTheme="majorEastAsia"/>
          <w:kern w:val="0"/>
          <w:sz w:val="24"/>
          <w:szCs w:val="24"/>
        </w:rPr>
      </w:pPr>
      <w:r w:rsidRPr="002B03A8">
        <w:rPr>
          <w:rFonts w:asciiTheme="majorEastAsia" w:eastAsiaTheme="majorEastAsia" w:hAnsiTheme="majorEastAsia"/>
          <w:kern w:val="0"/>
          <w:sz w:val="24"/>
          <w:szCs w:val="24"/>
        </w:rPr>
        <w:t>注：</w:t>
      </w:r>
      <w:r w:rsidR="009749C0" w:rsidRPr="002B03A8">
        <w:rPr>
          <w:rFonts w:asciiTheme="majorEastAsia" w:eastAsiaTheme="majorEastAsia" w:hAnsiTheme="majorEastAsia" w:hint="eastAsia"/>
          <w:kern w:val="0"/>
          <w:sz w:val="24"/>
          <w:szCs w:val="24"/>
        </w:rPr>
        <w:t>（1）按照有关法律规定，本次募集期间所发生的与本基金有关的信息披露费、律师费和会计师费等费用不列入基金费用，不从基金资产中支付。</w:t>
      </w:r>
    </w:p>
    <w:p w:rsidR="00DD1F95" w:rsidRPr="002B03A8" w:rsidRDefault="009749C0" w:rsidP="009749C0">
      <w:pPr>
        <w:spacing w:line="360" w:lineRule="auto"/>
        <w:rPr>
          <w:rFonts w:asciiTheme="majorEastAsia" w:eastAsiaTheme="majorEastAsia" w:hAnsiTheme="majorEastAsia" w:cs="宋体"/>
          <w:kern w:val="0"/>
          <w:sz w:val="24"/>
          <w:szCs w:val="24"/>
        </w:rPr>
      </w:pPr>
      <w:r w:rsidRPr="002B03A8">
        <w:rPr>
          <w:rFonts w:asciiTheme="majorEastAsia" w:eastAsiaTheme="majorEastAsia" w:hAnsiTheme="majorEastAsia" w:hint="eastAsia"/>
          <w:kern w:val="0"/>
          <w:sz w:val="24"/>
          <w:szCs w:val="24"/>
        </w:rPr>
        <w:t>（2）基金管理公司高级管理人员、基金投资和研究部门负责人持有本基金基金</w:t>
      </w:r>
      <w:r w:rsidRPr="002B03A8">
        <w:rPr>
          <w:rFonts w:asciiTheme="majorEastAsia" w:eastAsiaTheme="majorEastAsia" w:hAnsiTheme="majorEastAsia" w:hint="eastAsia"/>
          <w:kern w:val="0"/>
          <w:sz w:val="24"/>
          <w:szCs w:val="24"/>
        </w:rPr>
        <w:lastRenderedPageBreak/>
        <w:t>份额总量的区间为</w:t>
      </w:r>
      <w:r w:rsidR="006D381B" w:rsidRPr="002B03A8">
        <w:rPr>
          <w:rFonts w:asciiTheme="majorEastAsia" w:eastAsiaTheme="majorEastAsia" w:hAnsiTheme="majorEastAsia"/>
          <w:kern w:val="0"/>
          <w:sz w:val="24"/>
          <w:szCs w:val="24"/>
        </w:rPr>
        <w:t>0</w:t>
      </w:r>
      <w:r w:rsidRPr="002B03A8">
        <w:rPr>
          <w:rFonts w:asciiTheme="majorEastAsia" w:eastAsiaTheme="majorEastAsia" w:hAnsiTheme="majorEastAsia" w:hint="eastAsia"/>
          <w:kern w:val="0"/>
          <w:sz w:val="24"/>
          <w:szCs w:val="24"/>
        </w:rPr>
        <w:t>万</w:t>
      </w:r>
      <w:r w:rsidR="003D271E" w:rsidRPr="002B03A8">
        <w:rPr>
          <w:rFonts w:asciiTheme="majorEastAsia" w:eastAsiaTheme="majorEastAsia" w:hAnsiTheme="majorEastAsia" w:hint="eastAsia"/>
          <w:kern w:val="0"/>
          <w:sz w:val="24"/>
          <w:szCs w:val="24"/>
        </w:rPr>
        <w:t>份</w:t>
      </w:r>
      <w:r w:rsidRPr="002B03A8">
        <w:rPr>
          <w:rFonts w:asciiTheme="majorEastAsia" w:eastAsiaTheme="majorEastAsia" w:hAnsiTheme="majorEastAsia" w:hint="eastAsia"/>
          <w:kern w:val="0"/>
          <w:sz w:val="24"/>
          <w:szCs w:val="24"/>
        </w:rPr>
        <w:t>；本基金基金经理持有本基金基金份额总量的区间为</w:t>
      </w:r>
      <w:r w:rsidR="009307EB" w:rsidRPr="002B03A8">
        <w:rPr>
          <w:rFonts w:asciiTheme="majorEastAsia" w:eastAsiaTheme="majorEastAsia" w:hAnsiTheme="majorEastAsia"/>
          <w:kern w:val="0"/>
          <w:sz w:val="24"/>
          <w:szCs w:val="24"/>
        </w:rPr>
        <w:t>0</w:t>
      </w:r>
      <w:r w:rsidRPr="002B03A8">
        <w:rPr>
          <w:rFonts w:asciiTheme="majorEastAsia" w:eastAsiaTheme="majorEastAsia" w:hAnsiTheme="majorEastAsia" w:hint="eastAsia"/>
          <w:kern w:val="0"/>
          <w:sz w:val="24"/>
          <w:szCs w:val="24"/>
        </w:rPr>
        <w:t>万</w:t>
      </w:r>
      <w:r w:rsidR="003D271E" w:rsidRPr="002B03A8">
        <w:rPr>
          <w:rFonts w:asciiTheme="majorEastAsia" w:eastAsiaTheme="majorEastAsia" w:hAnsiTheme="majorEastAsia" w:hint="eastAsia"/>
          <w:kern w:val="0"/>
          <w:sz w:val="24"/>
          <w:szCs w:val="24"/>
        </w:rPr>
        <w:t>份</w:t>
      </w:r>
      <w:r w:rsidRPr="002B03A8">
        <w:rPr>
          <w:rFonts w:asciiTheme="majorEastAsia" w:eastAsiaTheme="majorEastAsia" w:hAnsiTheme="majorEastAsia" w:hint="eastAsia"/>
          <w:kern w:val="0"/>
          <w:sz w:val="24"/>
          <w:szCs w:val="24"/>
        </w:rPr>
        <w:t>。</w:t>
      </w:r>
    </w:p>
    <w:p w:rsidR="00C935DF" w:rsidRPr="002B03A8" w:rsidRDefault="003C0D0A" w:rsidP="00C935DF">
      <w:pPr>
        <w:pStyle w:val="2"/>
        <w:spacing w:line="560" w:lineRule="exact"/>
        <w:rPr>
          <w:rFonts w:asciiTheme="majorEastAsia" w:eastAsiaTheme="majorEastAsia" w:hAnsiTheme="majorEastAsia"/>
          <w:bCs w:val="0"/>
          <w:color w:val="000000"/>
          <w:sz w:val="24"/>
          <w:szCs w:val="24"/>
        </w:rPr>
      </w:pPr>
      <w:r w:rsidRPr="002B03A8">
        <w:rPr>
          <w:rFonts w:asciiTheme="majorEastAsia" w:eastAsiaTheme="majorEastAsia" w:hAnsiTheme="majorEastAsia" w:hint="eastAsia"/>
          <w:bCs w:val="0"/>
          <w:color w:val="000000"/>
          <w:sz w:val="24"/>
          <w:szCs w:val="24"/>
        </w:rPr>
        <w:t>3</w:t>
      </w:r>
      <w:r w:rsidR="00C935DF" w:rsidRPr="002B03A8">
        <w:rPr>
          <w:rFonts w:asciiTheme="majorEastAsia" w:eastAsiaTheme="majorEastAsia" w:hAnsiTheme="majorEastAsia"/>
          <w:bCs w:val="0"/>
          <w:color w:val="000000"/>
          <w:sz w:val="24"/>
          <w:szCs w:val="24"/>
        </w:rPr>
        <w:t xml:space="preserve"> 其他需要提示的事项</w:t>
      </w:r>
    </w:p>
    <w:p w:rsidR="00242C8A" w:rsidRPr="002B03A8" w:rsidRDefault="00242C8A" w:rsidP="006D2EB4">
      <w:pPr>
        <w:spacing w:line="360" w:lineRule="auto"/>
        <w:ind w:firstLineChars="200" w:firstLine="480"/>
        <w:rPr>
          <w:rFonts w:asciiTheme="majorEastAsia" w:eastAsiaTheme="majorEastAsia" w:hAnsiTheme="majorEastAsia"/>
          <w:kern w:val="0"/>
          <w:sz w:val="24"/>
          <w:szCs w:val="24"/>
        </w:rPr>
      </w:pPr>
      <w:r w:rsidRPr="002B03A8">
        <w:rPr>
          <w:rFonts w:asciiTheme="majorEastAsia" w:eastAsiaTheme="majorEastAsia" w:hAnsiTheme="majorEastAsia" w:hint="eastAsia"/>
          <w:kern w:val="0"/>
          <w:sz w:val="24"/>
          <w:szCs w:val="24"/>
        </w:rPr>
        <w:t>（</w:t>
      </w:r>
      <w:r w:rsidRPr="002B03A8">
        <w:rPr>
          <w:rFonts w:asciiTheme="majorEastAsia" w:eastAsiaTheme="majorEastAsia" w:hAnsiTheme="majorEastAsia"/>
          <w:kern w:val="0"/>
          <w:sz w:val="24"/>
          <w:szCs w:val="24"/>
        </w:rPr>
        <w:t>1</w:t>
      </w:r>
      <w:r w:rsidRPr="002B03A8">
        <w:rPr>
          <w:rFonts w:asciiTheme="majorEastAsia" w:eastAsiaTheme="majorEastAsia" w:hAnsiTheme="majorEastAsia" w:hint="eastAsia"/>
          <w:kern w:val="0"/>
          <w:sz w:val="24"/>
          <w:szCs w:val="24"/>
        </w:rPr>
        <w:t>）销售机构受理投资人的认购申请并不代表该申请成功，申请的成功与否须以本基金注册登记机构的确认结果为准。投资人可以到销售机构的网点查询交易确认情况，也可以通过本基金管理人的网站（</w:t>
      </w:r>
      <w:r w:rsidRPr="002B03A8">
        <w:rPr>
          <w:rFonts w:asciiTheme="majorEastAsia" w:eastAsiaTheme="majorEastAsia" w:hAnsiTheme="majorEastAsia"/>
          <w:kern w:val="0"/>
          <w:sz w:val="24"/>
          <w:szCs w:val="24"/>
        </w:rPr>
        <w:t>www.fscinda.com</w:t>
      </w:r>
      <w:r w:rsidRPr="002B03A8">
        <w:rPr>
          <w:rFonts w:asciiTheme="majorEastAsia" w:eastAsiaTheme="majorEastAsia" w:hAnsiTheme="majorEastAsia" w:hint="eastAsia"/>
          <w:kern w:val="0"/>
          <w:sz w:val="24"/>
          <w:szCs w:val="24"/>
        </w:rPr>
        <w:t>）或客户服务电话（</w:t>
      </w:r>
      <w:r w:rsidRPr="002B03A8">
        <w:rPr>
          <w:rFonts w:asciiTheme="majorEastAsia" w:eastAsiaTheme="majorEastAsia" w:hAnsiTheme="majorEastAsia"/>
          <w:kern w:val="0"/>
          <w:sz w:val="24"/>
          <w:szCs w:val="24"/>
        </w:rPr>
        <w:t>400-8888-118</w:t>
      </w:r>
      <w:r w:rsidRPr="002B03A8">
        <w:rPr>
          <w:rFonts w:asciiTheme="majorEastAsia" w:eastAsiaTheme="majorEastAsia" w:hAnsiTheme="majorEastAsia" w:hint="eastAsia"/>
          <w:kern w:val="0"/>
          <w:sz w:val="24"/>
          <w:szCs w:val="24"/>
        </w:rPr>
        <w:t>）查询交易确认情况。</w:t>
      </w:r>
    </w:p>
    <w:p w:rsidR="00AA585C" w:rsidRPr="002B03A8" w:rsidRDefault="00242C8A" w:rsidP="006F133F">
      <w:pPr>
        <w:spacing w:line="360" w:lineRule="auto"/>
        <w:ind w:firstLineChars="200" w:firstLine="480"/>
        <w:rPr>
          <w:rFonts w:asciiTheme="majorEastAsia" w:eastAsiaTheme="majorEastAsia" w:hAnsiTheme="majorEastAsia"/>
          <w:kern w:val="0"/>
          <w:sz w:val="24"/>
          <w:szCs w:val="24"/>
        </w:rPr>
      </w:pPr>
      <w:r w:rsidRPr="002B03A8">
        <w:rPr>
          <w:rFonts w:asciiTheme="majorEastAsia" w:eastAsiaTheme="majorEastAsia" w:hAnsiTheme="majorEastAsia" w:hint="eastAsia"/>
          <w:kern w:val="0"/>
          <w:sz w:val="24"/>
          <w:szCs w:val="24"/>
        </w:rPr>
        <w:t>（</w:t>
      </w:r>
      <w:r w:rsidRPr="002B03A8">
        <w:rPr>
          <w:rFonts w:asciiTheme="majorEastAsia" w:eastAsiaTheme="majorEastAsia" w:hAnsiTheme="majorEastAsia"/>
          <w:kern w:val="0"/>
          <w:sz w:val="24"/>
          <w:szCs w:val="24"/>
        </w:rPr>
        <w:t>2</w:t>
      </w:r>
      <w:r w:rsidRPr="002B03A8">
        <w:rPr>
          <w:rFonts w:asciiTheme="majorEastAsia" w:eastAsiaTheme="majorEastAsia" w:hAnsiTheme="majorEastAsia" w:hint="eastAsia"/>
          <w:kern w:val="0"/>
          <w:sz w:val="24"/>
          <w:szCs w:val="24"/>
        </w:rPr>
        <w:t>）</w:t>
      </w:r>
      <w:r w:rsidR="00376F22" w:rsidRPr="002B03A8">
        <w:rPr>
          <w:rFonts w:asciiTheme="majorEastAsia" w:eastAsiaTheme="majorEastAsia" w:hAnsiTheme="majorEastAsia" w:hint="eastAsia"/>
          <w:kern w:val="0"/>
          <w:sz w:val="24"/>
          <w:szCs w:val="24"/>
        </w:rPr>
        <w:t>根据《公开募集证券投资基金运作管理办法》的规定以及基金合同和招募说明书的约定，</w:t>
      </w:r>
      <w:r w:rsidR="00354C60" w:rsidRPr="002B03A8">
        <w:rPr>
          <w:rFonts w:asciiTheme="majorEastAsia" w:eastAsiaTheme="majorEastAsia" w:hAnsiTheme="majorEastAsia"/>
          <w:kern w:val="0"/>
          <w:sz w:val="24"/>
          <w:szCs w:val="24"/>
        </w:rPr>
        <w:t>本基金管理人可根据实际情况依法决定本基金开始办理申购的时间</w:t>
      </w:r>
      <w:r w:rsidR="00376F22" w:rsidRPr="002B03A8">
        <w:rPr>
          <w:rFonts w:asciiTheme="majorEastAsia" w:eastAsiaTheme="majorEastAsia" w:hAnsiTheme="majorEastAsia" w:hint="eastAsia"/>
          <w:kern w:val="0"/>
          <w:sz w:val="24"/>
          <w:szCs w:val="24"/>
        </w:rPr>
        <w:t>。</w:t>
      </w:r>
      <w:r w:rsidR="00A4038B" w:rsidRPr="002B03A8">
        <w:rPr>
          <w:rFonts w:asciiTheme="majorEastAsia" w:eastAsiaTheme="majorEastAsia" w:hAnsiTheme="majorEastAsia"/>
          <w:bCs/>
          <w:sz w:val="24"/>
          <w:szCs w:val="24"/>
        </w:rPr>
        <w:t>本基金每个开放日开放申购，但对每份基金份额设置7天的最短持有期限。同时，本基金开始办理赎回业务前，投资者不能提出赎回或转换转出申请。本基金开始办理赎回业务后，自基金合同生效日（对于认购份额而言）或基金份额申购确认日（对于申购份额而言）至该日起的第6天（含当日），投资者不能提出赎回或转换转出申请；该日起的第7天起（含当日，如为非工作日则顺延至下一工作日），投资者方可提出赎回或转换转出申请</w:t>
      </w:r>
      <w:r w:rsidR="00354C60" w:rsidRPr="002B03A8">
        <w:rPr>
          <w:rFonts w:asciiTheme="majorEastAsia" w:eastAsiaTheme="majorEastAsia" w:hAnsiTheme="majorEastAsia" w:hint="eastAsia"/>
          <w:bCs/>
          <w:sz w:val="24"/>
          <w:szCs w:val="24"/>
        </w:rPr>
        <w:t>。</w:t>
      </w:r>
      <w:r w:rsidR="00376F22" w:rsidRPr="002B03A8">
        <w:rPr>
          <w:rFonts w:asciiTheme="majorEastAsia" w:eastAsiaTheme="majorEastAsia" w:hAnsiTheme="majorEastAsia" w:hint="eastAsia"/>
          <w:kern w:val="0"/>
          <w:sz w:val="24"/>
          <w:szCs w:val="24"/>
        </w:rPr>
        <w:t>本基金办理申购业务的具体时间由本基金管理人于开始办理日前依照相关法律法规的有关规定在规定媒介上予以披露。</w:t>
      </w:r>
    </w:p>
    <w:p w:rsidR="00A4038B" w:rsidRPr="002B03A8" w:rsidRDefault="00A4038B" w:rsidP="006F133F">
      <w:pPr>
        <w:spacing w:line="360" w:lineRule="auto"/>
        <w:ind w:firstLineChars="200" w:firstLine="480"/>
        <w:rPr>
          <w:rFonts w:asciiTheme="majorEastAsia" w:eastAsiaTheme="majorEastAsia" w:hAnsiTheme="majorEastAsia"/>
          <w:kern w:val="0"/>
          <w:sz w:val="24"/>
          <w:szCs w:val="24"/>
        </w:rPr>
      </w:pPr>
      <w:r w:rsidRPr="002B03A8">
        <w:rPr>
          <w:rFonts w:asciiTheme="majorEastAsia" w:eastAsiaTheme="majorEastAsia" w:hAnsiTheme="majorEastAsia"/>
          <w:bCs/>
          <w:sz w:val="24"/>
          <w:szCs w:val="24"/>
        </w:rPr>
        <w:t>基金管理人自基金合同生效之日起不超过</w:t>
      </w:r>
      <w:r w:rsidRPr="002B03A8">
        <w:rPr>
          <w:rFonts w:asciiTheme="majorEastAsia" w:eastAsiaTheme="majorEastAsia" w:hAnsiTheme="majorEastAsia" w:hint="eastAsia"/>
          <w:bCs/>
          <w:sz w:val="24"/>
          <w:szCs w:val="24"/>
        </w:rPr>
        <w:t>一</w:t>
      </w:r>
      <w:r w:rsidRPr="002B03A8">
        <w:rPr>
          <w:rFonts w:asciiTheme="majorEastAsia" w:eastAsiaTheme="majorEastAsia" w:hAnsiTheme="majorEastAsia"/>
          <w:bCs/>
          <w:sz w:val="24"/>
          <w:szCs w:val="24"/>
        </w:rPr>
        <w:t>个月开始办理赎回，具体业务办理时间在赎回开始公告中规定。</w:t>
      </w:r>
    </w:p>
    <w:p w:rsidR="007D0F63" w:rsidRPr="002B03A8" w:rsidRDefault="00242C8A" w:rsidP="006D2EB4">
      <w:pPr>
        <w:spacing w:line="360" w:lineRule="auto"/>
        <w:ind w:firstLineChars="200" w:firstLine="480"/>
        <w:rPr>
          <w:rFonts w:asciiTheme="majorEastAsia" w:eastAsiaTheme="majorEastAsia" w:hAnsiTheme="majorEastAsia"/>
          <w:kern w:val="0"/>
          <w:sz w:val="24"/>
          <w:szCs w:val="24"/>
        </w:rPr>
      </w:pPr>
      <w:r w:rsidRPr="002B03A8">
        <w:rPr>
          <w:rFonts w:asciiTheme="majorEastAsia" w:eastAsiaTheme="majorEastAsia" w:hAnsiTheme="majorEastAsia" w:hint="eastAsia"/>
          <w:kern w:val="0"/>
          <w:sz w:val="24"/>
          <w:szCs w:val="24"/>
        </w:rPr>
        <w:t>风险提示：本公司承诺以诚实信用、勤勉尽责的原则管理和运用基金资产，但不保证基金一定盈利，也不保证最低收益。</w:t>
      </w:r>
      <w:bookmarkStart w:id="3" w:name="OLE_LINK7"/>
      <w:r w:rsidRPr="002B03A8">
        <w:rPr>
          <w:rFonts w:asciiTheme="majorEastAsia" w:eastAsiaTheme="majorEastAsia" w:hAnsiTheme="majorEastAsia" w:hint="eastAsia"/>
          <w:kern w:val="0"/>
          <w:sz w:val="24"/>
          <w:szCs w:val="24"/>
        </w:rPr>
        <w:t>投资者</w:t>
      </w:r>
      <w:bookmarkEnd w:id="3"/>
      <w:r w:rsidRPr="002B03A8">
        <w:rPr>
          <w:rFonts w:asciiTheme="majorEastAsia" w:eastAsiaTheme="majorEastAsia" w:hAnsiTheme="majorEastAsia" w:hint="eastAsia"/>
          <w:kern w:val="0"/>
          <w:sz w:val="24"/>
          <w:szCs w:val="24"/>
        </w:rPr>
        <w:t>投资本基金时，应认真阅读相关基金合同、招募说明书等文件</w:t>
      </w:r>
      <w:r w:rsidR="006F133F" w:rsidRPr="002B03A8">
        <w:rPr>
          <w:rFonts w:asciiTheme="majorEastAsia" w:eastAsiaTheme="majorEastAsia" w:hAnsiTheme="majorEastAsia" w:hint="eastAsia"/>
          <w:kern w:val="0"/>
          <w:sz w:val="24"/>
          <w:szCs w:val="24"/>
        </w:rPr>
        <w:t>、产品资料概要及更新等文件</w:t>
      </w:r>
      <w:r w:rsidRPr="002B03A8">
        <w:rPr>
          <w:rFonts w:asciiTheme="majorEastAsia" w:eastAsiaTheme="majorEastAsia" w:hAnsiTheme="majorEastAsia" w:hint="eastAsia"/>
          <w:kern w:val="0"/>
          <w:sz w:val="24"/>
          <w:szCs w:val="24"/>
        </w:rPr>
        <w:t>，敬请投资者注意投资风险。</w:t>
      </w:r>
    </w:p>
    <w:p w:rsidR="00242C8A" w:rsidRPr="002B03A8" w:rsidRDefault="00242C8A" w:rsidP="00E704B1">
      <w:pPr>
        <w:widowControl/>
        <w:spacing w:line="360" w:lineRule="auto"/>
        <w:ind w:firstLineChars="200" w:firstLine="480"/>
        <w:rPr>
          <w:rFonts w:asciiTheme="majorEastAsia" w:eastAsiaTheme="majorEastAsia" w:hAnsiTheme="majorEastAsia"/>
          <w:kern w:val="0"/>
          <w:sz w:val="24"/>
          <w:szCs w:val="24"/>
        </w:rPr>
      </w:pPr>
    </w:p>
    <w:p w:rsidR="006F133F" w:rsidRPr="002B03A8" w:rsidRDefault="0030037A" w:rsidP="00E704B1">
      <w:pPr>
        <w:widowControl/>
        <w:spacing w:line="360" w:lineRule="auto"/>
        <w:ind w:firstLineChars="200" w:firstLine="480"/>
        <w:rPr>
          <w:rFonts w:asciiTheme="majorEastAsia" w:eastAsiaTheme="majorEastAsia" w:hAnsiTheme="majorEastAsia"/>
          <w:kern w:val="0"/>
          <w:sz w:val="24"/>
          <w:szCs w:val="24"/>
        </w:rPr>
      </w:pPr>
      <w:r w:rsidRPr="002B03A8">
        <w:rPr>
          <w:rFonts w:asciiTheme="majorEastAsia" w:eastAsiaTheme="majorEastAsia" w:hAnsiTheme="majorEastAsia" w:hint="eastAsia"/>
          <w:kern w:val="0"/>
          <w:sz w:val="24"/>
          <w:szCs w:val="24"/>
        </w:rPr>
        <w:t>特此公告。</w:t>
      </w:r>
    </w:p>
    <w:p w:rsidR="006F133F" w:rsidRPr="002B03A8" w:rsidRDefault="006F133F" w:rsidP="00E704B1">
      <w:pPr>
        <w:widowControl/>
        <w:spacing w:line="360" w:lineRule="auto"/>
        <w:ind w:firstLineChars="200" w:firstLine="480"/>
        <w:rPr>
          <w:rFonts w:asciiTheme="majorEastAsia" w:eastAsiaTheme="majorEastAsia" w:hAnsiTheme="majorEastAsia"/>
          <w:kern w:val="0"/>
          <w:sz w:val="24"/>
          <w:szCs w:val="24"/>
        </w:rPr>
      </w:pPr>
    </w:p>
    <w:p w:rsidR="00242C8A" w:rsidRPr="002B03A8" w:rsidRDefault="007B13DB" w:rsidP="00242C8A">
      <w:pPr>
        <w:spacing w:line="360" w:lineRule="auto"/>
        <w:ind w:rightChars="12" w:right="38"/>
        <w:jc w:val="right"/>
        <w:rPr>
          <w:rFonts w:asciiTheme="majorEastAsia" w:eastAsiaTheme="majorEastAsia" w:hAnsiTheme="majorEastAsia"/>
          <w:kern w:val="0"/>
          <w:sz w:val="24"/>
          <w:szCs w:val="24"/>
        </w:rPr>
      </w:pPr>
      <w:r w:rsidRPr="002B03A8">
        <w:rPr>
          <w:rFonts w:asciiTheme="majorEastAsia" w:eastAsiaTheme="majorEastAsia" w:hAnsiTheme="majorEastAsia" w:hint="eastAsia"/>
          <w:kern w:val="0"/>
          <w:sz w:val="24"/>
          <w:szCs w:val="24"/>
        </w:rPr>
        <w:t>信达澳亚基金管理有限公司</w:t>
      </w:r>
    </w:p>
    <w:p w:rsidR="001811DB" w:rsidRPr="002B03A8" w:rsidRDefault="001D73F4" w:rsidP="004D5DD3">
      <w:pPr>
        <w:widowControl/>
        <w:spacing w:line="360" w:lineRule="auto"/>
        <w:ind w:firstLineChars="200" w:firstLine="480"/>
        <w:jc w:val="right"/>
        <w:rPr>
          <w:rFonts w:asciiTheme="majorEastAsia" w:eastAsiaTheme="majorEastAsia" w:hAnsiTheme="majorEastAsia" w:cs="Calibri"/>
          <w:color w:val="000000"/>
          <w:sz w:val="24"/>
          <w:szCs w:val="24"/>
        </w:rPr>
      </w:pPr>
      <w:r w:rsidRPr="002B03A8">
        <w:rPr>
          <w:rFonts w:asciiTheme="majorEastAsia" w:eastAsiaTheme="majorEastAsia" w:hAnsiTheme="majorEastAsia" w:cs="宋体"/>
          <w:bCs/>
          <w:sz w:val="24"/>
          <w:szCs w:val="24"/>
        </w:rPr>
        <w:t>202</w:t>
      </w:r>
      <w:r w:rsidR="004761C5" w:rsidRPr="002B03A8">
        <w:rPr>
          <w:rFonts w:asciiTheme="majorEastAsia" w:eastAsiaTheme="majorEastAsia" w:hAnsiTheme="majorEastAsia" w:cs="宋体"/>
          <w:bCs/>
          <w:sz w:val="24"/>
          <w:szCs w:val="24"/>
        </w:rPr>
        <w:t>5</w:t>
      </w:r>
      <w:r w:rsidRPr="002B03A8">
        <w:rPr>
          <w:rFonts w:asciiTheme="majorEastAsia" w:eastAsiaTheme="majorEastAsia" w:hAnsiTheme="majorEastAsia" w:cs="宋体"/>
          <w:bCs/>
          <w:sz w:val="24"/>
          <w:szCs w:val="24"/>
        </w:rPr>
        <w:t>年</w:t>
      </w:r>
      <w:r w:rsidR="00A4038B" w:rsidRPr="002B03A8">
        <w:rPr>
          <w:rFonts w:asciiTheme="majorEastAsia" w:eastAsiaTheme="majorEastAsia" w:hAnsiTheme="majorEastAsia" w:cs="宋体" w:hint="eastAsia"/>
          <w:bCs/>
          <w:sz w:val="24"/>
          <w:szCs w:val="24"/>
        </w:rPr>
        <w:t>9</w:t>
      </w:r>
      <w:r w:rsidRPr="002B03A8">
        <w:rPr>
          <w:rFonts w:asciiTheme="majorEastAsia" w:eastAsiaTheme="majorEastAsia" w:hAnsiTheme="majorEastAsia" w:cs="宋体"/>
          <w:bCs/>
          <w:sz w:val="24"/>
          <w:szCs w:val="24"/>
        </w:rPr>
        <w:t>月</w:t>
      </w:r>
      <w:r w:rsidR="00A4038B" w:rsidRPr="002B03A8">
        <w:rPr>
          <w:rFonts w:asciiTheme="majorEastAsia" w:eastAsiaTheme="majorEastAsia" w:hAnsiTheme="majorEastAsia" w:cs="宋体" w:hint="eastAsia"/>
          <w:bCs/>
          <w:sz w:val="24"/>
          <w:szCs w:val="24"/>
        </w:rPr>
        <w:t>2</w:t>
      </w:r>
      <w:r w:rsidR="00A4038B" w:rsidRPr="002B03A8">
        <w:rPr>
          <w:rFonts w:asciiTheme="majorEastAsia" w:eastAsiaTheme="majorEastAsia" w:hAnsiTheme="majorEastAsia" w:cs="宋体"/>
          <w:bCs/>
          <w:sz w:val="24"/>
          <w:szCs w:val="24"/>
        </w:rPr>
        <w:t>4日</w:t>
      </w:r>
    </w:p>
    <w:sectPr w:rsidR="001811DB" w:rsidRPr="002B03A8" w:rsidSect="004C05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04" w:rsidRDefault="00507804" w:rsidP="00C935DF">
      <w:r>
        <w:separator/>
      </w:r>
    </w:p>
  </w:endnote>
  <w:endnote w:type="continuationSeparator" w:id="0">
    <w:p w:rsidR="00507804" w:rsidRDefault="00507804" w:rsidP="00C93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04" w:rsidRDefault="00507804" w:rsidP="00C935DF">
      <w:r>
        <w:separator/>
      </w:r>
    </w:p>
  </w:footnote>
  <w:footnote w:type="continuationSeparator" w:id="0">
    <w:p w:rsidR="00507804" w:rsidRDefault="00507804" w:rsidP="00C93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0145E"/>
    <w:rsid w:val="00002916"/>
    <w:rsid w:val="00002DE4"/>
    <w:rsid w:val="00003495"/>
    <w:rsid w:val="00006619"/>
    <w:rsid w:val="00006FB5"/>
    <w:rsid w:val="00007303"/>
    <w:rsid w:val="00011803"/>
    <w:rsid w:val="0002309F"/>
    <w:rsid w:val="00024C40"/>
    <w:rsid w:val="000251BC"/>
    <w:rsid w:val="000274F9"/>
    <w:rsid w:val="00027856"/>
    <w:rsid w:val="00032762"/>
    <w:rsid w:val="000330C4"/>
    <w:rsid w:val="00034045"/>
    <w:rsid w:val="00035D00"/>
    <w:rsid w:val="00035FAC"/>
    <w:rsid w:val="00040C74"/>
    <w:rsid w:val="00041353"/>
    <w:rsid w:val="00042B28"/>
    <w:rsid w:val="000446E0"/>
    <w:rsid w:val="000464F0"/>
    <w:rsid w:val="00066B33"/>
    <w:rsid w:val="0007053B"/>
    <w:rsid w:val="00075210"/>
    <w:rsid w:val="00082D84"/>
    <w:rsid w:val="0008488A"/>
    <w:rsid w:val="000867B6"/>
    <w:rsid w:val="00094585"/>
    <w:rsid w:val="000A0A51"/>
    <w:rsid w:val="000A1FFD"/>
    <w:rsid w:val="000A2F57"/>
    <w:rsid w:val="000A4373"/>
    <w:rsid w:val="000A72AC"/>
    <w:rsid w:val="000B0A9B"/>
    <w:rsid w:val="000B1A7B"/>
    <w:rsid w:val="000C73B3"/>
    <w:rsid w:val="000E243D"/>
    <w:rsid w:val="000F1849"/>
    <w:rsid w:val="000F1DD8"/>
    <w:rsid w:val="000F34AD"/>
    <w:rsid w:val="000F5F12"/>
    <w:rsid w:val="00105F21"/>
    <w:rsid w:val="00122477"/>
    <w:rsid w:val="001227E0"/>
    <w:rsid w:val="00126B66"/>
    <w:rsid w:val="00126CB8"/>
    <w:rsid w:val="00130193"/>
    <w:rsid w:val="00131CAD"/>
    <w:rsid w:val="0013209F"/>
    <w:rsid w:val="00136254"/>
    <w:rsid w:val="00157231"/>
    <w:rsid w:val="0016042C"/>
    <w:rsid w:val="0016173F"/>
    <w:rsid w:val="001622DD"/>
    <w:rsid w:val="001659B0"/>
    <w:rsid w:val="001811DB"/>
    <w:rsid w:val="00183E3D"/>
    <w:rsid w:val="0019123F"/>
    <w:rsid w:val="001957B1"/>
    <w:rsid w:val="00196F74"/>
    <w:rsid w:val="001A0386"/>
    <w:rsid w:val="001A6D13"/>
    <w:rsid w:val="001C14F0"/>
    <w:rsid w:val="001C3445"/>
    <w:rsid w:val="001C69F3"/>
    <w:rsid w:val="001D1D83"/>
    <w:rsid w:val="001D3FE4"/>
    <w:rsid w:val="001D4476"/>
    <w:rsid w:val="001D4D97"/>
    <w:rsid w:val="001D73F4"/>
    <w:rsid w:val="001E11A1"/>
    <w:rsid w:val="001E42B2"/>
    <w:rsid w:val="001E48BA"/>
    <w:rsid w:val="001E7E0B"/>
    <w:rsid w:val="001E7F56"/>
    <w:rsid w:val="001F081F"/>
    <w:rsid w:val="001F615C"/>
    <w:rsid w:val="002078E7"/>
    <w:rsid w:val="002151AF"/>
    <w:rsid w:val="00220009"/>
    <w:rsid w:val="00226644"/>
    <w:rsid w:val="00227534"/>
    <w:rsid w:val="00230A54"/>
    <w:rsid w:val="0023559E"/>
    <w:rsid w:val="00235A2E"/>
    <w:rsid w:val="00236200"/>
    <w:rsid w:val="00242C8A"/>
    <w:rsid w:val="00242DBA"/>
    <w:rsid w:val="002448B5"/>
    <w:rsid w:val="00244DE4"/>
    <w:rsid w:val="00246929"/>
    <w:rsid w:val="002473D0"/>
    <w:rsid w:val="00252D4A"/>
    <w:rsid w:val="00254C28"/>
    <w:rsid w:val="00255B4F"/>
    <w:rsid w:val="00263968"/>
    <w:rsid w:val="002640C2"/>
    <w:rsid w:val="00265B34"/>
    <w:rsid w:val="00275F55"/>
    <w:rsid w:val="00280611"/>
    <w:rsid w:val="00281F30"/>
    <w:rsid w:val="00285A6D"/>
    <w:rsid w:val="0029694B"/>
    <w:rsid w:val="002A2812"/>
    <w:rsid w:val="002A3437"/>
    <w:rsid w:val="002A7DCC"/>
    <w:rsid w:val="002B03A8"/>
    <w:rsid w:val="002B4099"/>
    <w:rsid w:val="002B61F3"/>
    <w:rsid w:val="002C38AA"/>
    <w:rsid w:val="002C5E31"/>
    <w:rsid w:val="002D6D62"/>
    <w:rsid w:val="002E1E28"/>
    <w:rsid w:val="002F1148"/>
    <w:rsid w:val="002F3BA3"/>
    <w:rsid w:val="002F719C"/>
    <w:rsid w:val="0030037A"/>
    <w:rsid w:val="00300708"/>
    <w:rsid w:val="00301642"/>
    <w:rsid w:val="003073FC"/>
    <w:rsid w:val="00312B6C"/>
    <w:rsid w:val="00325372"/>
    <w:rsid w:val="00327CA7"/>
    <w:rsid w:val="0033361A"/>
    <w:rsid w:val="0033647C"/>
    <w:rsid w:val="00350B20"/>
    <w:rsid w:val="003515B0"/>
    <w:rsid w:val="00352968"/>
    <w:rsid w:val="003539FF"/>
    <w:rsid w:val="00354A0C"/>
    <w:rsid w:val="00354C60"/>
    <w:rsid w:val="0035557E"/>
    <w:rsid w:val="00357DC3"/>
    <w:rsid w:val="00360698"/>
    <w:rsid w:val="00363CDA"/>
    <w:rsid w:val="003710A9"/>
    <w:rsid w:val="00371DC1"/>
    <w:rsid w:val="00374C8E"/>
    <w:rsid w:val="00376F22"/>
    <w:rsid w:val="00381CA8"/>
    <w:rsid w:val="00390ADD"/>
    <w:rsid w:val="00390E48"/>
    <w:rsid w:val="00393DF9"/>
    <w:rsid w:val="00395D56"/>
    <w:rsid w:val="003A0C25"/>
    <w:rsid w:val="003A23F9"/>
    <w:rsid w:val="003A6E1D"/>
    <w:rsid w:val="003C0D0A"/>
    <w:rsid w:val="003C2D5F"/>
    <w:rsid w:val="003C55F4"/>
    <w:rsid w:val="003C6443"/>
    <w:rsid w:val="003D0326"/>
    <w:rsid w:val="003D05D1"/>
    <w:rsid w:val="003D271E"/>
    <w:rsid w:val="003D3761"/>
    <w:rsid w:val="003D3916"/>
    <w:rsid w:val="003F14FF"/>
    <w:rsid w:val="003F2D20"/>
    <w:rsid w:val="00405FDF"/>
    <w:rsid w:val="00416EBF"/>
    <w:rsid w:val="00416F47"/>
    <w:rsid w:val="00420D2D"/>
    <w:rsid w:val="00420D40"/>
    <w:rsid w:val="00422E8E"/>
    <w:rsid w:val="004253A7"/>
    <w:rsid w:val="00425CCA"/>
    <w:rsid w:val="00426E3A"/>
    <w:rsid w:val="00431190"/>
    <w:rsid w:val="00431CCA"/>
    <w:rsid w:val="004416D1"/>
    <w:rsid w:val="004420A1"/>
    <w:rsid w:val="004428C5"/>
    <w:rsid w:val="00460683"/>
    <w:rsid w:val="0047069E"/>
    <w:rsid w:val="00470D9C"/>
    <w:rsid w:val="00471209"/>
    <w:rsid w:val="004761C5"/>
    <w:rsid w:val="004816D3"/>
    <w:rsid w:val="004837B2"/>
    <w:rsid w:val="00490DF4"/>
    <w:rsid w:val="00493016"/>
    <w:rsid w:val="00493335"/>
    <w:rsid w:val="004966BA"/>
    <w:rsid w:val="004A265C"/>
    <w:rsid w:val="004A4255"/>
    <w:rsid w:val="004A47A6"/>
    <w:rsid w:val="004A631B"/>
    <w:rsid w:val="004B0BFA"/>
    <w:rsid w:val="004B13D2"/>
    <w:rsid w:val="004B5909"/>
    <w:rsid w:val="004C055C"/>
    <w:rsid w:val="004C059E"/>
    <w:rsid w:val="004D4095"/>
    <w:rsid w:val="004D43D6"/>
    <w:rsid w:val="004D5DD3"/>
    <w:rsid w:val="004D7117"/>
    <w:rsid w:val="004E1F13"/>
    <w:rsid w:val="004E34A9"/>
    <w:rsid w:val="004E5AF7"/>
    <w:rsid w:val="004F4B9B"/>
    <w:rsid w:val="004F4BB9"/>
    <w:rsid w:val="00501346"/>
    <w:rsid w:val="005019CA"/>
    <w:rsid w:val="0050430C"/>
    <w:rsid w:val="00507804"/>
    <w:rsid w:val="005126E2"/>
    <w:rsid w:val="005167FF"/>
    <w:rsid w:val="00520A6F"/>
    <w:rsid w:val="00526BAC"/>
    <w:rsid w:val="00531BAD"/>
    <w:rsid w:val="00532B3F"/>
    <w:rsid w:val="00540E93"/>
    <w:rsid w:val="0055065C"/>
    <w:rsid w:val="00550988"/>
    <w:rsid w:val="00551337"/>
    <w:rsid w:val="00553F35"/>
    <w:rsid w:val="00571B93"/>
    <w:rsid w:val="005745C9"/>
    <w:rsid w:val="00574AC6"/>
    <w:rsid w:val="00574BCF"/>
    <w:rsid w:val="00575A66"/>
    <w:rsid w:val="00593B3C"/>
    <w:rsid w:val="00596147"/>
    <w:rsid w:val="005A15F8"/>
    <w:rsid w:val="005A2D02"/>
    <w:rsid w:val="005B0D0E"/>
    <w:rsid w:val="005B3315"/>
    <w:rsid w:val="005B3FEC"/>
    <w:rsid w:val="005B4D5E"/>
    <w:rsid w:val="005B66AC"/>
    <w:rsid w:val="005C1B44"/>
    <w:rsid w:val="005C4854"/>
    <w:rsid w:val="005C5A08"/>
    <w:rsid w:val="005C67B0"/>
    <w:rsid w:val="005C6C4E"/>
    <w:rsid w:val="005D2709"/>
    <w:rsid w:val="005D4B17"/>
    <w:rsid w:val="005D73E3"/>
    <w:rsid w:val="005E0049"/>
    <w:rsid w:val="005E058B"/>
    <w:rsid w:val="005E2342"/>
    <w:rsid w:val="005E3C07"/>
    <w:rsid w:val="005E5CE9"/>
    <w:rsid w:val="005F3269"/>
    <w:rsid w:val="005F7579"/>
    <w:rsid w:val="005F7874"/>
    <w:rsid w:val="006054BC"/>
    <w:rsid w:val="00606724"/>
    <w:rsid w:val="006068AE"/>
    <w:rsid w:val="00612BBC"/>
    <w:rsid w:val="00613952"/>
    <w:rsid w:val="00617A25"/>
    <w:rsid w:val="00631312"/>
    <w:rsid w:val="00631833"/>
    <w:rsid w:val="0063345C"/>
    <w:rsid w:val="00634C2A"/>
    <w:rsid w:val="00636CA8"/>
    <w:rsid w:val="0064285F"/>
    <w:rsid w:val="00643D26"/>
    <w:rsid w:val="00644C41"/>
    <w:rsid w:val="00654002"/>
    <w:rsid w:val="00663D7A"/>
    <w:rsid w:val="00666F05"/>
    <w:rsid w:val="0067042A"/>
    <w:rsid w:val="00672F38"/>
    <w:rsid w:val="00676400"/>
    <w:rsid w:val="00683480"/>
    <w:rsid w:val="00683BCF"/>
    <w:rsid w:val="00690C6D"/>
    <w:rsid w:val="006A436F"/>
    <w:rsid w:val="006A5CFC"/>
    <w:rsid w:val="006C1209"/>
    <w:rsid w:val="006C1AAD"/>
    <w:rsid w:val="006C4367"/>
    <w:rsid w:val="006C4996"/>
    <w:rsid w:val="006C5D43"/>
    <w:rsid w:val="006C752B"/>
    <w:rsid w:val="006C77DA"/>
    <w:rsid w:val="006D2EB4"/>
    <w:rsid w:val="006D328C"/>
    <w:rsid w:val="006D381B"/>
    <w:rsid w:val="006D3A6F"/>
    <w:rsid w:val="006D7323"/>
    <w:rsid w:val="006E483E"/>
    <w:rsid w:val="006E6507"/>
    <w:rsid w:val="006E71B8"/>
    <w:rsid w:val="006F133F"/>
    <w:rsid w:val="007014E8"/>
    <w:rsid w:val="0070695B"/>
    <w:rsid w:val="00706DDE"/>
    <w:rsid w:val="0070720F"/>
    <w:rsid w:val="007138F5"/>
    <w:rsid w:val="00715A3F"/>
    <w:rsid w:val="00717E45"/>
    <w:rsid w:val="007353E1"/>
    <w:rsid w:val="00742ACB"/>
    <w:rsid w:val="00750856"/>
    <w:rsid w:val="00757966"/>
    <w:rsid w:val="00760E57"/>
    <w:rsid w:val="007652DD"/>
    <w:rsid w:val="00770FCA"/>
    <w:rsid w:val="007869C6"/>
    <w:rsid w:val="00787A86"/>
    <w:rsid w:val="00793DD1"/>
    <w:rsid w:val="007B13DB"/>
    <w:rsid w:val="007B30A7"/>
    <w:rsid w:val="007B4413"/>
    <w:rsid w:val="007B734F"/>
    <w:rsid w:val="007B79D8"/>
    <w:rsid w:val="007C24C0"/>
    <w:rsid w:val="007C29BF"/>
    <w:rsid w:val="007C5B74"/>
    <w:rsid w:val="007C781A"/>
    <w:rsid w:val="007C7971"/>
    <w:rsid w:val="007D03F0"/>
    <w:rsid w:val="007D05CA"/>
    <w:rsid w:val="007D09A0"/>
    <w:rsid w:val="007D0F63"/>
    <w:rsid w:val="007D229C"/>
    <w:rsid w:val="007D36B3"/>
    <w:rsid w:val="007D4C86"/>
    <w:rsid w:val="007E09F7"/>
    <w:rsid w:val="007E0DD5"/>
    <w:rsid w:val="007E1934"/>
    <w:rsid w:val="007F20D5"/>
    <w:rsid w:val="007F2C77"/>
    <w:rsid w:val="007F62B2"/>
    <w:rsid w:val="00803653"/>
    <w:rsid w:val="008066EF"/>
    <w:rsid w:val="00807438"/>
    <w:rsid w:val="0081175D"/>
    <w:rsid w:val="00820A1D"/>
    <w:rsid w:val="00822F25"/>
    <w:rsid w:val="0084123E"/>
    <w:rsid w:val="00843726"/>
    <w:rsid w:val="00851834"/>
    <w:rsid w:val="00851F3D"/>
    <w:rsid w:val="00861288"/>
    <w:rsid w:val="008622B3"/>
    <w:rsid w:val="0086673A"/>
    <w:rsid w:val="00873A90"/>
    <w:rsid w:val="0087664F"/>
    <w:rsid w:val="00877653"/>
    <w:rsid w:val="008874A5"/>
    <w:rsid w:val="00890151"/>
    <w:rsid w:val="0089169C"/>
    <w:rsid w:val="008953BF"/>
    <w:rsid w:val="008A291E"/>
    <w:rsid w:val="008B6E7B"/>
    <w:rsid w:val="008C0DE8"/>
    <w:rsid w:val="008C199E"/>
    <w:rsid w:val="008D06EE"/>
    <w:rsid w:val="008D1678"/>
    <w:rsid w:val="008D26EA"/>
    <w:rsid w:val="008D3450"/>
    <w:rsid w:val="008E3A04"/>
    <w:rsid w:val="008E3FBC"/>
    <w:rsid w:val="008F1549"/>
    <w:rsid w:val="008F4715"/>
    <w:rsid w:val="008F4F9A"/>
    <w:rsid w:val="008F7B51"/>
    <w:rsid w:val="00904108"/>
    <w:rsid w:val="00907E4C"/>
    <w:rsid w:val="0091632D"/>
    <w:rsid w:val="009243C1"/>
    <w:rsid w:val="0092682D"/>
    <w:rsid w:val="009307EB"/>
    <w:rsid w:val="00931C55"/>
    <w:rsid w:val="00933468"/>
    <w:rsid w:val="009349A3"/>
    <w:rsid w:val="00936AAA"/>
    <w:rsid w:val="00943EEB"/>
    <w:rsid w:val="00946C66"/>
    <w:rsid w:val="00946FB4"/>
    <w:rsid w:val="00950460"/>
    <w:rsid w:val="00951A32"/>
    <w:rsid w:val="00951A3B"/>
    <w:rsid w:val="0097123D"/>
    <w:rsid w:val="009719FE"/>
    <w:rsid w:val="00971C34"/>
    <w:rsid w:val="00971F9A"/>
    <w:rsid w:val="009729C2"/>
    <w:rsid w:val="009749C0"/>
    <w:rsid w:val="0098062D"/>
    <w:rsid w:val="00983D94"/>
    <w:rsid w:val="00983EEA"/>
    <w:rsid w:val="0098613F"/>
    <w:rsid w:val="009868D1"/>
    <w:rsid w:val="009878FD"/>
    <w:rsid w:val="009903AA"/>
    <w:rsid w:val="009974D8"/>
    <w:rsid w:val="009A1A89"/>
    <w:rsid w:val="009A2AC5"/>
    <w:rsid w:val="009A6928"/>
    <w:rsid w:val="009C0701"/>
    <w:rsid w:val="009D7352"/>
    <w:rsid w:val="009E4ACF"/>
    <w:rsid w:val="009E4BEE"/>
    <w:rsid w:val="009F0F87"/>
    <w:rsid w:val="009F4198"/>
    <w:rsid w:val="009F6749"/>
    <w:rsid w:val="00A01870"/>
    <w:rsid w:val="00A05C3C"/>
    <w:rsid w:val="00A11D47"/>
    <w:rsid w:val="00A1591D"/>
    <w:rsid w:val="00A1616C"/>
    <w:rsid w:val="00A212E8"/>
    <w:rsid w:val="00A2249B"/>
    <w:rsid w:val="00A23E59"/>
    <w:rsid w:val="00A33DD9"/>
    <w:rsid w:val="00A3705C"/>
    <w:rsid w:val="00A37250"/>
    <w:rsid w:val="00A37D8F"/>
    <w:rsid w:val="00A4038B"/>
    <w:rsid w:val="00A43E3E"/>
    <w:rsid w:val="00A4626B"/>
    <w:rsid w:val="00A46CDF"/>
    <w:rsid w:val="00A47810"/>
    <w:rsid w:val="00A55A08"/>
    <w:rsid w:val="00A566E5"/>
    <w:rsid w:val="00A570CF"/>
    <w:rsid w:val="00A578F2"/>
    <w:rsid w:val="00A57CCB"/>
    <w:rsid w:val="00A6471C"/>
    <w:rsid w:val="00A6616F"/>
    <w:rsid w:val="00A677DC"/>
    <w:rsid w:val="00A71DC2"/>
    <w:rsid w:val="00A72F28"/>
    <w:rsid w:val="00A73E5C"/>
    <w:rsid w:val="00A7412D"/>
    <w:rsid w:val="00A747ED"/>
    <w:rsid w:val="00A74AFB"/>
    <w:rsid w:val="00A81A94"/>
    <w:rsid w:val="00A8208B"/>
    <w:rsid w:val="00A84DDD"/>
    <w:rsid w:val="00A863BE"/>
    <w:rsid w:val="00A95F1F"/>
    <w:rsid w:val="00AA22C3"/>
    <w:rsid w:val="00AA585C"/>
    <w:rsid w:val="00AA74FB"/>
    <w:rsid w:val="00AB2868"/>
    <w:rsid w:val="00AB6E71"/>
    <w:rsid w:val="00AC5997"/>
    <w:rsid w:val="00AD018E"/>
    <w:rsid w:val="00AD2F6A"/>
    <w:rsid w:val="00AD43F9"/>
    <w:rsid w:val="00AD6F92"/>
    <w:rsid w:val="00AE13E2"/>
    <w:rsid w:val="00AE4C60"/>
    <w:rsid w:val="00AE6181"/>
    <w:rsid w:val="00AF0004"/>
    <w:rsid w:val="00AF07D9"/>
    <w:rsid w:val="00AF3FFA"/>
    <w:rsid w:val="00AF4DFF"/>
    <w:rsid w:val="00AF5611"/>
    <w:rsid w:val="00AF6DA4"/>
    <w:rsid w:val="00B006CB"/>
    <w:rsid w:val="00B01BFB"/>
    <w:rsid w:val="00B233ED"/>
    <w:rsid w:val="00B271C6"/>
    <w:rsid w:val="00B3455E"/>
    <w:rsid w:val="00B363E8"/>
    <w:rsid w:val="00B37854"/>
    <w:rsid w:val="00B37FA1"/>
    <w:rsid w:val="00B45E17"/>
    <w:rsid w:val="00B47179"/>
    <w:rsid w:val="00B471C4"/>
    <w:rsid w:val="00B512EE"/>
    <w:rsid w:val="00B53A7A"/>
    <w:rsid w:val="00B57DBB"/>
    <w:rsid w:val="00B61DD9"/>
    <w:rsid w:val="00B6283C"/>
    <w:rsid w:val="00B65C42"/>
    <w:rsid w:val="00B738ED"/>
    <w:rsid w:val="00B74BA0"/>
    <w:rsid w:val="00B81824"/>
    <w:rsid w:val="00B818B2"/>
    <w:rsid w:val="00B83AA0"/>
    <w:rsid w:val="00B85EB1"/>
    <w:rsid w:val="00B90261"/>
    <w:rsid w:val="00B91062"/>
    <w:rsid w:val="00B93BA1"/>
    <w:rsid w:val="00B9469C"/>
    <w:rsid w:val="00BA1FB2"/>
    <w:rsid w:val="00BA7829"/>
    <w:rsid w:val="00BB2FE1"/>
    <w:rsid w:val="00BB3EB2"/>
    <w:rsid w:val="00BB5093"/>
    <w:rsid w:val="00BC3A62"/>
    <w:rsid w:val="00BC3D65"/>
    <w:rsid w:val="00BC7032"/>
    <w:rsid w:val="00BD354F"/>
    <w:rsid w:val="00BD4A11"/>
    <w:rsid w:val="00BD7AE3"/>
    <w:rsid w:val="00BE0C1C"/>
    <w:rsid w:val="00BE38EB"/>
    <w:rsid w:val="00BF0917"/>
    <w:rsid w:val="00BF14AE"/>
    <w:rsid w:val="00BF3055"/>
    <w:rsid w:val="00BF3607"/>
    <w:rsid w:val="00C008E9"/>
    <w:rsid w:val="00C02E9E"/>
    <w:rsid w:val="00C07ACC"/>
    <w:rsid w:val="00C10220"/>
    <w:rsid w:val="00C30E6A"/>
    <w:rsid w:val="00C31508"/>
    <w:rsid w:val="00C31D1A"/>
    <w:rsid w:val="00C35259"/>
    <w:rsid w:val="00C40459"/>
    <w:rsid w:val="00C40FE0"/>
    <w:rsid w:val="00C4171D"/>
    <w:rsid w:val="00C50838"/>
    <w:rsid w:val="00C537AF"/>
    <w:rsid w:val="00C56C4E"/>
    <w:rsid w:val="00C617E4"/>
    <w:rsid w:val="00C651FC"/>
    <w:rsid w:val="00C652C9"/>
    <w:rsid w:val="00C72E8D"/>
    <w:rsid w:val="00C72FD4"/>
    <w:rsid w:val="00C815FE"/>
    <w:rsid w:val="00C84229"/>
    <w:rsid w:val="00C84659"/>
    <w:rsid w:val="00C849C3"/>
    <w:rsid w:val="00C850D3"/>
    <w:rsid w:val="00C86A27"/>
    <w:rsid w:val="00C935DF"/>
    <w:rsid w:val="00C94D1D"/>
    <w:rsid w:val="00CA0C11"/>
    <w:rsid w:val="00CA35F9"/>
    <w:rsid w:val="00CA5A13"/>
    <w:rsid w:val="00CA6986"/>
    <w:rsid w:val="00CA7111"/>
    <w:rsid w:val="00CB0572"/>
    <w:rsid w:val="00CB0A02"/>
    <w:rsid w:val="00CB5CE4"/>
    <w:rsid w:val="00CC110C"/>
    <w:rsid w:val="00CD2307"/>
    <w:rsid w:val="00CD6179"/>
    <w:rsid w:val="00CD79BB"/>
    <w:rsid w:val="00CE3CD3"/>
    <w:rsid w:val="00CE6564"/>
    <w:rsid w:val="00CF1306"/>
    <w:rsid w:val="00CF42D9"/>
    <w:rsid w:val="00CF44FA"/>
    <w:rsid w:val="00D01561"/>
    <w:rsid w:val="00D02F3D"/>
    <w:rsid w:val="00D06B0E"/>
    <w:rsid w:val="00D13002"/>
    <w:rsid w:val="00D148E2"/>
    <w:rsid w:val="00D225DB"/>
    <w:rsid w:val="00D234A9"/>
    <w:rsid w:val="00D30B98"/>
    <w:rsid w:val="00D31D6C"/>
    <w:rsid w:val="00D33775"/>
    <w:rsid w:val="00D34BD0"/>
    <w:rsid w:val="00D42A6E"/>
    <w:rsid w:val="00D440B9"/>
    <w:rsid w:val="00D4611D"/>
    <w:rsid w:val="00D6501B"/>
    <w:rsid w:val="00D72DBB"/>
    <w:rsid w:val="00D776C4"/>
    <w:rsid w:val="00D82677"/>
    <w:rsid w:val="00D83DDE"/>
    <w:rsid w:val="00D843A4"/>
    <w:rsid w:val="00D96428"/>
    <w:rsid w:val="00D970A8"/>
    <w:rsid w:val="00DA243B"/>
    <w:rsid w:val="00DA289A"/>
    <w:rsid w:val="00DA7F7A"/>
    <w:rsid w:val="00DB3015"/>
    <w:rsid w:val="00DB34DC"/>
    <w:rsid w:val="00DB6785"/>
    <w:rsid w:val="00DC20EE"/>
    <w:rsid w:val="00DC2228"/>
    <w:rsid w:val="00DC677E"/>
    <w:rsid w:val="00DC7B5A"/>
    <w:rsid w:val="00DD1F95"/>
    <w:rsid w:val="00DD2251"/>
    <w:rsid w:val="00DD3DE6"/>
    <w:rsid w:val="00DD59E4"/>
    <w:rsid w:val="00DE42AD"/>
    <w:rsid w:val="00DE4D44"/>
    <w:rsid w:val="00E00C81"/>
    <w:rsid w:val="00E1154E"/>
    <w:rsid w:val="00E15ECD"/>
    <w:rsid w:val="00E200C6"/>
    <w:rsid w:val="00E2069A"/>
    <w:rsid w:val="00E22BA7"/>
    <w:rsid w:val="00E2657F"/>
    <w:rsid w:val="00E27D75"/>
    <w:rsid w:val="00E3083E"/>
    <w:rsid w:val="00E35FF2"/>
    <w:rsid w:val="00E41AEC"/>
    <w:rsid w:val="00E42474"/>
    <w:rsid w:val="00E5151D"/>
    <w:rsid w:val="00E5223E"/>
    <w:rsid w:val="00E570FA"/>
    <w:rsid w:val="00E6019A"/>
    <w:rsid w:val="00E65AB7"/>
    <w:rsid w:val="00E6709D"/>
    <w:rsid w:val="00E704B1"/>
    <w:rsid w:val="00E8089C"/>
    <w:rsid w:val="00E810B4"/>
    <w:rsid w:val="00E846A2"/>
    <w:rsid w:val="00E8511B"/>
    <w:rsid w:val="00E9060F"/>
    <w:rsid w:val="00E91D1A"/>
    <w:rsid w:val="00EA2BCB"/>
    <w:rsid w:val="00EA52FB"/>
    <w:rsid w:val="00EB06D4"/>
    <w:rsid w:val="00EB0C00"/>
    <w:rsid w:val="00EB2B50"/>
    <w:rsid w:val="00EB3DA4"/>
    <w:rsid w:val="00EC181E"/>
    <w:rsid w:val="00EC5F26"/>
    <w:rsid w:val="00EC6562"/>
    <w:rsid w:val="00ED28BB"/>
    <w:rsid w:val="00ED39E3"/>
    <w:rsid w:val="00EE18FB"/>
    <w:rsid w:val="00EE21C3"/>
    <w:rsid w:val="00EE5B01"/>
    <w:rsid w:val="00EE5BD0"/>
    <w:rsid w:val="00EF7360"/>
    <w:rsid w:val="00F06721"/>
    <w:rsid w:val="00F32FA1"/>
    <w:rsid w:val="00F4011E"/>
    <w:rsid w:val="00F468AA"/>
    <w:rsid w:val="00F4697A"/>
    <w:rsid w:val="00F56797"/>
    <w:rsid w:val="00F70F12"/>
    <w:rsid w:val="00F7241E"/>
    <w:rsid w:val="00F83AF3"/>
    <w:rsid w:val="00F84479"/>
    <w:rsid w:val="00F84826"/>
    <w:rsid w:val="00F91B66"/>
    <w:rsid w:val="00FA5378"/>
    <w:rsid w:val="00FA6AE4"/>
    <w:rsid w:val="00FB24CC"/>
    <w:rsid w:val="00FC0659"/>
    <w:rsid w:val="00FD132C"/>
    <w:rsid w:val="00FE1CF8"/>
    <w:rsid w:val="00FF07B8"/>
    <w:rsid w:val="00FF0A35"/>
    <w:rsid w:val="00FF2AFC"/>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E15ECD"/>
    <w:rPr>
      <w:sz w:val="18"/>
      <w:szCs w:val="18"/>
    </w:rPr>
  </w:style>
  <w:style w:type="character" w:customStyle="1" w:styleId="Char3">
    <w:name w:val="批注框文本 Char"/>
    <w:basedOn w:val="a0"/>
    <w:link w:val="a9"/>
    <w:uiPriority w:val="99"/>
    <w:semiHidden/>
    <w:rsid w:val="00E15ECD"/>
    <w:rPr>
      <w:rFonts w:ascii="Times New Roman" w:eastAsia="方正仿宋简体" w:hAnsi="Times New Roman"/>
      <w:kern w:val="2"/>
      <w:sz w:val="18"/>
      <w:szCs w:val="18"/>
    </w:rPr>
  </w:style>
  <w:style w:type="character" w:styleId="aa">
    <w:name w:val="annotation reference"/>
    <w:basedOn w:val="a0"/>
    <w:uiPriority w:val="99"/>
    <w:semiHidden/>
    <w:unhideWhenUsed/>
    <w:rsid w:val="00A578F2"/>
    <w:rPr>
      <w:sz w:val="21"/>
      <w:szCs w:val="21"/>
    </w:rPr>
  </w:style>
  <w:style w:type="paragraph" w:styleId="ab">
    <w:name w:val="annotation text"/>
    <w:basedOn w:val="a"/>
    <w:link w:val="Char4"/>
    <w:uiPriority w:val="99"/>
    <w:semiHidden/>
    <w:unhideWhenUsed/>
    <w:rsid w:val="00A578F2"/>
    <w:pPr>
      <w:jc w:val="left"/>
    </w:pPr>
  </w:style>
  <w:style w:type="character" w:customStyle="1" w:styleId="Char4">
    <w:name w:val="批注文字 Char"/>
    <w:basedOn w:val="a0"/>
    <w:link w:val="ab"/>
    <w:uiPriority w:val="99"/>
    <w:semiHidden/>
    <w:rsid w:val="00A578F2"/>
    <w:rPr>
      <w:rFonts w:ascii="Times New Roman" w:eastAsia="方正仿宋简体" w:hAnsi="Times New Roman"/>
      <w:kern w:val="2"/>
      <w:sz w:val="32"/>
    </w:rPr>
  </w:style>
  <w:style w:type="paragraph" w:styleId="ac">
    <w:name w:val="annotation subject"/>
    <w:basedOn w:val="ab"/>
    <w:next w:val="ab"/>
    <w:link w:val="Char5"/>
    <w:uiPriority w:val="99"/>
    <w:semiHidden/>
    <w:unhideWhenUsed/>
    <w:rsid w:val="00A578F2"/>
    <w:rPr>
      <w:b/>
      <w:bCs/>
    </w:rPr>
  </w:style>
  <w:style w:type="character" w:customStyle="1" w:styleId="Char5">
    <w:name w:val="批注主题 Char"/>
    <w:basedOn w:val="Char4"/>
    <w:link w:val="ac"/>
    <w:uiPriority w:val="99"/>
    <w:semiHidden/>
    <w:rsid w:val="00A578F2"/>
    <w:rPr>
      <w:rFonts w:ascii="Times New Roman" w:eastAsia="方正仿宋简体" w:hAnsi="Times New Roman"/>
      <w:b/>
      <w:bCs/>
      <w:kern w:val="2"/>
      <w:sz w:val="32"/>
    </w:rPr>
  </w:style>
  <w:style w:type="paragraph" w:styleId="ad">
    <w:name w:val="Date"/>
    <w:basedOn w:val="a"/>
    <w:next w:val="a"/>
    <w:link w:val="Char6"/>
    <w:uiPriority w:val="99"/>
    <w:semiHidden/>
    <w:unhideWhenUsed/>
    <w:rsid w:val="001811DB"/>
    <w:pPr>
      <w:ind w:leftChars="2500" w:left="100"/>
    </w:pPr>
  </w:style>
  <w:style w:type="character" w:customStyle="1" w:styleId="Char6">
    <w:name w:val="日期 Char"/>
    <w:basedOn w:val="a0"/>
    <w:link w:val="ad"/>
    <w:uiPriority w:val="99"/>
    <w:semiHidden/>
    <w:rsid w:val="001811DB"/>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2086385">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1895988">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284586120">
      <w:bodyDiv w:val="1"/>
      <w:marLeft w:val="0"/>
      <w:marRight w:val="0"/>
      <w:marTop w:val="0"/>
      <w:marBottom w:val="0"/>
      <w:divBdr>
        <w:top w:val="none" w:sz="0" w:space="0" w:color="auto"/>
        <w:left w:val="none" w:sz="0" w:space="0" w:color="auto"/>
        <w:bottom w:val="none" w:sz="0" w:space="0" w:color="auto"/>
        <w:right w:val="none" w:sz="0" w:space="0" w:color="auto"/>
      </w:divBdr>
    </w:div>
    <w:div w:id="291449337">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635991090">
      <w:bodyDiv w:val="1"/>
      <w:marLeft w:val="0"/>
      <w:marRight w:val="0"/>
      <w:marTop w:val="0"/>
      <w:marBottom w:val="0"/>
      <w:divBdr>
        <w:top w:val="none" w:sz="0" w:space="0" w:color="auto"/>
        <w:left w:val="none" w:sz="0" w:space="0" w:color="auto"/>
        <w:bottom w:val="none" w:sz="0" w:space="0" w:color="auto"/>
        <w:right w:val="none" w:sz="0" w:space="0" w:color="auto"/>
      </w:divBdr>
    </w:div>
    <w:div w:id="791168086">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162425179">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4884652">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33106523">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20781059">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4</DocSecurity>
  <Lines>11</Lines>
  <Paragraphs>3</Paragraphs>
  <ScaleCrop>false</ScaleCrop>
  <Company>微软中国</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2023-08-22T02:48:00Z</cp:lastPrinted>
  <dcterms:created xsi:type="dcterms:W3CDTF">2025-09-23T16:04:00Z</dcterms:created>
  <dcterms:modified xsi:type="dcterms:W3CDTF">2025-09-23T16:04:00Z</dcterms:modified>
</cp:coreProperties>
</file>